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155-6k_newgeni.htm"/>
      <w:bookmarkStart w:id="1" w:name="ksea03071556k_newgeni"/>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Best-Efforts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Company entered into a placement agent agreement (the “Placement Agent Agreement”) with Aegis Capital Corp. (“Aegis”), pursuant to which Aegis acted as the exclusive placement agent for a public offering made on a reasonable best efforts basis (the “Offering”). The Company agreed to pay Aegis a cash fee equal to 8.0% of the gross proceeds of the Offering and to reimburse Aegis for certain expenses. The Placement Agent Agreement contains customary representations, warranties, and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closed the Offering, and issued an aggregate of 17,857,143 Class A ordinary shares with no par value (the “Class A Ordinary Shares”) or pre-funded warrants to purchase Class A Ordinary Shares in lieu thereof (the “Pre-Funded Warrants”), comprising 125,000 Class A Ordinary Shares and Pre-Funded Warrants to purchase up to 17,732,143 Class A Ordinary Shares. The aggregate gross proceeds to the Company were approximately $1.25 million, before deducting placement agent fees and offering expenses. The Company expects to use the net proceeds for investment in K25.ai, restructuring of debt securities, working capital including manufacturing and deployment of Nodexus machines in the cell-sorting business,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Pre-Funded Warrants were issued pursuant to a final prospectus dated September 29, 2026 (File No. 333-298442), filed with the U.S. Securities and Exchange Commission (the “SEC”) in connection with the Company’s registration statement on Form F-1, which was declared effective by the SEC on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Placement Agent Agreement, the Company’s officers, directors, and employees holding the Company’s Ordinary Shares entered into lock-up agreements (the “Lock-Up Agreements”) pursuant to which they agreed, subject to customary exceptions, not to offer, sell, or otherwise dispose of any Ordinary Shares beneficially owned by them for sixty (60) days following the closing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Placement Agent Agreement is filed as Exhibit 1.1 to this Report on Form 6-K, and the Form of Pre-Funded Warrant, and Form of Lock-Up Agreement were previously filed as Exhibits 4.6 and Exhibits 10.71, respectively, in the Company’s registration statement on Form F-1 which was filed on August 20, 2026. The Placement Agent Agreement, Form of Pre-Funded Warrant and Form of Lock-Up Agreement are incorporated by reference herein. The foregoing summaries of such documents are subject to, and qualified in their entirety by reference to,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announced the pricing of the Offering in a press release issued on September 28, 2026, which is furnished as Exhibit 99.1 to this Report on Form 6-K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announced the closing of the Offering in a press release issued on September 30, 2026, which is furnished as Exhibit 99.2 to this Report on Form 6-K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not constitute an offer to sell or the solicitation of an offer to buy, nor shall there be any sale of, the securities described herein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within the meaning of the Private Securities Litigation Reform Act of 1995 and other U.S. securities laws. Forward-looking statements are based on the Company’s current expectations, beliefs and assumptions regarding future events and performance. In some cases, you can identify forward-looking statements by terminology such as “may,” “will,” “expect,” “plan,” “intend,” “estimate,” or “continue,” or the negatives of these terms or other comparable terminology.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Report on Form 6-K include, among other things, statements about the intended use of the net proceeds of the Offering. These forward-looking statements are subject to risks, uncertainties, and assumptions that are difficult to predict. Actual results may differ materially from those expressed or implied in the forward-looking statements. Factors that could cause such differences include, but are not limited to, market conditions, the Company’s ability to deploy the net proceeds as currently contemplated, and other risks described in the Company’s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contained herein, except as required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5"/>
        <w:gridCol w:w="60"/>
        <w:gridCol w:w="9340"/>
      </w:tblGrid>
      <w:tr>
        <w:trPr/>
        <w:tc>
          <w:tcPr>
            <w:tcW w:w="8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w:anchor="ea030715501ex1-1.htm">
              <w:r>
                <w:rPr>
                  <w:rStyle w:val="InternetLink"/>
                  <w:rFonts w:ascii="Times New Roman;Times;Serif" w:hAnsi="Times New Roman;Times;Serif"/>
                  <w:sz w:val="20"/>
                </w:rPr>
                <w:t>Placement Agent Agreement, dated September 28, 2026, between Company and Aegis Capital Corp.</w:t>
              </w:r>
            </w:hyperlink>
          </w:p>
        </w:tc>
      </w:tr>
      <w:tr>
        <w:trPr/>
        <w:tc>
          <w:tcPr>
            <w:tcW w:w="805" w:type="dxa"/>
            <w:tcBorders/>
            <w:shd w:fill="FFFFFF" w:val="clear"/>
            <w:tcMar>
              <w:bottom w:w="0" w:type="dxa"/>
            </w:tcMar>
            <w:vAlign w:val="center"/>
          </w:tcPr>
          <w:p>
            <w:pPr>
              <w:pStyle w:val="TableContents"/>
              <w:bidi w:val="0"/>
              <w:spacing w:before="0" w:after="283"/>
              <w:jc w:val="left"/>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r:id="rId2">
              <w:r>
                <w:rPr>
                  <w:rStyle w:val="InternetLink"/>
                </w:rPr>
                <w:t xml:space="preserve">Form of Pre-Funded Warrant (incorporated herein by reference to the Exhibit 4.6 </w:t>
              </w:r>
            </w:hyperlink>
            <w:hyperlink r:id="rId3">
              <w:r>
                <w:rPr>
                  <w:rStyle w:val="InternetLink"/>
                  <w:rFonts w:ascii="Times New Roman;Times;Serif" w:hAnsi="Times New Roman;Times;Serif"/>
                  <w:sz w:val="20"/>
                </w:rPr>
                <w:t>to the registrant’s registration statement on Form F-1, as amended, filed with the SEC on August 20, 2026 (File No. 333 – 298442)</w:t>
              </w:r>
            </w:hyperlink>
          </w:p>
        </w:tc>
      </w:tr>
      <w:tr>
        <w:trPr/>
        <w:tc>
          <w:tcPr>
            <w:tcW w:w="805" w:type="dxa"/>
            <w:tcBorders/>
            <w:shd w:fill="CCEEFF" w:val="clear"/>
            <w:tcMar>
              <w:bottom w:w="0" w:type="dxa"/>
            </w:tcMar>
            <w:vAlign w:val="center"/>
          </w:tcPr>
          <w:p>
            <w:pPr>
              <w:pStyle w:val="TableContents"/>
              <w:bidi w:val="0"/>
              <w:spacing w:before="0" w:after="283"/>
              <w:jc w:val="left"/>
              <w:rPr/>
            </w:pPr>
            <w:r>
              <w:rPr/>
              <w:t>10.71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r:id="rId4">
              <w:r>
                <w:rPr>
                  <w:rStyle w:val="InternetLink"/>
                </w:rPr>
                <w:t>Form of Lock-Up Agreement (incorporated herein by reference to the Exhibit 10.71 to the registrant’s registration statement on Form F-1, as amended, filed with the SEC on August 20, 2026 (File No. 333-298442)</w:t>
              </w:r>
            </w:hyperlink>
          </w:p>
        </w:tc>
      </w:tr>
      <w:tr>
        <w:trPr/>
        <w:tc>
          <w:tcPr>
            <w:tcW w:w="8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40" w:type="dxa"/>
            <w:tcBorders/>
            <w:shd w:fill="FFFFFF" w:val="clear"/>
            <w:tcMar>
              <w:bottom w:w="0" w:type="dxa"/>
            </w:tcMar>
            <w:vAlign w:val="center"/>
          </w:tcPr>
          <w:p>
            <w:pPr>
              <w:pStyle w:val="TableContents"/>
              <w:bidi w:val="0"/>
              <w:spacing w:before="0" w:after="283"/>
              <w:jc w:val="both"/>
              <w:rPr/>
            </w:pPr>
            <w:hyperlink w:anchor="ea030715501ex99-1.htm">
              <w:r>
                <w:rPr>
                  <w:rStyle w:val="InternetLink"/>
                  <w:rFonts w:ascii="Times New Roman;Times;Serif" w:hAnsi="Times New Roman;Times;Serif"/>
                  <w:sz w:val="20"/>
                </w:rPr>
                <w:t>Press Release, dated September 28, 2026</w:t>
              </w:r>
            </w:hyperlink>
          </w:p>
        </w:tc>
      </w:tr>
      <w:tr>
        <w:trPr/>
        <w:tc>
          <w:tcPr>
            <w:tcW w:w="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40" w:type="dxa"/>
            <w:tcBorders/>
            <w:shd w:fill="CCEEFF" w:val="clear"/>
            <w:tcMar>
              <w:bottom w:w="0" w:type="dxa"/>
            </w:tcMar>
            <w:vAlign w:val="center"/>
          </w:tcPr>
          <w:p>
            <w:pPr>
              <w:pStyle w:val="TableContents"/>
              <w:bidi w:val="0"/>
              <w:spacing w:before="0" w:after="283"/>
              <w:jc w:val="both"/>
              <w:rPr/>
            </w:pPr>
            <w:hyperlink w:anchor="ea030715501ex99-2.htm">
              <w:r>
                <w:rPr>
                  <w:rStyle w:val="InternetLink"/>
                  <w:rFonts w:ascii="Times New Roman;Times;Serif" w:hAnsi="Times New Roman;Times;Serif"/>
                  <w:sz w:val="20"/>
                </w:rPr>
                <w:t>Press Release, dated September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545"/>
        <w:gridCol w:w="2930"/>
      </w:tblGrid>
      <w:tr>
        <w:trPr/>
        <w:tc>
          <w:tcPr>
            <w:tcW w:w="7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NEWGENIVF GROUP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15501ex1-1.htm"/>
      <w:bookmarkStart w:id="3" w:name="ksea030715501ex11"/>
      <w:bookmarkEnd w:id="2"/>
      <w:bookmarkEnd w:id="3"/>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14600"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2514600" cy="9810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PERSONAL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 Watthana District, Bangkok 10110, Thailand</w:t>
      </w:r>
    </w:p>
    <w:p>
      <w:pPr>
        <w:pStyle w:val="TextBody"/>
        <w:bidi w:val="0"/>
        <w:spacing w:before="0" w:after="0"/>
        <w:ind w:left="720" w:right="0" w:hanging="72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305"/>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587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NIVF | Best Efforts Secondary Offering | Placement Agent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placement agent agreement is to outline our agreement pursuant to which Aegis Capital Corp. (“</w:t>
      </w:r>
      <w:r>
        <w:rPr>
          <w:rFonts w:ascii="Times New Roman;Times;Serif" w:hAnsi="Times New Roman;Times;Serif"/>
          <w:b/>
          <w:i w:val="false"/>
          <w:caps w:val="false"/>
          <w:smallCaps w:val="false"/>
          <w:sz w:val="20"/>
          <w:u w:val="single"/>
        </w:rPr>
        <w:t>Aegis</w:t>
      </w:r>
      <w:r>
        <w:rPr>
          <w:rFonts w:ascii="Times New Roman;Times;Serif" w:hAnsi="Times New Roman;Times;Serif"/>
          <w:b w:val="false"/>
          <w:i w:val="false"/>
          <w:caps w:val="false"/>
          <w:smallCaps w:val="false"/>
          <w:sz w:val="20"/>
        </w:rPr>
        <w:t>”) will act as the placement agent on a “best efforts” basis in connection with the proposed Best Efforts Secondary Offering (the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by NewGenIvf Group Limited (collectively, with its subsidiaries and affiliates,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of its Class A Ordinary Shares (the “</w:t>
      </w:r>
      <w:r>
        <w:rPr>
          <w:rFonts w:ascii="Times New Roman;Times;Serif" w:hAnsi="Times New Roman;Times;Serif"/>
          <w:b/>
          <w:i w:val="false"/>
          <w:caps w:val="false"/>
          <w:smallCaps w:val="false"/>
          <w:sz w:val="20"/>
          <w:u w:val="single"/>
        </w:rPr>
        <w:t>Securities</w:t>
      </w:r>
      <w:r>
        <w:rPr>
          <w:rFonts w:ascii="Times New Roman;Times;Serif" w:hAnsi="Times New Roman;Times;Serif"/>
          <w:b w:val="false"/>
          <w:i w:val="false"/>
          <w:caps w:val="false"/>
          <w:smallCaps w:val="false"/>
          <w:sz w:val="20"/>
        </w:rPr>
        <w:t>”). This placement agent agreement sets forth certain conditions and assumptions upon which the Placement is premised. The Company expressly acknowledges and agrees that Aegis’s obligations hereunder are on a reasonable “best efforts” basis only and that the execution of this Agreement does not constitute a commitment by Aegis to purchase the Securities and does not ensure the successful placement of the Securities or any portion thereof or the success of Aegis with respect to securing any other financing on behalf of the Company. The Company confirms that entry into this placement agent agreement and completion of the Placement with Aegis will not breach or otherwise violate the Company’s obligations to any other party or require any payments to such other party. For the sake of clarity, such obligations may include but not be limited to obligations under an engagement letter, placement agency agreement, underwriting agreement, advisory agreement, right of first refusal, tail fee obligation or other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agreement are as follows: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Engagement</w:t>
            </w:r>
            <w:r>
              <w:rPr>
                <w:rFonts w:ascii="Times New Roman;Times;Serif" w:hAnsi="Times New Roman;Times;Serif"/>
                <w:sz w:val="20"/>
              </w:rPr>
              <w:t>. The Company hereby engages Aegis, for the period beginning on the date hereof and ending four (4) months thereafter or upon the completion of the Placement, whichever is sooner (the “</w:t>
            </w:r>
            <w:r>
              <w:rPr>
                <w:rFonts w:ascii="Times New Roman;Times;Serif" w:hAnsi="Times New Roman;Times;Serif"/>
                <w:b/>
                <w:sz w:val="20"/>
                <w:u w:val="single"/>
              </w:rPr>
              <w:t>Engagement Period</w:t>
            </w:r>
            <w:r>
              <w:rPr>
                <w:rFonts w:ascii="Times New Roman;Times;Serif" w:hAnsi="Times New Roman;Times;Serif"/>
                <w:sz w:val="20"/>
              </w:rPr>
              <w:t>”), to act as the Company’s exclusive investment bank in connection with the proposed Placement. During the Engagement Period or until the consummation of the Placement, and as long as Aegis is proceeding in good faith with preparations for the Placement, the Company agrees not to solicit, negotiate with or enter into any agreement with any other source of financing (whether equity, debt or otherwise), any underwriter, potential underwriter, placement agent, financial advisor, investment banking firm or any other person or entity in connection with an offering of the Company’s debt or equity securities or any other financing by the Company. Aegis will use its reasonable “best efforts” to solicit offers to purchase the Securities from the Company on the terms, and subject to the conditions, set forth in the Prospectus (as defined below). Aegis shall use commercially reasonable efforts to assist the Company in obtaining performance by each Purchaser (as defined below) whose offer to purchase Securities has been solicited by Aegis, but Aegis shall not, except as otherwise provided in this Agreement, be obligated to disclose the identity of any potential purchaser or have any liability to the Company in the event any such purchase is not consummated for any reason. The Company acknowledges that under no circumstances will Aegis be obligated to underwrite or purchase any Securities for its own account and, in soliciting purchases of the Securities, Aegis shall act solely as an agent of the Company. The services provided pursuant to this placement agent agreement shall be on an “agency” basis and not on a “principal” basis.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The Placement</w:t>
            </w:r>
            <w:r>
              <w:rPr>
                <w:rFonts w:ascii="Times New Roman;Times;Serif" w:hAnsi="Times New Roman;Times;Serif"/>
                <w:sz w:val="20"/>
              </w:rPr>
              <w:t>. The Placement is expected to consist of a sale of approximately $1.25 million of the Company’s Securities. Aegis will act as placement agent for the Placement subject to, among other matters referred to herein and additional customary conditions, completion of Aegis’s due diligence examination of the Company and its affiliates, submission by the Company of a notice with the Nasdaq Capital Market (“</w:t>
            </w:r>
            <w:r>
              <w:rPr>
                <w:rFonts w:ascii="Times New Roman;Times;Serif" w:hAnsi="Times New Roman;Times;Serif"/>
                <w:b/>
                <w:sz w:val="20"/>
                <w:u w:val="single"/>
              </w:rPr>
              <w:t>Exchange</w:t>
            </w:r>
            <w:r>
              <w:rPr>
                <w:rFonts w:ascii="Times New Roman;Times;Serif" w:hAnsi="Times New Roman;Times;Serif"/>
                <w:sz w:val="20"/>
              </w:rPr>
              <w:t>”) with respect to the Company’s additional listing of the securities sold in the Offering, and the execution of this Agreement in connection with the Placement. The actual size of the Placement, the precise number of Securities to be offered by the Company and the offering price will be the subject of continuing negotiations between the Company and the investors thereto. In connection with the Placement, the Company (i) will meet with Aegis and its representatives to discuss such due diligence matters and to provide such documents as Aegis may require; (ii) will not file with the Commission any document regarding the Placement without the prior approval of Aegis and its counsel; (iii) will deliver to Aegis and the investors in the Placement such legal and accounting opinions and letters (including, without limitation, accounting comfort letters, legal opinions, negative assurance letters, good standing certificates and officers’ and secretary certificates) as Aegis may require, all in form and substance acceptable to Aegis and (iv) will ensure that Aegis is a third party beneficiary of all representations, warranties, covenants, closing conditions and deliverables in connection with the Placement.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1345 Avenue of the Americas • New York, New York • 10105 </w:t>
        <w:br/>
        <w:t>(212) 813-1010 • Fax (212) 813-1047 • Member FINRA, SIPC</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Placement Compensation</w:t>
            </w:r>
            <w:r>
              <w:rPr>
                <w:rFonts w:ascii="Times New Roman;Times;Serif" w:hAnsi="Times New Roman;Times;Serif"/>
                <w:sz w:val="20"/>
              </w:rPr>
              <w:t>. The placement commission will be 8.0% for the Placement.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Registration Statement</w:t>
            </w:r>
            <w:r>
              <w:rPr>
                <w:rFonts w:ascii="Times New Roman;Times;Serif" w:hAnsi="Times New Roman;Times;Serif"/>
                <w:sz w:val="20"/>
              </w:rPr>
              <w:t>. To the extent the Company decides to proceed with the Placement, the Company will, as soon as practicable, prepare and file with the Securities and Exchange Commission (the “</w:t>
            </w:r>
            <w:r>
              <w:rPr>
                <w:rFonts w:ascii="Times New Roman;Times;Serif" w:hAnsi="Times New Roman;Times;Serif"/>
                <w:b/>
                <w:sz w:val="20"/>
                <w:u w:val="single"/>
              </w:rPr>
              <w:t>Commission</w:t>
            </w:r>
            <w:r>
              <w:rPr>
                <w:rFonts w:ascii="Times New Roman;Times;Serif" w:hAnsi="Times New Roman;Times;Serif"/>
                <w:sz w:val="20"/>
              </w:rPr>
              <w:t>”) a Registration Statement on Form F-1 (the “</w:t>
            </w:r>
            <w:r>
              <w:rPr>
                <w:rFonts w:ascii="Times New Roman;Times;Serif" w:hAnsi="Times New Roman;Times;Serif"/>
                <w:b/>
                <w:sz w:val="20"/>
                <w:u w:val="single"/>
              </w:rPr>
              <w:t>Registration Statement</w:t>
            </w:r>
            <w:r>
              <w:rPr>
                <w:rFonts w:ascii="Times New Roman;Times;Serif" w:hAnsi="Times New Roman;Times;Serif"/>
                <w:sz w:val="20"/>
              </w:rPr>
              <w:t>”) under the Securities Act of 1933, as amended (the “</w:t>
            </w:r>
            <w:r>
              <w:rPr>
                <w:rFonts w:ascii="Times New Roman;Times;Serif" w:hAnsi="Times New Roman;Times;Serif"/>
                <w:b/>
                <w:sz w:val="20"/>
                <w:u w:val="single"/>
              </w:rPr>
              <w:t>Securities Act</w:t>
            </w:r>
            <w:r>
              <w:rPr>
                <w:rFonts w:ascii="Times New Roman;Times;Serif" w:hAnsi="Times New Roman;Times;Serif"/>
                <w:sz w:val="20"/>
              </w:rPr>
              <w:t>”) and a prospectus included therein (the “</w:t>
            </w:r>
            <w:r>
              <w:rPr>
                <w:rFonts w:ascii="Times New Roman;Times;Serif" w:hAnsi="Times New Roman;Times;Serif"/>
                <w:b/>
                <w:sz w:val="20"/>
                <w:u w:val="single"/>
              </w:rPr>
              <w:t>Prospectus</w:t>
            </w:r>
            <w:r>
              <w:rPr>
                <w:rFonts w:ascii="Times New Roman;Times;Serif" w:hAnsi="Times New Roman;Times;Serif"/>
                <w:sz w:val="20"/>
              </w:rPr>
              <w:t>”) covering the Securities to be offered and sold in the Placement. The Registration Statement (including the Prospectus therein), and all amendments and supplements thereto, will be in form reasonably satisfactory to Aegis and counsel to Aegis. Other than any information provided by Aegis in writing specifically for inclusion in the Registration Statement or the Prospectus, the Company will be solely responsible for the contents of its Registration Statement and Prospectus and any and all other written or oral communications provided by or on behalf of the Company to any actual or prospective investor of the Securities, and the Company represents and warrants that such materials and such other communications will not, as of the date of the offer or sale of the Securities, contain any untrue statement of a material fact or omit to state a material fact required to be stated therein or necessary in order to make the statements therein, in light of the circumstances under which they were made, not misleading. If at any time prior to the completion of the offer and sale of the Securities an event occurs that would cause the Registration Statement or Prospectus (as supplemented or amended) to contain an untrue statement of a material fact or to omit to state a material fact necessary in order to make the statements therein, in light of the circumstances under which they were made, not misleading, the Company will notify Aegis immediately of such event and Aegis will suspend solicitations of the prospective purchasers of the Securities until such time as the Company shall prepare a supplement or amendment to the Registration Statement or Prospectus that corrects such statement or omission.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Lock-Ups</w:t>
            </w:r>
            <w:r>
              <w:rPr>
                <w:rFonts w:ascii="Times New Roman;Times;Serif" w:hAnsi="Times New Roman;Times;Serif"/>
                <w:sz w:val="20"/>
              </w:rPr>
              <w:t>. In connection with the Placement, the Company’s directors, executive officers, employees holding shares of the Company at Closing will enter into customary “lock-up” agreements in favor of the Placement Agent for a period of sixty (60) days after the Closing of the Placement (the “</w:t>
            </w:r>
            <w:r>
              <w:rPr>
                <w:rFonts w:ascii="Times New Roman;Times;Serif" w:hAnsi="Times New Roman;Times;Serif"/>
                <w:b/>
                <w:sz w:val="20"/>
                <w:u w:val="single"/>
              </w:rPr>
              <w:t>Lock-Up Period</w:t>
            </w:r>
            <w:r>
              <w:rPr>
                <w:rFonts w:ascii="Times New Roman;Times;Serif" w:hAnsi="Times New Roman;Times;Serif"/>
                <w:sz w:val="20"/>
              </w:rPr>
              <w:t>”); provided, however, that any sales by parties to the lock-ups shall be subject to the lock-up agreements and provided further, that none of such ordinary shares shall be saleable in the public market until the expiration of the Lock-Up Period.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6"/>
        <w:gridCol w:w="10042"/>
      </w:tblGrid>
      <w:tr>
        <w:trPr/>
        <w:tc>
          <w:tcPr>
            <w:tcW w:w="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Company Standstill</w:t>
            </w:r>
            <w:r>
              <w:rPr>
                <w:rFonts w:ascii="Times New Roman;Times;Serif" w:hAnsi="Times New Roman;Times;Serif"/>
                <w:sz w:val="20"/>
              </w:rPr>
              <w:t>. In connection with the Placement, without the prior written consent of the Aegis, the Company will not, for a period of sixty (60) days after the Closing of the Placement (the “</w:t>
            </w:r>
            <w:r>
              <w:rPr>
                <w:rFonts w:ascii="Times New Roman;Times;Serif" w:hAnsi="Times New Roman;Times;Serif"/>
                <w:b/>
                <w:sz w:val="20"/>
                <w:u w:val="single"/>
              </w:rPr>
              <w:t>Standstill Period</w:t>
            </w:r>
            <w:r>
              <w:rPr>
                <w:rFonts w:ascii="Times New Roman;Times;Serif" w:hAnsi="Times New Roman;Times;Serif"/>
                <w:sz w:val="20"/>
              </w:rPr>
              <w:t>”), (a) offer, sell, issue, or otherwise transfer or dispose of, directly or indirectly, any equity of the Company or any securities convertible into or exercisable or exchangeable for equity of the Company; (b) file or caused to be filed any registration statement with the Commission relating to the offering of any equity of the Company or any securities convertible into or exercisable or exchangeable for equity of the Company; or (c) enter into any agreement or announce the intention to effect any of the actions described in subsections (a) or (b) hereof (all of such matters, the “</w:t>
            </w:r>
            <w:r>
              <w:rPr>
                <w:rFonts w:ascii="Times New Roman;Times;Serif" w:hAnsi="Times New Roman;Times;Serif"/>
                <w:b/>
                <w:sz w:val="20"/>
                <w:u w:val="single"/>
              </w:rPr>
              <w:t>Standstill Restrictions</w:t>
            </w:r>
            <w:r>
              <w:rPr>
                <w:rFonts w:ascii="Times New Roman;Times;Serif" w:hAnsi="Times New Roman;Times;Serif"/>
                <w:sz w:val="20"/>
              </w:rPr>
              <w:t>”).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existing as of the date hereof provided the terms are not modified; and (iii)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the Placement referred herein.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Expenses</w:t>
            </w:r>
            <w:r>
              <w:rPr>
                <w:rFonts w:ascii="Times New Roman;Times;Serif" w:hAnsi="Times New Roman;Times;Serif"/>
                <w:sz w:val="20"/>
              </w:rPr>
              <w:t>. The Company will be responsible for and will pay all expenses relating to the Placement, including, without limitation, (a) all filing fees and expenses relating to the registration of the Securities with the Commission; (b) all FINRA Public Offering filing fees; (c) all fees and expenses relating to the listing of the Company’s equity or equity-linked securities on an Exchange; (d) all fees, expenses and disbursements relating to the registration or qualification of the Securities under the “blue sky” securities laws of such states and other jurisdictions as Aegis may reasonably designate (including, without limitation, all filing and registration fees, and the reasonable fees and disbursements of the Company’s “blue sky” counsel, which will be Aegis’s counsel) unless such filings are not required in connection with the Company’s proposed Exchange listing; (e) any fees for counsel to lead investors in the Placement; (f) all fees, expenses and disbursements relating to the registration, qualification or exemption of the Securities under the securities laws of such foreign jurisdictions as Aegis may reasonably designate; (g) the costs of all mailing and printing of the Placement documents; (h) transfer and/or stamp taxes, if any, payable upon the transfer of Securities from the Company to Aegis; (i) the fees and expenses of the Company’s accountants; and (j) $100,000 for reasonable legal fees and disbursements for Aegis’s counsel. Upon execution of this placement agent agreement, the Company shall deliver, per Aegis’s instructions, an amount of $25,000 (by check or wire transfer of immediately available funds) as an advance to be applied towards reasonable out-of-pocket expenses Aegis anticipates to incur (the “</w:t>
            </w:r>
            <w:r>
              <w:rPr>
                <w:rFonts w:ascii="Times New Roman;Times;Serif" w:hAnsi="Times New Roman;Times;Serif"/>
                <w:b/>
                <w:sz w:val="20"/>
                <w:u w:val="single"/>
              </w:rPr>
              <w:t>Advance</w:t>
            </w:r>
            <w:r>
              <w:rPr>
                <w:rFonts w:ascii="Times New Roman;Times;Serif" w:hAnsi="Times New Roman;Times;Serif"/>
                <w:sz w:val="20"/>
              </w:rPr>
              <w:t>”). However, if the Placement is terminated, Aegis shall return any portion of the Advance not used to pay its accountable out-of-pocket expenses actually incurred.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7"/>
        <w:gridCol w:w="10041"/>
      </w:tblGrid>
      <w:tr>
        <w:trPr/>
        <w:tc>
          <w:tcPr>
            <w:tcW w:w="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Right of First Refusal</w:t>
            </w:r>
            <w:r>
              <w:rPr>
                <w:rFonts w:ascii="Times New Roman;Times;Serif" w:hAnsi="Times New Roman;Times;Serif"/>
                <w:sz w:val="20"/>
              </w:rPr>
              <w:t>. If, for the period beginning on the Closing of the Placement and ending twelve (12) months after the commencement of sales in the Placement, the Company or any of its subsidiaries (a) decides to finance or refinance any indebtedness, Aegis (or any affiliate designated by Aegis)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Aegis (or any affiliate designated by Aegis) shall have the right to act as sole book-running manager, sole underwriter or sole placement agent for such financing. If Aegis or one of its affiliates decides to accept any such engagement, the agreement governing such engagement (each, a “</w:t>
            </w:r>
            <w:r>
              <w:rPr>
                <w:rFonts w:ascii="Times New Roman;Times;Serif" w:hAnsi="Times New Roman;Times;Serif"/>
                <w:b/>
                <w:sz w:val="20"/>
                <w:u w:val="single"/>
              </w:rPr>
              <w:t>Subsequent Transaction Agreement</w:t>
            </w:r>
            <w:r>
              <w:rPr>
                <w:rFonts w:ascii="Times New Roman;Times;Serif" w:hAnsi="Times New Roman;Times;Serif"/>
                <w:sz w:val="20"/>
              </w:rPr>
              <w:t>”) will contain, among other things, provisions for customary fees for transactions of similar size and nature, but in no event will the fees be less than those outlined herein, and the provisions of this placement agent agreement, including indemnification, that are appropriate to such a transaction. Notwithstanding the foregoing, the decision to accept the Company’s engagement under this Section ‎8 shall be made by Aegis or one of its affiliates, by a written notice to the Company, within ten (10) Business Days of the receipt of the Company’s notification of its financing needs, including a detailed term sheet. Aegis’s determination of whether in any case to exercise its right of first refusal will be strictly limited to the terms on such term sheet, and any waiver of such right of first refusal shall apply only to such specific terms. If Aegis waives its right of first refusal, any deviation from such terms (including without limitation after the launch of a subsequent transaction) shall void the waiver and require the Company to seek a new waiver from the right of first refusal on the terms set forth in this Section ‎8.</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1"/>
        <w:gridCol w:w="10037"/>
      </w:tblGrid>
      <w:tr>
        <w:trPr/>
        <w:tc>
          <w:tcPr>
            <w:tcW w:w="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Tail Financing</w:t>
            </w:r>
            <w:r>
              <w:rPr>
                <w:rFonts w:ascii="Times New Roman;Times;Serif" w:hAnsi="Times New Roman;Times;Serif"/>
                <w:sz w:val="20"/>
              </w:rPr>
              <w:t>. Aegis shall be entitled to compensation under Section ‎3 herein, calculated in the manner set forth therein, with respect to any public or private offering or other financing or capital raising transaction of any kind (“</w:t>
            </w:r>
            <w:r>
              <w:rPr>
                <w:rFonts w:ascii="Times New Roman;Times;Serif" w:hAnsi="Times New Roman;Times;Serif"/>
                <w:b/>
                <w:sz w:val="20"/>
                <w:u w:val="single"/>
              </w:rPr>
              <w:t>Tail Financing</w:t>
            </w:r>
            <w:r>
              <w:rPr>
                <w:rFonts w:ascii="Times New Roman;Times;Serif" w:hAnsi="Times New Roman;Times;Serif"/>
                <w:sz w:val="20"/>
              </w:rPr>
              <w:t>”) to the extent that such financing or capital is provided to the Company by investors Aegis has introduced to and/or contacted on behalf of the Company through an in-person, electronic or telephonic communication or investors that Aegis had “wall-crossed” in connection with this Placement (or any entity under common management or having a common investment advisor), if such Tail Financing is consummated at any time within six (6) months after the Closing, expiration or termination of this placement agent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Closing; Closing Deliverables</w:t>
            </w:r>
            <w:r>
              <w:rPr>
                <w:rFonts w:ascii="Times New Roman;Times;Serif" w:hAnsi="Times New Roman;Times;Serif"/>
                <w:sz w:val="20"/>
              </w:rPr>
              <w:t>. Unless otherwise directed by the Placement Agent, settlement of the Securities shall occur via “Delivery Versus Payment” (“</w:t>
            </w:r>
            <w:r>
              <w:rPr>
                <w:rFonts w:ascii="Times New Roman;Times;Serif" w:hAnsi="Times New Roman;Times;Serif"/>
                <w:b/>
                <w:sz w:val="20"/>
                <w:u w:val="single"/>
              </w:rPr>
              <w:t>DVP</w:t>
            </w:r>
            <w:r>
              <w:rPr>
                <w:rFonts w:ascii="Times New Roman;Times;Serif" w:hAnsi="Times New Roman;Times;Serif"/>
                <w:sz w:val="20"/>
              </w:rPr>
              <w:t>”) (i.e., on the Closing Date, the Company shall cause the Depositary to issue the Securities directly to the clearing firm designated by the Placement Agent; upon receipt of such Securities, the Placement Agent shall promptly electronically deliver such Securities to the applicable Purchaser, and payment therefor shall be made by the Placement Agent (or its clearing firm) by wire transfer to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u w:val="single"/>
        </w:rPr>
        <w:t>Company Deliveries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On the date hereof, the Company shall deliver each of the following: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 This Agreement duly executed by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 A cold comfort letter from the Company’s auditor, addressed to the Placement Agent in form and substance reasonably satisfactory in all material respects.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 A certificate executed by the Chief Financial Officer of the Company in customary form reasonably satisfactory to the Placement Agent and its counsel.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10.1.1.4 The Lock-Up Agreements duly executed by the parties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On or prior to the Closing Date, the Company shall deliver each the following: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 Legal opinions of Han Kun Law Offices LLP and Ogier, addressed to the Placement Agent and the Purchasers, in form and substance reasonably acceptable to the Placement Agent and Purchasers.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 A negative assurance letter from Han Kun Law Offices LLP, addressed to the Placement Agent and dated the Closing Date, in a form reasonably satisfactory to the Placement Agent.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10.1.2.3 A copy of the irrevocable instructions to the Transfer Agent instructing the Transfer Agent to deliver, on an expedited basis, a certificate (or at the request of the Purchaser, book entry statement) evidencing a number of Shares equal to such Purchaser’s Subscription Amount divided by the Per Share Purchase Price, registered in the name of such Purchaser.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 For each Purchaser of Pre-Funded Warrants pursuant to Section ‎11, a Pre-Funded Warrant registered in the name of such Purchaser to purchase up to a number of Ordinary Shares equal to the portion of such Purchaser’s Subscription Amount applicable to Pre-Funded Warrants divided by the Per Share Purchase Price, with an exercise price equal to $0.00001, subject to adjustment as provided therein.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 The Company shall have provided each Purchaser with the Company’s wire instructions, on Company letterhead and executed by the Chief Executive Officer or Chief Financial Officer.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 The Company shall have provided Aegis the signed flow of funds executed by the Chief Executive Officer or Chief Financial Officer.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10.1.2.7 A duly executed and delivered Officers’ Certificate, in customary form reasonably satisfactory to the Placement Agent and its counsel.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10.1.2.8 A cold comfort letter from the Company’s auditor, addressed to the Placement Agent in form and substance reasonably satisfactory in all material respects.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 The Prospectus and Prospectus Supplement (which may be delivered in accordance with Rule 172 under the Securities Act).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Representations and Warranties of the Company</w:t>
            </w:r>
            <w:r>
              <w:rPr>
                <w:rFonts w:ascii="Times New Roman;Times;Serif" w:hAnsi="Times New Roman;Times;Serif"/>
                <w:sz w:val="20"/>
              </w:rPr>
              <w:t>. The Company hereby makes the following representations and warranties: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Schedule ‎12.1. The Company owns, directly or indirectly, all of the share capital or other equity interests of each Subsidiary free and clear of any Liens, and all of the issued and outstanding shares of share capital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“Material Adverse Effect”; provided, however, that “Material Adverse Effect” shall not include any event, occurrence, fact, condition or change, directly or indirectly, arising out of or attributable to: (i) general economic or political conditions, (ii) conditions generally affecting the industry in which the Company or any Subsidiary operates, (iii) any changes in financial or securities markets in general, (iv) acts of war (whether or not declared), armed hostilities or terrorism, or the escalation or worsening thereof, (v) any pandemic, epidemics or human health crises (including COVID-19), (vi) any changes in applicable laws or accounting rules (including GAAP), (vii) the announcement, pendency or completion of the transactions contemplated by the Transaction Documents, or (viii) any action required or permitted by the Transaction Documents or any action taken (or omitted to be taken) with the written consent of or at the written request of Purchaser) and no Proceeding has been instituted in any such jurisdiction revoking, limiting or curtailing or seeking to revoke, limit or curtail such power and authority or qualification.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legal,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 of this Agreement, (ii) the filing with the Commission of the Prospectus in accordance with Rule 424(b), (iii) the notice and/or application(s) to each applicable Trading Market for the issuance and sale of the Securities and the listing of the Shares and Warrant Shares for trading thereon in the time and manner required thereby and such other filings as are required to be made under applicable state securities laws (the “</w:t>
      </w:r>
      <w:r>
        <w:rPr>
          <w:rFonts w:ascii="Times New Roman;Times;Serif" w:hAnsi="Times New Roman;Times;Serif"/>
          <w:b/>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Warrant Shares, when issued in accordance with the terms of the Transaction Documents, will be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Company has reserved from its duly authorized share capital the maximum number of Ordinary Shares issuable pursuant to this Agreement and the Warrants. The Company has prepared and filed the Registration Statement in conformity with the requirements of the Securities Act, which became effective on September 28, 2026,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 The Company was at the time of the filing of the Registration Statement eligible to use Form F-1. The Company is eligible to use Form F-1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on Schedule ‎12.7, which Schedule ‎12.7 shall also include the number of Ordinary Shares owned beneficially, and of record, by Affiliates of the Company as of the date hereof. Other than as stated in Schedule ‎12.7, the Company has not issued any share capital since its most recently filed periodic report under the Exchange Act, other than pursuant to the exercise of employee stock options under the Company’s stock option plans, the issuance of Ordinary Shares to employees pursuant to the Company’s employee stock purchase plans. No Person has any right of first refusal, preemptive right, right of participation, or any similar right to participate in the transactions contemplated by the Transaction Documents. Except as set forth in Schedule ‎12.7, or pursuant to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Securities will not obligate the Company or any Subsidiary to issue Ordinary Shares or other securities to any Person (other than the Purchasers). Except as set forth in Schedule ‎12.7,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Schedule ‎12.7,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1"/>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subject to Rule 144(i) under the Securities Act. The Company has filed Form 10 information at least one year prior to the date hereof.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on Schedule ‎12.9,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Schedule ‎12.10,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u w:val="single"/>
        </w:rPr>
        <w:t>Action</w:t>
      </w:r>
      <w:r>
        <w:rPr>
          <w:rFonts w:ascii="Times New Roman;Times;Serif" w:hAnsi="Times New Roman;Times;Serif"/>
          <w:b w:val="false"/>
          <w:i w:val="false"/>
          <w:caps w:val="false"/>
          <w:smallCaps w:val="false"/>
          <w:sz w:val="20"/>
        </w:rPr>
        <w:t>”). None of the Actions set forth on Schedule ‎12.10, (i) adversely affects or challenges the legality, validity or enforceability of any of the Transaction Documents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2"/>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3"/>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Neither the Company nor any of its Subsidiaries has received any written notice of any claim of any sort that has been asserted by anyone adverse to the rights of the Company or its Subsidiaries under any of the leases or subleases or licenses or with respect to the properties mentioned above, or affecting or questioning the rights of the Company or any Subsidiary to the continued possession or use of the leased or subleased or licensed premises or the properties mentioned above, other than such claims which would not, individually or in the aggregate,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written notice that any of, the Intellectual Property Rights has expired, terminated or been abandoned, or is expected to expire or terminate or be abandoned, within two (2) years after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11.18. </w:t>
      </w:r>
      <w:r>
        <w:rPr>
          <w:rFonts w:ascii="Times New Roman;Times;Serif" w:hAnsi="Times New Roman;Times;Serif"/>
          <w:b/>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‎12.18, during the past three fiscal years and the subsequent interim period through the date of this Agreement,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4"/>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11.19. </w:t>
      </w:r>
      <w:r>
        <w:rPr>
          <w:rFonts w:ascii="Times New Roman;Times;Serif" w:hAnsi="Times New Roman;Times;Serif"/>
          <w:b/>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set forth on Schedule ‎12.19,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11.20. </w:t>
      </w:r>
      <w:r>
        <w:rPr>
          <w:rFonts w:ascii="Times New Roman;Times;Serif" w:hAnsi="Times New Roman;Times;Serif"/>
          <w:b/>
          <w:i w:val="false"/>
          <w:caps w:val="false"/>
          <w:smallCaps w:val="false"/>
          <w:sz w:val="20"/>
          <w:u w:val="single"/>
        </w:rPr>
        <w:t>Certain Fees</w:t>
      </w:r>
      <w:r>
        <w:rPr>
          <w:rFonts w:ascii="Times New Roman;Times;Serif" w:hAnsi="Times New Roman;Times;Serif"/>
          <w:b w:val="false"/>
          <w:i w:val="false"/>
          <w:caps w:val="false"/>
          <w:smallCaps w:val="false"/>
          <w:sz w:val="20"/>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11.21. </w:t>
      </w:r>
      <w:r>
        <w:rPr>
          <w:rFonts w:ascii="Times New Roman;Times;Serif" w:hAnsi="Times New Roman;Times;Serif"/>
          <w:b/>
          <w:i w:val="false"/>
          <w:caps w:val="false"/>
          <w:smallCaps w:val="false"/>
          <w:sz w:val="20"/>
          <w:u w:val="single"/>
        </w:rPr>
        <w:t>Payments Within Twelve (12) Months</w:t>
      </w:r>
      <w:r>
        <w:rPr>
          <w:rFonts w:ascii="Times New Roman;Times;Serif" w:hAnsi="Times New Roman;Times;Serif"/>
          <w:b w:val="false"/>
          <w:i w:val="false"/>
          <w:caps w:val="false"/>
          <w:smallCaps w:val="false"/>
          <w:sz w:val="20"/>
        </w:rPr>
        <w:t>.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date hereof, other than the payment to the Placement Agent as provided hereunder in connection with the Placement.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11.22. </w:t>
      </w:r>
      <w:r>
        <w:rPr>
          <w:rFonts w:ascii="Times New Roman;Times;Serif" w:hAnsi="Times New Roman;Times;Serif"/>
          <w:b/>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disclosed on Schedule ‎12.23, no Person has any right to cause the Company or any Subsidiary to effect the registration under the Securities Act of any securities of the Company or any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11.24. </w:t>
      </w:r>
      <w:r>
        <w:rPr>
          <w:rFonts w:ascii="Times New Roman;Times;Serif" w:hAnsi="Times New Roman;Times;Serif"/>
          <w:b/>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have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5"/>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11.25. </w:t>
      </w:r>
      <w:r>
        <w:rPr>
          <w:rFonts w:ascii="Times New Roman;Times;Serif" w:hAnsi="Times New Roman;Times;Serif"/>
          <w:b/>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shareholders approval provisions of any Trading Market on which any of the securities of the Company are listed or designated.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None of the net proceeds of the Placement will be paid by the Company to any participating FINRA member or its affiliates, except as specifically authorized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11.29. </w:t>
      </w:r>
      <w:r>
        <w:rPr>
          <w:rFonts w:ascii="Times New Roman;Times;Serif" w:hAnsi="Times New Roman;Times;Serif"/>
          <w:b/>
          <w:i w:val="false"/>
          <w:caps w:val="false"/>
          <w:smallCaps w:val="false"/>
          <w:sz w:val="20"/>
          <w:u w:val="single"/>
        </w:rPr>
        <w:t>FINRA Affiliation</w:t>
      </w:r>
      <w:r>
        <w:rPr>
          <w:rFonts w:ascii="Times New Roman;Times;Serif" w:hAnsi="Times New Roman;Times;Serif"/>
          <w:b w:val="false"/>
          <w:i w:val="false"/>
          <w:caps w:val="false"/>
          <w:smallCaps w:val="false"/>
          <w:sz w:val="20"/>
        </w:rPr>
        <w:t>. There is no (i) officer or director of the Company, (ii) to the Company’s knowledge, beneficial owner of 10% or more of any class of the Company’s securities or (iii) to the Company’s knowledge, beneficial owner of the Company’s unregistered equity securities which were acquired during the 180-Calendar Day period immediately preceding the filing or submission of the Registration Statement that is an affiliate or associated person of a FINRA member participating in the Placement (as determined in accordance with the rules and regulations of FINRA).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Schedule ‎12.30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6"/>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11.31. </w:t>
      </w:r>
      <w:r>
        <w:rPr>
          <w:rFonts w:ascii="Times New Roman;Times;Serif" w:hAnsi="Times New Roman;Times;Serif"/>
          <w:b/>
          <w:i w:val="false"/>
          <w:caps w:val="false"/>
          <w:smallCaps w:val="false"/>
          <w:sz w:val="20"/>
          <w:u w:val="single"/>
        </w:rPr>
        <w:t>Tax Status</w:t>
      </w:r>
      <w:r>
        <w:rPr>
          <w:rFonts w:ascii="Times New Roman;Times;Serif" w:hAnsi="Times New Roman;Times;Serif"/>
          <w:b w:val="false"/>
          <w:i w:val="false"/>
          <w:caps w:val="false"/>
          <w:smallCaps w:val="false"/>
          <w:sz w:val="20"/>
        </w:rPr>
        <w:t>. Except as disclosed in Schedule ‎12.31,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11.32. </w:t>
      </w:r>
      <w:r>
        <w:rPr>
          <w:rFonts w:ascii="Times New Roman;Times;Serif" w:hAnsi="Times New Roman;Times;Serif"/>
          <w:b/>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w:t>
        <w:tab/>
      </w:r>
      <w:r>
        <w:rPr>
          <w:rFonts w:ascii="Times New Roman;Times;Serif" w:hAnsi="Times New Roman;Times;Serif"/>
          <w:b/>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J&amp;S Associate PLT, B-11-14, Megan Avenue II</w:t>
        <w:tab/>
        <w:t>, 12, Jalan Yap Kwan Seng, 50450, Kuala Lumpur, Malaysia. To the knowledge and belief of the Company, such accounting firm (i) is a registered public accounting firm as required by the Exchange Act and (ii) shall express its opinion with respect to the financial statements to be included in the Company’s Annual Report for the now current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11.34. </w:t>
      </w:r>
      <w:r>
        <w:rPr>
          <w:rFonts w:ascii="Times New Roman;Times;Serif" w:hAnsi="Times New Roman;Times;Serif"/>
          <w:b/>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11.35. </w:t>
      </w:r>
      <w:r>
        <w:rPr>
          <w:rFonts w:ascii="Times New Roman;Times;Serif" w:hAnsi="Times New Roman;Times;Serif"/>
          <w:b/>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11.36. </w:t>
      </w:r>
      <w:r>
        <w:rPr>
          <w:rFonts w:ascii="Times New Roman;Times;Serif" w:hAnsi="Times New Roman;Times;Serif"/>
          <w:b/>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7"/>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11.37. </w:t>
      </w:r>
      <w:r>
        <w:rPr>
          <w:rFonts w:ascii="Times New Roman;Times;Serif" w:hAnsi="Times New Roman;Times;Serif"/>
          <w:b/>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11.38. </w:t>
      </w:r>
      <w:r>
        <w:rPr>
          <w:rFonts w:ascii="Times New Roman;Times;Serif" w:hAnsi="Times New Roman;Times;Serif"/>
          <w:b/>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Purchasers shall be deemed a representation and warranty by the Company to the Purchasers as to the matters covered thereby.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11.39. </w:t>
      </w:r>
      <w:r>
        <w:rPr>
          <w:rFonts w:ascii="Times New Roman;Times;Serif" w:hAnsi="Times New Roman;Times;Serif"/>
          <w:b/>
          <w:i w:val="false"/>
          <w:caps w:val="false"/>
          <w:smallCaps w:val="false"/>
          <w:sz w:val="20"/>
          <w:u w:val="single"/>
        </w:rPr>
        <w:t>D&amp;O Questionnaires</w:t>
      </w:r>
      <w:r>
        <w:rPr>
          <w:rFonts w:ascii="Times New Roman;Times;Serif" w:hAnsi="Times New Roman;Times;Serif"/>
          <w:b w:val="false"/>
          <w:i w:val="false"/>
          <w:caps w:val="false"/>
          <w:smallCaps w:val="false"/>
          <w:sz w:val="20"/>
        </w:rPr>
        <w:t>. To the Company’s knowledge, all information contained in the questionnaires most recently completed by each of the Company’s directors and officers and beneficial owner of 5% or more of the Ordinary Shares or Ordinary Share Equivalents is true and correct in all respects and the Company has not become aware of any information which would cause the information disclosed in such questionnaires become inaccurate and incorrect.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11.40. </w:t>
      </w:r>
      <w:r>
        <w:rPr>
          <w:rFonts w:ascii="Times New Roman;Times;Serif" w:hAnsi="Times New Roman;Times;Serif"/>
          <w:b/>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if any,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11.41. </w:t>
      </w:r>
      <w:r>
        <w:rPr>
          <w:rFonts w:ascii="Times New Roman;Times;Serif" w:hAnsi="Times New Roman;Times;Serif"/>
          <w:b/>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11.42. </w:t>
      </w:r>
      <w:r>
        <w:rPr>
          <w:rFonts w:ascii="Times New Roman;Times;Serif" w:hAnsi="Times New Roman;Times;Serif"/>
          <w:b/>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11.43. </w:t>
      </w:r>
      <w:r>
        <w:rPr>
          <w:rFonts w:ascii="Times New Roman;Times;Serif" w:hAnsi="Times New Roman;Times;Serif"/>
          <w:b/>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11.44. </w:t>
      </w:r>
      <w:r>
        <w:rPr>
          <w:rFonts w:ascii="Times New Roman;Times;Serif" w:hAnsi="Times New Roman;Times;Serif"/>
          <w:b/>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11.45. </w:t>
      </w:r>
      <w:r>
        <w:rPr>
          <w:rFonts w:ascii="Times New Roman;Times;Serif" w:hAnsi="Times New Roman;Times;Serif"/>
          <w:b/>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8"/>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11.46. </w:t>
      </w:r>
      <w:r>
        <w:rPr>
          <w:rFonts w:ascii="Times New Roman;Times;Serif" w:hAnsi="Times New Roman;Times;Serif"/>
          <w:b/>
          <w:i w:val="false"/>
          <w:caps w:val="false"/>
          <w:smallCaps w:val="false"/>
          <w:sz w:val="20"/>
          <w:u w:val="single"/>
        </w:rPr>
        <w:t>Other Covered Persons</w:t>
      </w:r>
      <w:r>
        <w:rPr>
          <w:rFonts w:ascii="Times New Roman;Times;Serif" w:hAnsi="Times New Roman;Times;Serif"/>
          <w:b w:val="false"/>
          <w:i w:val="false"/>
          <w:caps w:val="false"/>
          <w:smallCaps w:val="false"/>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11.47. </w:t>
      </w:r>
      <w:r>
        <w:rPr>
          <w:rFonts w:ascii="Times New Roman;Times;Serif" w:hAnsi="Times New Roman;Times;Serif"/>
          <w:b/>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11.48. </w:t>
      </w:r>
      <w:r>
        <w:rPr>
          <w:rFonts w:ascii="Times New Roman;Times;Serif" w:hAnsi="Times New Roman;Times;Serif"/>
          <w:b/>
          <w:i w:val="false"/>
          <w:caps w:val="false"/>
          <w:smallCaps w:val="false"/>
          <w:sz w:val="20"/>
          <w:u w:val="single"/>
        </w:rPr>
        <w:t>Cybersecurity</w:t>
      </w:r>
      <w:r>
        <w:rPr>
          <w:rFonts w:ascii="Times New Roman;Times;Serif" w:hAnsi="Times New Roman;Times;Serif"/>
          <w:b w:val="false"/>
          <w:i w:val="false"/>
          <w:caps w:val="false"/>
          <w:smallCaps w:val="false"/>
          <w:sz w:val="20"/>
        </w:rPr>
        <w:t>. (i) (a)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and (b)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the case of clauses (i) and (ii) herein,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Conditions of the Obligations of the Placement Agent</w:t>
            </w:r>
            <w:r>
              <w:rPr>
                <w:rFonts w:ascii="Times New Roman;Times;Serif" w:hAnsi="Times New Roman;Times;Serif"/>
                <w:sz w:val="20"/>
              </w:rPr>
              <w:t>. The obligations of the Placement Agent hereunder shall be subject to the accuracy of the representations and warranties on the part of the Company set forth in Section ‎12 hereof, in each case as of the date hereof and as of the Closing Date as though then made, to the timely performance by each of the Company of its covenants and other obligations hereunder on and as of such dates, and to each of the following additional conditions: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w:t>
      </w:r>
      <w:r>
        <w:rPr>
          <w:rFonts w:ascii="Times New Roman;Times;Serif" w:hAnsi="Times New Roman;Times;Serif"/>
          <w:b/>
          <w:i w:val="false"/>
          <w:caps w:val="false"/>
          <w:smallCaps w:val="false"/>
          <w:sz w:val="20"/>
          <w:u w:val="single"/>
        </w:rPr>
        <w:t>Effectiveness of Registration Statement; Rule 424 Information</w:t>
      </w:r>
      <w:r>
        <w:rPr>
          <w:rFonts w:ascii="Times New Roman;Times;Serif" w:hAnsi="Times New Roman;Times;Serif"/>
          <w:b w:val="false"/>
          <w:i w:val="false"/>
          <w:caps w:val="false"/>
          <w:smallCaps w:val="false"/>
          <w:sz w:val="20"/>
        </w:rPr>
        <w:t>.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w:t>
      </w:r>
      <w:r>
        <w:rPr>
          <w:rFonts w:ascii="Times New Roman;Times;Serif" w:hAnsi="Times New Roman;Times;Serif"/>
          <w:b/>
          <w:i w:val="false"/>
          <w:caps w:val="false"/>
          <w:smallCaps w:val="false"/>
          <w:sz w:val="20"/>
          <w:u w:val="single"/>
        </w:rPr>
        <w:t>FINRA Clearance</w:t>
      </w:r>
      <w:r>
        <w:rPr>
          <w:rFonts w:ascii="Times New Roman;Times;Serif" w:hAnsi="Times New Roman;Times;Serif"/>
          <w:b w:val="false"/>
          <w:i w:val="false"/>
          <w:caps w:val="false"/>
          <w:smallCaps w:val="false"/>
          <w:sz w:val="20"/>
        </w:rPr>
        <w:t>. On or before the Closing Date, the Placement Agent shall have received clearance from FINRA as to the amount of compensation allowable or payable to the Placement Agent as described in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w:t>
      </w:r>
      <w:r>
        <w:rPr>
          <w:rFonts w:ascii="Times New Roman;Times;Serif" w:hAnsi="Times New Roman;Times;Serif"/>
          <w:b/>
          <w:i w:val="false"/>
          <w:caps w:val="false"/>
          <w:smallCaps w:val="false"/>
          <w:sz w:val="20"/>
          <w:u w:val="single"/>
        </w:rPr>
        <w:t>Listing of Additional Shares</w:t>
      </w:r>
      <w:r>
        <w:rPr>
          <w:rFonts w:ascii="Times New Roman;Times;Serif" w:hAnsi="Times New Roman;Times;Serif"/>
          <w:b w:val="false"/>
          <w:i w:val="false"/>
          <w:caps w:val="false"/>
          <w:smallCaps w:val="false"/>
          <w:sz w:val="20"/>
        </w:rPr>
        <w:t>. On or before the Closing Date, the Company shall have filed a notice with the Exchange with respect to the Company’s additional listing of the securities sold in the Placement.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u w:val="single"/>
        </w:rPr>
        <w:t>Closing Deliverables</w:t>
      </w:r>
      <w:r>
        <w:rPr>
          <w:rFonts w:ascii="Times New Roman;Times;Serif" w:hAnsi="Times New Roman;Times;Serif"/>
          <w:b w:val="false"/>
          <w:i w:val="false"/>
          <w:caps w:val="false"/>
          <w:smallCaps w:val="false"/>
          <w:sz w:val="20"/>
        </w:rPr>
        <w:t>. The Company shall have delivered all closing deliverables to the Placement Agent as set forth in Section ‎11.1 as of the time required and in form reasonably satisfactory to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w:t>
      </w:r>
      <w:r>
        <w:rPr>
          <w:rFonts w:ascii="Times New Roman;Times;Serif" w:hAnsi="Times New Roman;Times;Serif"/>
          <w:b/>
          <w:i w:val="false"/>
          <w:caps w:val="false"/>
          <w:smallCaps w:val="false"/>
          <w:sz w:val="20"/>
          <w:u w:val="single"/>
        </w:rPr>
        <w:t>No Material Changes</w:t>
      </w:r>
      <w:r>
        <w:rPr>
          <w:rFonts w:ascii="Times New Roman;Times;Serif" w:hAnsi="Times New Roman;Times;Serif"/>
          <w:b w:val="false"/>
          <w:i w:val="false"/>
          <w:caps w:val="false"/>
          <w:smallCaps w:val="false"/>
          <w:sz w:val="20"/>
        </w:rPr>
        <w:t>. Prior to and on the Closing Date: (i) there shall have been no Material Adverse Effect or development involving a prospective Material Adverse Effect in the condition or prospects or the business activities, financial or otherwise, of the Company from the latest dates as of which such condition is set forth in the Registration Statement, the Disclosure Package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and the Prospectus; (iii) no stop order shall have been issued under the Securities Act and no proceedings therefor shall have been initiated or threatened by the Commission; and (iv) the Registration Statement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9"/>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12.2.2. </w:t>
      </w:r>
      <w:r>
        <w:rPr>
          <w:rFonts w:ascii="Times New Roman;Times;Serif" w:hAnsi="Times New Roman;Times;Serif"/>
          <w:b/>
          <w:i w:val="false"/>
          <w:caps w:val="false"/>
          <w:smallCaps w:val="false"/>
          <w:sz w:val="20"/>
          <w:u w:val="single"/>
        </w:rPr>
        <w:t>Additional Documents</w:t>
      </w:r>
      <w:r>
        <w:rPr>
          <w:rFonts w:ascii="Times New Roman;Times;Serif" w:hAnsi="Times New Roman;Times;Serif"/>
          <w:b w:val="false"/>
          <w:i w:val="false"/>
          <w:caps w:val="false"/>
          <w:smallCaps w:val="false"/>
          <w:sz w:val="20"/>
        </w:rPr>
        <w:t>. At the Closing Date, Placement Agent’s counsel shall have been furnished with such documents and opinions as they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Agent’s counsel.</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Prior Agreement</w:t>
            </w:r>
            <w:r>
              <w:rPr>
                <w:rFonts w:ascii="Times New Roman;Times;Serif" w:hAnsi="Times New Roman;Times;Serif"/>
                <w:sz w:val="20"/>
              </w:rPr>
              <w:t>. By entering into this Agreement, the parties agree that that certain letter of engagement, dated July 28, 2026, entered into between the same parties hereof, shall automatically terminate and cease to have any effect whatsoever and shall be superseded in its entirety by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Definitions</w:t>
            </w:r>
            <w:r>
              <w:rPr>
                <w:rFonts w:ascii="Times New Roman;Times;Serif" w:hAnsi="Times New Roman;Times;Serif"/>
                <w:sz w:val="20"/>
              </w:rPr>
              <w:t>. In addition to the terms defined elsewhere in this Agreement, for all purposes of this Agreement, the following terms have the meanings: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i w:val="false"/>
          <w:caps w:val="false"/>
          <w:smallCaps w:val="false"/>
          <w:sz w:val="20"/>
          <w:u w:val="single"/>
        </w:rPr>
        <w:t>BHCA</w:t>
      </w:r>
      <w:r>
        <w:rPr>
          <w:rFonts w:ascii="Times New Roman;Times;Serif" w:hAnsi="Times New Roman;Times;Serif"/>
          <w:b w:val="false"/>
          <w:i w:val="false"/>
          <w:caps w:val="false"/>
          <w:smallCaps w:val="false"/>
          <w:sz w:val="20"/>
        </w:rPr>
        <w:t>” shall have the meaning ascribed to such term in Section ‎12.43.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 “</w:t>
      </w:r>
      <w:r>
        <w:rPr>
          <w:rFonts w:ascii="Times New Roman;Times;Serif" w:hAnsi="Times New Roman;Times;Serif"/>
          <w:b/>
          <w:i w:val="false"/>
          <w:caps w:val="false"/>
          <w:smallCaps w:val="false"/>
          <w:sz w:val="20"/>
          <w:u w:val="single"/>
        </w:rPr>
        <w:t>Ordinary Share</w:t>
      </w:r>
      <w:r>
        <w:rPr>
          <w:rFonts w:ascii="Times New Roman;Times;Serif" w:hAnsi="Times New Roman;Times;Serif"/>
          <w:b w:val="false"/>
          <w:i w:val="false"/>
          <w:caps w:val="false"/>
          <w:smallCaps w:val="false"/>
          <w:sz w:val="20"/>
        </w:rPr>
        <w:t>” means the ordinary shares of the Company, without par value per share, and any other class of securities into which such securities may hereafter be reclassified or changed.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 “</w:t>
      </w:r>
      <w:r>
        <w:rPr>
          <w:rFonts w:ascii="Times New Roman;Times;Serif" w:hAnsi="Times New Roman;Times;Serif"/>
          <w:b/>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 “</w:t>
      </w:r>
      <w:r>
        <w:rPr>
          <w:rFonts w:ascii="Times New Roman;Times;Serif" w:hAnsi="Times New Roman;Times;Serif"/>
          <w:b/>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$0.07 (less $0.00001 exercise price for each Pre-Funded Warrant), subject to adjustment for reverse and forward share splits, share dividends, share combinations and other similar transactions of the Ordinary Shares that occur after the date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 “</w:t>
      </w:r>
      <w:r>
        <w:rPr>
          <w:rFonts w:ascii="Times New Roman;Times;Serif" w:hAnsi="Times New Roman;Times;Serif"/>
          <w:b/>
          <w:i w:val="false"/>
          <w:caps w:val="false"/>
          <w:smallCaps w:val="false"/>
          <w:sz w:val="20"/>
          <w:u w:val="single"/>
        </w:rPr>
        <w:t>Placement Agent</w:t>
      </w:r>
      <w:r>
        <w:rPr>
          <w:rFonts w:ascii="Times New Roman;Times;Serif" w:hAnsi="Times New Roman;Times;Serif"/>
          <w:b w:val="false"/>
          <w:i w:val="false"/>
          <w:caps w:val="false"/>
          <w:smallCaps w:val="false"/>
          <w:sz w:val="20"/>
        </w:rPr>
        <w:t>” means Aegis Capital Corp.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0"/>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 “</w:t>
      </w:r>
      <w:r>
        <w:rPr>
          <w:rFonts w:ascii="Times New Roman;Times;Serif" w:hAnsi="Times New Roman;Times;Serif"/>
          <w:b/>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the pre-funded Ordinary Share purchase warrants, in the form of </w:t>
      </w:r>
      <w:r>
        <w:rPr>
          <w:rFonts w:ascii="Times New Roman;Times;Serif" w:hAnsi="Times New Roman;Times;Serif"/>
          <w:b/>
          <w:i w:val="false"/>
          <w:caps w:val="false"/>
          <w:smallCaps w:val="false"/>
          <w:sz w:val="20"/>
          <w:u w:val="single"/>
        </w:rPr>
        <w:t>Exhibit ‎15.27.1</w:t>
      </w:r>
      <w:r>
        <w:rPr>
          <w:rFonts w:ascii="Times New Roman;Times;Serif" w:hAnsi="Times New Roman;Times;Serif"/>
          <w:b w:val="false"/>
          <w:i w:val="false"/>
          <w:caps w:val="false"/>
          <w:smallCaps w:val="false"/>
          <w:sz w:val="20"/>
        </w:rPr>
        <w:t xml:space="preserve"> attached hereto delivered to the Purchasers at the Closing in accordance with Section ‎11.1.2.4 hereof, which Pre-Funded Warrants shall be exercisable immediately and shall expire when exercised in full.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 “</w:t>
      </w:r>
      <w:r>
        <w:rPr>
          <w:rFonts w:ascii="Times New Roman;Times;Serif" w:hAnsi="Times New Roman;Times;Serif"/>
          <w:b/>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 “</w:t>
      </w:r>
      <w:r>
        <w:rPr>
          <w:rFonts w:ascii="Times New Roman;Times;Serif" w:hAnsi="Times New Roman;Times;Serif"/>
          <w:b/>
          <w:i w:val="false"/>
          <w:caps w:val="false"/>
          <w:smallCaps w:val="false"/>
          <w:sz w:val="20"/>
          <w:u w:val="single"/>
        </w:rPr>
        <w:t>Purchaser</w:t>
      </w:r>
      <w:r>
        <w:rPr>
          <w:rFonts w:ascii="Times New Roman;Times;Serif" w:hAnsi="Times New Roman;Times;Serif"/>
          <w:b w:val="false"/>
          <w:i w:val="false"/>
          <w:caps w:val="false"/>
          <w:smallCaps w:val="false"/>
          <w:sz w:val="20"/>
        </w:rPr>
        <w:t>” means each purchaser of Securities in the Placement.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 “</w:t>
      </w:r>
      <w:r>
        <w:rPr>
          <w:rFonts w:ascii="Times New Roman;Times;Serif" w:hAnsi="Times New Roman;Times;Serif"/>
          <w:b/>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and Warrants purchased hereunder in United States dollars and in immediately available funds.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the OTCQB, OTCQX, Pink Open Market (or any successors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Securities, the Lock-Up Agreement and all exhibits and schedules thereto and hereto and any other documents or agreements executed in connection with the transactions contemplated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NY 10004, and any successor transfer agent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means the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means the Ordinary Shares issuable upon exercise of the Warrants.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Termination</w:t>
            </w:r>
            <w:r>
              <w:rPr>
                <w:rFonts w:ascii="Times New Roman;Times;Serif" w:hAnsi="Times New Roman;Times;Serif"/>
                <w:sz w:val="20"/>
              </w:rPr>
              <w:t>. Notwithstanding anything to the contrary contained herein, the Company agrees that the provisions relating to the payment of fees, reimbursement of expenses, right of first refusal, tail fee, indemnification and contribution, equitable remedies, confidentiality, conflicts, independent contractor and waiver of the right to trial by jury will survive any termination or expiration of this placement agent agreement. Notwithstanding anything to the contrary contained herein, the Company has the right to terminate the placement agent agreement for cause in compliance with FINRA Rule 5110(g)(5)(B)(i). The exercise of such right of termination for cause eliminates the Company’s obligations with respect to the provisions relating to the tail fees and right of first refusal. Notwithstanding anything to the contrary contained in this placement agent agreement, in the event that no Placement is completed for any reason whatsoever during the Engagement Period, the Company shall be obligated to pay to Aegis its actual and accountable out-of-pocket expenses related to the Placement (including the fees and disbursements of Placement Agent’s legal counsel) and if applicable, for electronic road show service used in connection with the Placement. During the engagement hereunder: (i) the Company will not, and will not permit its representatives to, other than in coordination with Aegis, contact or solicit institutions, corporations or other entities or individuals as potential purchasers of the Securities and (ii) the Company will not pursue any financing transaction which would be in lieu of the Placement. Furthermore, the Company agrees that during Aegis’s engagement hereunder, all inquiries from prospective investors will be referred to Aegis. Regardless of termination and except as stated in this Section ‎16, Section ‎9 of this placement agent agreement will still remain in full effect if an offering is consummated.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Publicity</w:t>
            </w:r>
            <w:r>
              <w:rPr>
                <w:rFonts w:ascii="Times New Roman;Times;Serif" w:hAnsi="Times New Roman;Times;Serif"/>
                <w:sz w:val="20"/>
              </w:rPr>
              <w:t>. The Company agrees that it will not issue press releases or engage in any other publicity, without Aegis’s prior written consent, commencing on the date hereof and continuing until the final Closing of the Placement.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1"/>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Information</w:t>
            </w:r>
            <w:r>
              <w:rPr>
                <w:rFonts w:ascii="Times New Roman;Times;Serif" w:hAnsi="Times New Roman;Times;Serif"/>
                <w:sz w:val="20"/>
              </w:rPr>
              <w:t>. During the Engagement Period or until the Closing, the Company agrees to cooperate with Aegis and to furnish, or cause to be furnished, to Aegis, any and all information and data concerning the Company, and the Placement that Aegis deems appropriate (the “</w:t>
            </w:r>
            <w:r>
              <w:rPr>
                <w:rFonts w:ascii="Times New Roman;Times;Serif" w:hAnsi="Times New Roman;Times;Serif"/>
                <w:b/>
                <w:sz w:val="20"/>
                <w:u w:val="single"/>
              </w:rPr>
              <w:t>Information</w:t>
            </w:r>
            <w:r>
              <w:rPr>
                <w:rFonts w:ascii="Times New Roman;Times;Serif" w:hAnsi="Times New Roman;Times;Serif"/>
                <w:sz w:val="20"/>
              </w:rPr>
              <w:t>”). The Company will provide Aegis reasonable access during normal business hours from and after the date of execution of this placement agent agreement until the Closing to all of the Company’s assets, properties, books, contracts, commitments and records and to the Company’s officers, directors, employees, appraisers, independent accountants, legal counsel and other consultants and advisors. Except as contemplated by the terms hereof or as required by applicable law, Aegis will keep strictly confidential all non-public Information concerning the Company provided to Aegis. No obligation of confidentiality will apply to Information that: (a) is in the public domain as of the date hereof or hereafter enters the public domain without a breach by Aegis, (b) was known or became known by Aegis prior to the Company’s disclosure thereof to Aegis as demonstrated by the existence of its written records, (c) becomes known to Aegis from a source other than the Company which information is not provided by the breach of an obligation of confidentiality owed to the Company, (d) is disclosed by the Company to a third party without restrictions on its disclosure or (e) is independently developed by Aegis as demonstrated by its written records. For the avoidance of doubt, except as otherwise provided herein, all information which is not publicly available relating to the Company’s proprietary technology is proprietary and confidential.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No Third Party Beneficiaries; No Fiduciary Obligations</w:t>
            </w:r>
            <w:r>
              <w:rPr>
                <w:rFonts w:ascii="Times New Roman;Times;Serif" w:hAnsi="Times New Roman;Times;Serif"/>
                <w:sz w:val="20"/>
              </w:rPr>
              <w:t>. This placement agent agreement does not create, and shall not be construed as creating, rights enforceable by any person or entity not a party hereto, except those entitled hereto by virtue of the indemnification provisions hereof. The Company acknowledges and agrees that: (i) Aegis is not and shall not be construed as a fiduciary of the Company and shall have no duties or liabilities to the equity holders or the creditors of the Company or any other person or entity by virtue of this placement agent agreement or the retention of Aegis hereunder, all of which are hereby expressly waived; and (ii) Aegis is a full service securities firm engaged in a wide range of businesses and from time to time, in the ordinary course of its business, Aegis or its affiliates may hold long or short positions and trade or otherwise effect transactions for its own account or the account of its customers in debt or equity securities or loans of the companies which may be the subject of the transactions contemplated by this placement agent agreement. During the course of Aegis’s engagement with the Company, Aegis may have in its possession material, non-public information regarding other companies that could potentially be relevant to the Company or the transactions contemplated herein but which cannot be shared due to an obligation of confidence to such other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7"/>
        <w:gridCol w:w="9469"/>
      </w:tblGrid>
      <w:tr>
        <w:trPr/>
        <w:tc>
          <w:tcPr>
            <w:tcW w:w="8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4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Indemnification, Advancement &amp; Contribution</w:t>
            </w: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The Company agrees to indemnify and hold harmless Aegis, its affiliates and each person controlling Aegis (within the meaning of Section 15 of the Securities Act), and the directors, officers, agents and employees of Aegis, its affiliates and each such controlling person (Aegis, and each such entity or person hereafter is referred to as an “</w:t>
      </w:r>
      <w:r>
        <w:rPr>
          <w:rFonts w:ascii="Times New Roman;Times;Serif" w:hAnsi="Times New Roman;Times;Serif"/>
          <w:b/>
          <w:i w:val="false"/>
          <w:caps w:val="false"/>
          <w:smallCaps w:val="false"/>
          <w:sz w:val="20"/>
          <w:u w:val="single"/>
        </w:rPr>
        <w:t>Indemnified Person</w:t>
      </w:r>
      <w:r>
        <w:rPr>
          <w:rFonts w:ascii="Times New Roman;Times;Serif" w:hAnsi="Times New Roman;Times;Serif"/>
          <w:b w:val="false"/>
          <w:i w:val="false"/>
          <w:caps w:val="false"/>
          <w:smallCaps w:val="false"/>
          <w:sz w:val="20"/>
        </w:rPr>
        <w:t>”) from and against any losses, claims, damages, judgments, assessments, costs and other liabilities (collectively, the “</w:t>
      </w:r>
      <w:r>
        <w:rPr>
          <w:rFonts w:ascii="Times New Roman;Times;Serif" w:hAnsi="Times New Roman;Times;Serif"/>
          <w:b/>
          <w:i w:val="false"/>
          <w:caps w:val="false"/>
          <w:smallCaps w:val="false"/>
          <w:sz w:val="20"/>
          <w:u w:val="single"/>
        </w:rPr>
        <w:t>Liabilities</w:t>
      </w:r>
      <w:r>
        <w:rPr>
          <w:rFonts w:ascii="Times New Roman;Times;Serif" w:hAnsi="Times New Roman;Times;Serif"/>
          <w:b w:val="false"/>
          <w:i w:val="false"/>
          <w:caps w:val="false"/>
          <w:smallCaps w:val="false"/>
          <w:sz w:val="20"/>
        </w:rPr>
        <w:t>”), and shall reimburse each Indemnified Person for all fees and expenses (including the reasonable fees and expenses of counsel for the Indemnified Persons) (collectively, the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and agrees to advance payment of such Expenses as they are incurred by an Indemnified Person in investigating, preparing, pursuing or defending any actions, whether or not any Indemnified Person is a party thereto, arising out of or based upon (i) any untrue statement or alleged untrue statement of a material fact contained in (A) the Registration Statement, Prospectus or any other offering documents (as from time to time each may be amended and supplemented), (B) any materials or information provided to investors by, or with the approval of, the Company in connection with the marketing of the Placement, including any “road show” or investor presentations made to investors by the Company (whether in person or electronically), or (C) any application or other document or written communication (collectively called “application”) executed by the Company or based upon written information furnished by the Company in any jurisdiction in order to qualify the Securities under the securities laws thereof or to file for an exemption from such requirement or filed with the Commission, any state securities commission or agency, any national securities exchange; or (ii)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information provided to the Company by Aegis in writing specifically for use in the Registration Statement, Prospectus or any other offering documents with respect which or resulting from conduct by Aegis or another Indemnified Party, as to which Aegis shall indemnify and hold harmless the Company, its officers, directors and controlling parties in the manner set forth in this Section ‎20. The Company also agrees to reimburse and advance each Indemnified Person for all Expenses as they are incurred in connection with such Indemnified Person’s enforcement of his or its rights under this Section ‎20.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2"/>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19.2. </w:t>
      </w:r>
      <w:r>
        <w:rPr>
          <w:rFonts w:ascii="Times New Roman;Times;Serif" w:hAnsi="Times New Roman;Times;Serif"/>
          <w:b/>
          <w:i w:val="false"/>
          <w:caps w:val="false"/>
          <w:smallCaps w:val="false"/>
          <w:sz w:val="20"/>
          <w:u w:val="single"/>
        </w:rPr>
        <w:t>Procedure</w:t>
      </w:r>
      <w:r>
        <w:rPr>
          <w:rFonts w:ascii="Times New Roman;Times;Serif" w:hAnsi="Times New Roman;Times;Serif"/>
          <w:b w:val="false"/>
          <w:i w:val="false"/>
          <w:caps w:val="false"/>
          <w:smallCaps w:val="false"/>
          <w:sz w:val="20"/>
        </w:rPr>
        <w:t>. Upon receipt by an Indemnified Person of actual notice of an action against such Indemnified Person with respect to which indemnity may reasonably be expected to be sought under this Section ‎20, such Indemnified Person shall promptly notify the Company in writing; provided that failure by any Indemnified Person so to notify the Company shall not relieve the Company from any obligation or liability which the Company may have on account of this Section ‎20 or otherwise to such Indemnified Person. The Company shall, if requested by Aegis, assume the defense of any such action (including the employment of counsel designated by Aegis and reasonably satisfactory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separate counsel reasonably acceptable to Aegis for the benefit of Aegis and the other Indemnified Persons or (ii) such Indemnified Person shall have been advised that in the opinion of counsel that there is an actual or potential conflict of interest that prevents (or makes it imprudent for) the counsel designated by and engaged by the Company for the purpose of representing the Indemnified Person, to represent both such Indemnified Person and any other person represented or proposed to be represented by such counsel, in which event the Company shall pay the reasonable fees and expenses of one counsel, plus local counsel, for all Indemnified Parties, which counsel shall, if Aegis is a defendant, be designated by Aegis. The Company shall not be liable for any settlement of any action effected without its written consent (which shall not be unreasonably withheld). In addition, the Company shall not, without the prior written consent of Aegis,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Calendar Days following the date of any invoice therefore).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w:t>
      </w:r>
      <w:r>
        <w:rPr>
          <w:rFonts w:ascii="Times New Roman;Times;Serif" w:hAnsi="Times New Roman;Times;Serif"/>
          <w:b/>
          <w:i w:val="false"/>
          <w:caps w:val="false"/>
          <w:smallCaps w:val="false"/>
          <w:sz w:val="20"/>
          <w:u w:val="single"/>
        </w:rPr>
        <w:t>Contribution</w:t>
      </w:r>
      <w:r>
        <w:rPr>
          <w:rFonts w:ascii="Times New Roman;Times;Serif" w:hAnsi="Times New Roman;Times;Serif"/>
          <w:b w:val="false"/>
          <w:i w:val="false"/>
          <w:caps w:val="false"/>
          <w:smallCaps w:val="false"/>
          <w:sz w:val="20"/>
        </w:rPr>
        <w:t>. In the event that a court of competent jurisdiction makes a finding, final beyond right of review, that indemnity is unavailable to an Indemnified Person, the Company shall contribute to the Liabilities and Expenses paid or payable by such Indemnified Person in such proportion as is appropriate to reflect (i) the relative benefits to the Company, on the one hand, and to Aegis and any other Indemnified Person, on the other hand, of the matters contemplated by this Section ‎20 or (ii) if the allocation provided by the immediately preceding clause is not permitted by applicable law, not only such relative benefits but also the relative fault of the Company, on the one hand, and Aegis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and non-accountable expense allowance actually received by Aegis in the Placement. The relative fault shall be determined by reference to, among other things, whether the untrue or alleged untrue statement of a material fact or the omission or alleged omission to state a material fact relates to information supplied by the Company on the one hand or Aegis on the other and the parties’ relative intent, knowledge, access to information and opportunity to correct or prevent such statement or omission. The Company and Aegis agree that it would not be just and equitable if contributions pursuant to this subsection ‎20.3 were determined by pro rata allocation or by any other method of allocation which does not take account of the equitable considerations referred to above in this subsection ‎20.3. For purposes of this paragraph, the relative benefits to the Company, on the one hand, and to Aegis on the other hand, of the matters contemplated by this Section ‎20 shall be deemed to be in the same proportion as: (a) the total value received by the Company in the Placement, whether or not such Placement is consummated, bears to (b) the commissions paid to Aegis under the Placement Agent Agreement. Notwithstanding the above, no person guilty of fraudulent misrepresentation within the meaning of Section 11(f) of the Securities Act shall be entitled to contribution from a party who was not guilty of fraudulent misrepresentation.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w:t>
      </w:r>
      <w:r>
        <w:rPr>
          <w:rFonts w:ascii="Times New Roman;Times;Serif" w:hAnsi="Times New Roman;Times;Serif"/>
          <w:b/>
          <w:i w:val="false"/>
          <w:caps w:val="false"/>
          <w:smallCaps w:val="false"/>
          <w:sz w:val="20"/>
          <w:u w:val="single"/>
        </w:rPr>
        <w:t>Limitation</w:t>
      </w:r>
      <w:r>
        <w:rPr>
          <w:rFonts w:ascii="Times New Roman;Times;Serif" w:hAnsi="Times New Roman;Times;Serif"/>
          <w:b w:val="false"/>
          <w:i w:val="false"/>
          <w:caps w:val="false"/>
          <w:smallCaps w:val="false"/>
          <w:sz w:val="20"/>
        </w:rPr>
        <w:t>. The Company also agrees that no Indemnified Person shall have any liability (whether direct or indirect, in contract or tort or otherwise) to the Company for or in connection with advice or services rendered or to be rendered by any Indemnified Person pursuant to this placement agent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exclusively from such Indemnified Person’s gross negligence or willful misconduct in connection with any such advice, actions, inactions or services.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3"/>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Equitable Remedies</w:t>
            </w:r>
            <w:r>
              <w:rPr>
                <w:rFonts w:ascii="Times New Roman;Times;Serif" w:hAnsi="Times New Roman;Times;Serif"/>
                <w:sz w:val="20"/>
              </w:rPr>
              <w:t>. Each party to this placement agent agreement acknowledges and agrees that (a) a breach or threatened breach by the Company of any of its obligations under Section ‎8 or Section ‎9 or the exclusivity provisions of Section ‎1 would give rise to irreparable harm to Aegis for which monetary damages would not be an adequate remedy and (b) if a breach or a threatened breach by the Company of any such obligations occurs, Aegis will, in addition to any and all other rights and remedies that may be available to such party at law, at equity, or otherwise in respect of such breach, be entitled to equitable relief, including a temporary restraining order, an injunction, specific performance of the terms of Section ‎8 or Section ‎9 or the exclusivity provisions of Section ‎1, as applicable, and any other relief that may be available from a court of competent jurisdiction, without any requirement to (i) post a bond or other security, or (ii) prove actual damages or that monetary damages will not afford an adequate remedy. Each party to this placement agent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‎21.</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Governing Law; Venue</w:t>
            </w:r>
            <w:r>
              <w:rPr>
                <w:rFonts w:ascii="Times New Roman;Times;Serif" w:hAnsi="Times New Roman;Times;Serif"/>
                <w:sz w:val="20"/>
              </w:rPr>
              <w:t>. This placement agent agreement will be deemed to have been made and delivered in the State of New York, USA, and both the binding provisions of this placement agent agreement and the transactions contemplated hereby will be governed as to validity, interpretation, construction, effect and in all other respects by the internal laws of the State of New York, without regard to the conflict of laws principles thereof. Each of Aegis and the Company: (i) agrees that any legal suit, action or proceeding arising out of or relating to this placement agent agreement and/or the transactions contemplated hereby will be instituted exclusively in the courts located in the Borough of Manhattan, City of New York, County of New York, State of New York (ii) waives any objection which it may have or hereafter to the venue of any such suit, action or proceeding, and (iii) irrevocably consents to the jurisdiction of the courts located in the City of New York, County of New York and State of New York, in any such suit, action or proceeding. Each of Aegis and the Company further agrees to accept and acknowledge service of any and all process which may be served in any such suit, action or proceeding in such courts and agrees that service of process upon the Company mailed by certified mail to the Company’s address will be deemed in every respect effective service of process upon the Company, in any such suit, action or proceeding, and service of process upon Aegis mailed by certified mail to Aegis’s address will be deemed in every respect effective service process upon Aegis, in any such suit, action or proceeding. Notwithstanding any provision of this placement agent agreement to the contrary, the Company agrees that neither Aegis nor its affiliates, and the respective officers, directors, employees, agents and representatives of Aegis, its affiliates and each other person, if any, controlling Aegis or any of its affiliates, will have any liability (whether direct or indirect, in contract or tort or otherwise) to the Company for or in connection with the engagement and transaction described herein except for any such liability for losses, claims, damages or liabilities incurred by the Company that are finally judicially determined to have resulted from the bad faith or gross negligence of such individuals or entities. Aegis will act under this placement agent agreement as an independent contractor with duties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Miscellaneous</w:t>
            </w:r>
            <w:r>
              <w:rPr>
                <w:rFonts w:ascii="Times New Roman;Times;Serif" w:hAnsi="Times New Roman;Times;Serif"/>
                <w:sz w:val="20"/>
              </w:rPr>
              <w:t>. The Company represents and warrants that it has all required power and authority to enter into and carry out the terms and provisions of this placement agent agreement and the execution, delivery and performance of this placement agent agreement does not breach or conflict with any agreement, document or instrument to which it is a party or bound. The binding provisions of this placement agent agreement are legally binding upon and inure to the benefit of both the Company and Aegis and their respective assigns, successors, and legal representatives. If any provision of this placement agent agreement is determined to be invalid or unenforceable in any respect, such determination will not affect such provision in any other respect, and the remainder of the placement agent agreement shall remain in full force and effect. This placement agent agreement may be executed in counterparts (including electronic counterparts), each of which shall be deemed an original but all of which together shall constitute one and the same instrument. The undersigned hereby consents to receipt of this placement agent agreement in electronic form and understands and agrees that this placement agent agreement may be signed electronically. Signatures to this placement agent agreement transmitted in electronic form will have the same effect as physical delivery of a paper document bearing the original signature, and if any signature is delivered electronically evidencing an intent to sign this placement agent agreement, such electronic mail or other electronic transmission shall create a valid and binding obligation of the undersigned with the same force and effect as if such signature were an original. Execution and delivery of this placement agent agreement by electronic mail or other electronic transmission is legal, valid and binding for all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 agreement with the foregoing, please sign and return to us one copy of this placement agent agreement. This placement agent agreement may be executed in counterparts (including facsimile or .pdf counterparts), each of which shall be deemed an original but all of which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of NIVF Best Efforts Secondary Offering Placement Agent Agreement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0100" cy="676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4"/>
                    <a:stretch>
                      <a:fillRect/>
                    </a:stretch>
                  </pic:blipFill>
                  <pic:spPr bwMode="auto">
                    <a:xfrm>
                      <a:off x="0" y="0"/>
                      <a:ext cx="800100" cy="6762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of NIVF Best Efforts Secondary Offering Placement Agent Agreement]</w:t>
      </w:r>
    </w:p>
    <w:p>
      <w:pPr>
        <w:pStyle w:val="TextBody"/>
        <w:bidi w:val="0"/>
        <w:spacing w:before="0" w:after="0"/>
        <w:ind w:left="0" w:right="0" w:hanging="0"/>
        <w:jc w:val="center"/>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both"/>
              <w:rPr/>
            </w:pPr>
            <w:r>
              <w:rPr/>
              <w:t> </w:t>
            </w:r>
          </w:p>
        </w:tc>
        <w:tc>
          <w:tcPr>
            <w:tcW w:w="2950" w:type="dxa"/>
            <w:gridSpan w:val="2"/>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9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xml:space="preserve">Aegis Capital Corp.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Robert Eide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Robert Eide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AGREED AND ACCEPTED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accurately sets forth our understanding and agreement with respect to the matters set forth herein.</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65"/>
        <w:gridCol w:w="2420"/>
        <w:gridCol w:w="75"/>
      </w:tblGrid>
      <w:tr>
        <w:trPr/>
        <w:tc>
          <w:tcPr>
            <w:tcW w:w="3085"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420"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42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715501ex99-1.htm"/>
      <w:bookmarkStart w:id="5" w:name="ksea0307155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 Announces Pricing of $1.25  Million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BANGKOK, September 28, 2026 (GLOBE NEWSWIRE)</w:t>
      </w:r>
      <w:r>
        <w:rPr>
          <w:rFonts w:ascii="Times New Roman;Times;Serif" w:hAnsi="Times New Roman;Times;Serif"/>
          <w:b w:val="false"/>
          <w:i w:val="false"/>
          <w:caps w:val="false"/>
          <w:smallCaps w:val="false"/>
          <w:sz w:val="20"/>
        </w:rPr>
        <w:t xml:space="preserve"> -- NewGenIvf Group Limited (NASDAQ: NIVF) (the “Company”), a tech-forward, diversified, multi-jurisdictional high-growth entity transforming industries through innovative solutions across real estate development, digital asset management and reproductive health solutions, today announced the pricing of a public offering made on a reasonable best efforts basis with gross proceeds to the Company expected to be approximately $1.25 million, before deducting placement agent fees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consists of 17,857,143 Ordinary Shares or Pre-Funded Warrants in lieu thereof. The public offering price per Common Share is $0.07 (or $0.06999 for each Pre-Funded Warrant, which is equal to the public offering price per Ordinary Share to be sold in the offering minus an exercise price of $0.00001 per Pre-Funded Warrant). The Pre-Funded Warrants will be immediately exercisable and may be exercised at any time until exercised in full. For each Pre-Funded Warrant sold in the offering, the number of Ordinary Shares in the offering will be decreased on a one-for-one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to the Company are expected to be approximately $1.25 million. The transaction is expected to close on or about September 30, 2026, subject to the satisfaction of customary closing conditions. The Company expects to use the net proceeds from the offering, together with its existing cash, for investment in K25.ai, restructuring of debt securities, working capital including manufacturing and deployment of Nodexus machines in the cell-sorting business,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 is acting as the exclusive placement agent for the offering. Han Kun Law Offices LLP is acting as U.S. counsel to the Company. Kaufman &amp; Canoles, P.C. is acting as U.S. counsel to Aegis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registration statement on Form F-1 (No. 333-298442) previously filed with the U.S. Securities and Exchange Commission (the “SEC”) on August 20, 2026 was declared effective by the SEC on September 28, 2026. The offering is being made only by means of a prospectus. A final prospectus describing the terms of the proposed offering will be filed with the SEC and will be available on the SEC’s website located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Electronic copies of the preliminary prospectus supplement and the accompanying prospectus may be obtained, when available, by contacting Aegis Capital Corp., Attention: Syndicate Department, 1345 Avenue of the Americas, 27th floor, New York, NY 10105, by email at syndicate@aegiscap.com, or by telephone at +1 (212) 813-1010. Before investing in this offering, interested parties should read in their entirety the prospectus, which provides more information about the Company and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NewGen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is a technology-forward, diversified growth company, pursuing opportunities across real estate development, digital asset innovation and reproductive health solutions. The Company operates through NewGenProperty, focused on real estate development projects in the UAE’s Ras Al Khaimah Emirate; NewGenDigital, focused on digital asset and decentralized-finance solutions; and NewGenSup, focused on health and longevity products and solutions. NewGenIVF’s legacy business includes IVF and assisted reproductive treatment services across Asia. To learn more, visit www.nivf.global. Information contained on, or accessible through, the Company’s website is not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material may contain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product development and business prospects, and can be identified by the use of words such as “may,” “will,” “expect,” “project,” “estimate,” “anticipate,” “plan,” “believe,” “potential,” “should,” “continue” or the negative versions of those words or other comparable words.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br/>
        <w:t>Robin Yang</w:t>
        <w:br/>
        <w:t>Phone: +1 (212) 537-4406</w:t>
        <w:br/>
        <w:t>Email: Newgenivf.IR@icrinc.com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6" w:name="ea030715501ex99-2.htm"/>
      <w:bookmarkStart w:id="7" w:name="ksea030715501ex992"/>
      <w:bookmarkEnd w:id="6"/>
      <w:bookmarkEnd w:id="7"/>
      <w:r>
        <w:rPr>
          <w:b/>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 Announces Closing of $1.25 Million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BANGKOK, September 30, 2026 (GLOBE NEWSWIRE)</w:t>
      </w:r>
      <w:r>
        <w:rPr>
          <w:rFonts w:ascii="Times New Roman;Times;Serif" w:hAnsi="Times New Roman;Times;Serif"/>
          <w:b w:val="false"/>
          <w:i w:val="false"/>
          <w:caps w:val="false"/>
          <w:smallCaps w:val="false"/>
          <w:sz w:val="20"/>
        </w:rPr>
        <w:t xml:space="preserve"> -- NewGenIvf Group Limited (NASDAQ: NIVF) (the “Company”), a tech-forward, diversified, multi-jurisdictional high-growth entity transforming industries through innovative solutions across real estate development, digital asset management and reproductive health solutions, today announced the closing of its previously announced public offering made on a reasonable best efforts basis with gross proceeds to the Company of approximately $1.25 million, before deducting placement agent fees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consisted of an aggregate of 17,857,143 Class A Ordinary Shares or pre-funded warrants to purchase Class A Ordinary Shares in lieu thereof (the “Pre-Funded Warrants”), comprising 125,000 Class A Ordinary Shares and Pre-Funded Warrants to purchase up to 17,732,143 Class A Ordinary Shares. The public offering price was $0.07 per Class A Ordinary Share and $0.06999 per Pre-Funded Warrant, which equals the public offering price per Class A Ordinary Share less the $0.00001 per share exercise price of the Pre-Funded Warrant. The Pre-Funded Warrants are immediately exercisable and may be exercised at any time until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to the Company were approximately $1.25 million. The transaction closed on September 30, 2026. The Company expects to use the net proceeds from the offering, together with its existing cash, for investment in K25.ai, restructuring of debt securities, working capital including manufacturing and deployment of Nodexus machines in the cell-sorting business,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Capital Corp. acted as the exclusive placement agent for the offering. Han Kun Law Offices LLP acted as U.S. counsel to the Company. Kaufman &amp; Canoles, P.C. acted as U.S. counsel to Aegis Capital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registration statement on Form F-1 (No. 333-298442) previously filed with the U.S. Securities and Exchange Commission (the “SEC”) on August 20, 2026 was declared effective by the SEC on September 28, 2026. The offering was made only by means of a prospectus. A final prospectus describing the terms of the offering has been filed with the SEC and is available on the SEC’s website located at </w:t>
      </w:r>
      <w:r>
        <w:rPr>
          <w:rFonts w:ascii="Times New Roman;Times;Serif" w:hAnsi="Times New Roman;Times;Serif"/>
          <w:b w:val="false"/>
          <w:i w:val="false"/>
          <w:caps w:val="false"/>
          <w:smallCaps w:val="false"/>
          <w:strike w:val="false"/>
          <w:dstrike w:val="false"/>
          <w:sz w:val="20"/>
          <w:u w:val="none"/>
          <w:effect w:val="none"/>
        </w:rPr>
        <w:t>www.sec.gov</w:t>
      </w:r>
      <w:r>
        <w:rPr>
          <w:rFonts w:ascii="Times New Roman;Times;Serif" w:hAnsi="Times New Roman;Times;Serif"/>
          <w:b w:val="false"/>
          <w:i w:val="false"/>
          <w:caps w:val="false"/>
          <w:smallCaps w:val="false"/>
          <w:sz w:val="20"/>
        </w:rPr>
        <w:t>. Electronic copies of the final prospectus may be obtained by contacting Aegis Capital Corp., Attention: Syndicate Department, 1345 Avenue of the Americas, 27th floor, New York, NY 10105, by email at syndicate@aegiscap.com, or by telephone at +1 (212) 813-1010. Before investing in this offering, interested parties should read in their entirety the prospectus, which provides more information about the Company and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NewGen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is a technology-forward, diversified growth company, pursuing opportunities across real estate development, digital asset innovation and reproductive health solutions. The Company operates through NewGenProperty, focused on real estate development projects in the UAE’s Ras Al Khaimah Emirate; NewGenDigital, focused on digital asset and decentralized-finance solutions; and NewGenSup, focused on health and longevity products and solutions. NewGenIVF’s legacy business includes IVF and assisted reproductive treatment services across Asia. To learn more, visit www.nivf.global. Information contained on, or accessible through, the Company’s website is not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material may contain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product development and business prospects, and can be identified by the use of words such as “may,” “will,” “expect,” “project,” “estimate,” “anticipate,” “plan,” “believe,” “potential,” “should,” “continue” or the negative versions of those words or other comparable words.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securities laws of the United States, the Company does not intend to update any of the forward-looking statements to conform these statements to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br/>
        <w:t>Robin Yang</w:t>
        <w:br/>
        <w:t>Phone: +1 (212) 537-4406</w:t>
        <w:br/>
        <w:t>Email: Newgenivf.IR@icrinc.com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1662/000121390026091922/ea030132501ex4-6.htm" TargetMode="External"/><Relationship Id="rId3" Type="http://schemas.openxmlformats.org/officeDocument/2006/relationships/hyperlink" Target="https://www.sec.gov/Archives/edgar/data/1981662/000121390026091922/ea030132501ex4-6.htm" TargetMode="External"/><Relationship Id="rId4" Type="http://schemas.openxmlformats.org/officeDocument/2006/relationships/hyperlink" Target="http://www.sec.gov/Archives/edgar/data/1981662/000121390026091922/ea030132501ex10-71.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19092</Words>
  <Characters>103017</Characters>
  <CharactersWithSpaces>122091</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