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315-6k_newgen.htm"/>
      <w:bookmarkStart w:id="1" w:name="ksea02993156k_newge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NewGenIvf Group Limited (the “Company”) announced that it had entered into a share purchase agreement to acquire an additional 3% equity in PredicXion Group Limited (a.k.a. K25.ai) (“K25.ai”, and such acquisition, the “Acquisition”). A copy of the press release issued by the Company on July 27, 2026 is furnished as Exhibit 99.1 and the share purchase agreement with respect to the Acquisition is filed as Exhibit 10.1. The descriptions below are qualified in their entirety by reference to the full text of those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Share Purchase Agreement, the Company will acquire 3% equity interest in K25.ai for aggregate consideration of US$7,500,000, consisting of (i) US$3,750,000 payable in cash or in digital assets, and (ii) 2,500,000 newly issued Class A ordinary shares of the Company at an agreed price of US$1.50 per share. Upon signing of the Share Purchase Agreement, the company will pay a cash deposit of US$187,500, and shall pay the balance of US$3,562,500 on closing. The closing of the transactions contemplated by the Share Purchase Agreement is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Exemption from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 the Company to be issued as part of the consideration under the Share Purchase Agreement, and any Class A ordinary shares of the Company to be issued upon any exercise of the Option, will be issued in reliance on the exemption from the registration requirements of the Securities Act of 1933, as amended (the “Securities Act”), provided by Section 4(a)(2) of the Securities Act and/or Regulation S promulgated thereunder, as a transaction by an issuer not involving any public offering. The Class A ordinary shares so issued will be “restricted securities” within the meaning of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665"/>
        <w:gridCol w:w="60"/>
        <w:gridCol w:w="930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3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5" w:type="dxa"/>
            <w:tcBorders/>
            <w:shd w:fill="CCEEFF" w:val="clear"/>
            <w:tcMar>
              <w:bottom w:w="0" w:type="dxa"/>
            </w:tcMar>
            <w:vAlign w:val="center"/>
          </w:tcPr>
          <w:p>
            <w:pPr>
              <w:pStyle w:val="TableContents"/>
              <w:bidi w:val="0"/>
              <w:spacing w:before="0" w:after="283"/>
              <w:jc w:val="left"/>
              <w:rPr/>
            </w:pPr>
            <w:hyperlink w:anchor="ea029931501ex10-1.htm">
              <w:r>
                <w:rPr>
                  <w:rStyle w:val="InternetLink"/>
                  <w:rFonts w:ascii="Times New Roman;Times;Serif" w:hAnsi="Times New Roman;Times;Serif"/>
                  <w:sz w:val="20"/>
                </w:rPr>
                <w:t>Share Purchase Agreement between NewGenIvf Group Limited and PredicXion Group Limited dated July 27, 2026</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5" w:type="dxa"/>
            <w:tcBorders/>
            <w:shd w:fill="FFFFFF" w:val="clear"/>
            <w:tcMar>
              <w:bottom w:w="0" w:type="dxa"/>
            </w:tcMar>
            <w:vAlign w:val="center"/>
          </w:tcPr>
          <w:p>
            <w:pPr>
              <w:pStyle w:val="TableContents"/>
              <w:bidi w:val="0"/>
              <w:spacing w:before="0" w:after="283"/>
              <w:jc w:val="left"/>
              <w:rPr/>
            </w:pPr>
            <w:hyperlink w:anchor="ea0299315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3</w:t>
      </w:r>
    </w:p>
    <w:p>
      <w:pPr>
        <w:pStyle w:val="TextBody"/>
        <w:bidi w:val="0"/>
        <w:jc w:val="left"/>
        <w:rPr>
          <w:bdr w:val="single" w:sz="12" w:space="1" w:color="000000"/>
        </w:rPr>
      </w:pPr>
      <w:r>
        <w:rPr>
          <w:bdr w:val="single" w:sz="12" w:space="1" w:color="000000"/>
        </w:rPr>
        <w:t> </w:t>
      </w:r>
    </w:p>
    <w:p>
      <w:pPr>
        <w:pStyle w:val="TextBody"/>
        <w:bidi w:val="0"/>
        <w:jc w:val="right"/>
        <w:rPr>
          <w:b/>
        </w:rPr>
      </w:pPr>
      <w:bookmarkStart w:id="2" w:name="ea029931501ex10-1.htm"/>
      <w:bookmarkStart w:id="3" w:name="ksea029931501ex101"/>
      <w:bookmarkEnd w:id="2"/>
      <w:bookmarkEnd w:id="3"/>
      <w:r>
        <w:rPr>
          <w:b/>
        </w:rPr>
        <w:t>Exhibit 10.1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3" w:right="4" w:hanging="0"/>
        <w:jc w:val="center"/>
        <w:rPr>
          <w:caps w:val="false"/>
          <w:smallCaps w:val="false"/>
        </w:rPr>
      </w:pPr>
      <w:r>
        <w:rPr>
          <w:caps w:val="false"/>
          <w:smallCaps w:val="false"/>
        </w:rPr>
        <w:t> </w:t>
      </w:r>
    </w:p>
    <w:p>
      <w:pPr>
        <w:pStyle w:val="TextBody"/>
        <w:bidi w:val="0"/>
        <w:spacing w:before="0" w:after="0"/>
        <w:ind w:left="3" w:right="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PredicXion Group Limited / K25.ai and NewGenIVF Group Limited</w:t>
      </w:r>
    </w:p>
    <w:p>
      <w:pPr>
        <w:pStyle w:val="TextBody"/>
        <w:bidi w:val="0"/>
        <w:spacing w:before="0" w:after="0"/>
        <w:ind w:left="4"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27 July 2026</w:t>
      </w:r>
    </w:p>
    <w:p>
      <w:pPr>
        <w:pStyle w:val="TextBody"/>
        <w:bidi w:val="0"/>
        <w:spacing w:before="0" w:after="0"/>
        <w:ind w:left="4" w:right="1"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ind w:left="45"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b/>
              </w:rPr>
            </w:pPr>
            <w:r>
              <w:rPr>
                <w:b/>
              </w:rPr>
              <w:t>1.</w:t>
            </w:r>
          </w:p>
        </w:tc>
        <w:tc>
          <w:tcPr>
            <w:tcW w:w="10030" w:type="dxa"/>
            <w:tcBorders/>
            <w:vAlign w:val="center"/>
          </w:tcPr>
          <w:p>
            <w:pPr>
              <w:pStyle w:val="TableContents"/>
              <w:bidi w:val="0"/>
              <w:spacing w:before="0" w:after="283"/>
              <w:jc w:val="both"/>
              <w:rPr/>
            </w:pPr>
            <w:r>
              <w:rPr/>
              <w:t>PredicXion Group Limited, a company organised under the laws of the British Virgin Islands, with registered address at Aegis Chambers, 1st Floor, Ellen Skelton Building, 3076 Sir Francis Drake’s Highway, Road Town, Tortola, VG1110, British Virgin Islands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both"/>
              <w:rPr>
                <w:b/>
              </w:rPr>
            </w:pPr>
            <w:r>
              <w:rPr>
                <w:b/>
              </w:rPr>
              <w:t>2.</w:t>
            </w:r>
          </w:p>
        </w:tc>
        <w:tc>
          <w:tcPr>
            <w:tcW w:w="10011" w:type="dxa"/>
            <w:tcBorders/>
            <w:vAlign w:val="center"/>
          </w:tcPr>
          <w:p>
            <w:pPr>
              <w:pStyle w:val="TableContents"/>
              <w:bidi w:val="0"/>
              <w:spacing w:before="0" w:after="283"/>
              <w:jc w:val="both"/>
              <w:rPr/>
            </w:pPr>
            <w:r>
              <w:rPr/>
              <w:t>NewGenIVF Group Limited, a British Virgin Islands incorporated company, with registered address at 1/F, Pier 2, Central, Hong Kong (the “Buyer”);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both"/>
              <w:rPr>
                <w:b/>
              </w:rPr>
            </w:pPr>
            <w:r>
              <w:rPr>
                <w:b/>
              </w:rPr>
              <w:t>3.</w:t>
            </w:r>
          </w:p>
        </w:tc>
        <w:tc>
          <w:tcPr>
            <w:tcW w:w="10018" w:type="dxa"/>
            <w:tcBorders/>
            <w:vAlign w:val="center"/>
          </w:tcPr>
          <w:p>
            <w:pPr>
              <w:pStyle w:val="TableContents"/>
              <w:bidi w:val="0"/>
              <w:spacing w:before="0" w:after="283"/>
              <w:jc w:val="both"/>
              <w:rPr/>
            </w:pPr>
            <w:r>
              <w:rPr/>
              <w:t>Kong Yiu CHEUNG, being the registered and beneficial owner of the Purchased Shares (the “Seller”). Each of the Company, Buyer and Seller is a “Party” and together the “Parties”.</w:t>
            </w:r>
          </w:p>
        </w:tc>
      </w:tr>
    </w:tbl>
    <w:p>
      <w:pPr>
        <w:pStyle w:val="TextBody"/>
        <w:bidi w:val="0"/>
        <w:spacing w:before="0" w:after="0"/>
        <w:ind w:left="45" w:right="1196"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4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both"/>
              <w:rPr/>
            </w:pPr>
            <w:r>
              <w:rPr/>
              <w:t>(A)</w:t>
            </w:r>
          </w:p>
        </w:tc>
        <w:tc>
          <w:tcPr>
            <w:tcW w:w="9871" w:type="dxa"/>
            <w:tcBorders/>
            <w:vAlign w:val="center"/>
          </w:tcPr>
          <w:p>
            <w:pPr>
              <w:pStyle w:val="TableContents"/>
              <w:bidi w:val="0"/>
              <w:spacing w:before="0" w:after="283"/>
              <w:jc w:val="both"/>
              <w:rPr/>
            </w:pPr>
            <w:r>
              <w:rPr/>
              <w:t>Buyer wishes to acquire, and Seller wishes to sell, shares representing 3% of the fully diluted equity of the Company at an agreed equity valuation of US$250,000,000.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283"/>
              <w:jc w:val="both"/>
              <w:rPr/>
            </w:pPr>
            <w:r>
              <w:rPr/>
              <w:t>(B)</w:t>
            </w:r>
          </w:p>
        </w:tc>
        <w:tc>
          <w:tcPr>
            <w:tcW w:w="9863" w:type="dxa"/>
            <w:tcBorders/>
            <w:vAlign w:val="center"/>
          </w:tcPr>
          <w:p>
            <w:pPr>
              <w:pStyle w:val="TableContents"/>
              <w:bidi w:val="0"/>
              <w:spacing w:before="0" w:after="283"/>
              <w:jc w:val="both"/>
              <w:rPr/>
            </w:pPr>
            <w:r>
              <w:rPr/>
              <w:t>The aggregate purchase price is US$7,500,000, payable 50% in cash and 50% in Buyer’s Class A ordinary shares.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both"/>
              <w:rPr/>
            </w:pPr>
            <w:r>
              <w:rPr/>
              <w:t>(C)</w:t>
            </w:r>
          </w:p>
        </w:tc>
        <w:tc>
          <w:tcPr>
            <w:tcW w:w="9897" w:type="dxa"/>
            <w:tcBorders/>
            <w:vAlign w:val="center"/>
          </w:tcPr>
          <w:p>
            <w:pPr>
              <w:pStyle w:val="TableContents"/>
              <w:bidi w:val="0"/>
              <w:spacing w:before="0" w:after="283"/>
              <w:jc w:val="both"/>
              <w:rPr/>
            </w:pPr>
            <w:r>
              <w:rPr/>
              <w:t>The Parties intend this Agreement to constitute the complete and binding terms of the transaction and to supersede any prior term sheet, heads of agreement or understanding relating specifically to this 3% acquisition.</w:t>
            </w:r>
          </w:p>
        </w:tc>
      </w:tr>
    </w:tbl>
    <w:p>
      <w:pPr>
        <w:pStyle w:val="TextBody"/>
        <w:bidi w:val="0"/>
        <w:spacing w:before="0" w:after="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15"/>
        <w:gridCol w:w="2810"/>
      </w:tblGrid>
      <w:tr>
        <w:trPr/>
        <w:tc>
          <w:tcPr>
            <w:tcW w:w="215" w:type="dxa"/>
            <w:tcBorders/>
            <w:vAlign w:val="center"/>
          </w:tcPr>
          <w:p>
            <w:pPr>
              <w:pStyle w:val="TableContents"/>
              <w:bidi w:val="0"/>
              <w:spacing w:before="0" w:after="283"/>
              <w:jc w:val="both"/>
              <w:rPr/>
            </w:pPr>
            <w:r>
              <w:rPr/>
              <w:t>1.</w:t>
            </w:r>
          </w:p>
        </w:tc>
        <w:tc>
          <w:tcPr>
            <w:tcW w:w="2810" w:type="dxa"/>
            <w:tcBorders/>
            <w:vAlign w:val="center"/>
          </w:tcPr>
          <w:p>
            <w:pPr>
              <w:pStyle w:val="TableContents"/>
              <w:bidi w:val="0"/>
              <w:spacing w:before="0" w:after="283"/>
              <w:jc w:val="both"/>
              <w:rPr/>
            </w:pPr>
            <w:r>
              <w:rPr/>
              <w:t>Definitions and Interpretation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other than a Saturday, Sunday or public holiday on which banks are open for general business in the British Virgin Islands, Singapore and Hong Kong.</w:t>
      </w:r>
    </w:p>
    <w:p>
      <w:pPr>
        <w:pStyle w:val="TextBody"/>
        <w:bidi w:val="0"/>
        <w:spacing w:before="0" w:after="0"/>
        <w:ind w:left="333" w:right="0"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Consideration”</w:t>
      </w:r>
      <w:r>
        <w:rPr>
          <w:rFonts w:ascii="Times New Roman;Times;Serif" w:hAnsi="Times New Roman;Times;Serif"/>
          <w:b w:val="false"/>
          <w:i w:val="false"/>
          <w:caps w:val="false"/>
          <w:smallCaps w:val="false"/>
          <w:sz w:val="20"/>
        </w:rPr>
        <w:t xml:space="preserve"> means US$3,750,000, comprising the Deposit and the remaining US$3,562,500 payable at Closing.</w:t>
      </w:r>
    </w:p>
    <w:p>
      <w:pPr>
        <w:pStyle w:val="TextBody"/>
        <w:bidi w:val="0"/>
        <w:spacing w:before="0" w:after="0"/>
        <w:ind w:left="333" w:right="0"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means completion of the sale and purchase of the Purchased Shares under Clause 4.</w:t>
      </w:r>
    </w:p>
    <w:p>
      <w:pPr>
        <w:pStyle w:val="TextBody"/>
        <w:bidi w:val="0"/>
        <w:spacing w:before="0" w:after="0"/>
        <w:ind w:left="45"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means the date selected by the Seller by at least two Business Days’ written notice after satisfaction or waiver of the Closing Conditions, provided that it shall be no later than the Long-Stop Date.</w:t>
      </w:r>
    </w:p>
    <w:p>
      <w:pPr>
        <w:pStyle w:val="TextBody"/>
        <w:bidi w:val="0"/>
        <w:spacing w:before="0" w:after="0"/>
        <w:ind w:left="333" w:right="165"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Consideration Shares”</w:t>
      </w:r>
      <w:r>
        <w:rPr>
          <w:rFonts w:ascii="Times New Roman;Times;Serif" w:hAnsi="Times New Roman;Times;Serif"/>
          <w:b w:val="false"/>
          <w:i w:val="false"/>
          <w:caps w:val="false"/>
          <w:smallCaps w:val="false"/>
          <w:sz w:val="20"/>
        </w:rPr>
        <w:t xml:space="preserve"> means 2,500,000 Class A ordinary shares of Buyer, issued at the agreed price of US$1.50 per share, having an aggregate agreed value of US$3,750,000.</w:t>
      </w:r>
    </w:p>
    <w:p>
      <w:pPr>
        <w:pStyle w:val="TextBody"/>
        <w:bidi w:val="0"/>
        <w:spacing w:before="0" w:after="0"/>
        <w:ind w:left="333" w:right="0"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Long-Stop Date”</w:t>
      </w:r>
      <w:r>
        <w:rPr>
          <w:rFonts w:ascii="Times New Roman;Times;Serif" w:hAnsi="Times New Roman;Times;Serif"/>
          <w:b w:val="false"/>
          <w:i w:val="false"/>
          <w:caps w:val="false"/>
          <w:smallCaps w:val="false"/>
          <w:sz w:val="20"/>
        </w:rPr>
        <w:t xml:space="preserve"> means 30 November 2026. Time is of the essence.</w:t>
      </w:r>
    </w:p>
    <w:p>
      <w:pPr>
        <w:pStyle w:val="TextBody"/>
        <w:bidi w:val="0"/>
        <w:spacing w:before="0" w:after="0"/>
        <w:ind w:left="45" w:right="0" w:hanging="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Material Adverse Change” </w:t>
      </w:r>
      <w:r>
        <w:rPr>
          <w:rFonts w:ascii="Times New Roman;Times;Serif" w:hAnsi="Times New Roman;Times;Serif"/>
          <w:b w:val="false"/>
          <w:i w:val="false"/>
          <w:caps w:val="false"/>
          <w:smallCaps w:val="false"/>
          <w:sz w:val="20"/>
        </w:rPr>
        <w:t>means an event that directly and materially prevents a Party from lawfully completing Closing, excluding changes in market, securities, digital asset, industry or regulatory conditions generally; changes in the Company’s valuation, business plan, forecasts or operating performance; matters disclosed to Buyer; and any change arising from announcement or pendency of this transaction.</w:t>
      </w:r>
    </w:p>
    <w:p>
      <w:pPr>
        <w:pStyle w:val="TextBody"/>
        <w:bidi w:val="0"/>
        <w:spacing w:before="0" w:after="0"/>
        <w:ind w:left="333" w:right="98"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xml:space="preserve"> means 1,500 ordinary shares of the Company, representing 3% of the Company’s fully diluted equity immediately before Closing, or such other number as is necessary to deliver exactly 3% on that basis.</w:t>
      </w:r>
    </w:p>
    <w:p>
      <w:pPr>
        <w:pStyle w:val="TextBody"/>
        <w:bidi w:val="0"/>
        <w:spacing w:before="0" w:after="0"/>
        <w:ind w:left="333" w:right="0" w:hanging="288"/>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 Dedicated Account”</w:t>
      </w:r>
      <w:r>
        <w:rPr>
          <w:rFonts w:ascii="Times New Roman;Times;Serif" w:hAnsi="Times New Roman;Times;Serif"/>
          <w:b w:val="false"/>
          <w:i w:val="false"/>
          <w:caps w:val="false"/>
          <w:smallCaps w:val="false"/>
          <w:sz w:val="20"/>
        </w:rPr>
        <w:t xml:space="preserve"> means any bank account, digital asset wallet or other payment destination designated by Seller in writing for receipt of the Cash Consideration in any fiat currency or cryptocurrency selected by Seller.</w:t>
      </w:r>
    </w:p>
    <w:p>
      <w:pPr>
        <w:pStyle w:val="TextBody"/>
        <w:bidi w:val="0"/>
        <w:spacing w:before="0" w:after="0"/>
        <w:ind w:left="333" w:right="0" w:hanging="288"/>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laws or listing rules include amendments and replacements. Headings do not affect interpretation. “Including” means including without limitation. Obligations of the Seller are several and limited to the Purchased Shares owned by the Seller.</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45"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15"/>
        <w:gridCol w:w="1760"/>
      </w:tblGrid>
      <w:tr>
        <w:trPr/>
        <w:tc>
          <w:tcPr>
            <w:tcW w:w="215" w:type="dxa"/>
            <w:tcBorders/>
            <w:vAlign w:val="center"/>
          </w:tcPr>
          <w:p>
            <w:pPr>
              <w:pStyle w:val="TableContents"/>
              <w:bidi w:val="0"/>
              <w:spacing w:before="0" w:after="283"/>
              <w:jc w:val="left"/>
              <w:rPr/>
            </w:pPr>
            <w:r>
              <w:rPr/>
              <w:t>2.</w:t>
            </w:r>
          </w:p>
        </w:tc>
        <w:tc>
          <w:tcPr>
            <w:tcW w:w="1760" w:type="dxa"/>
            <w:tcBorders/>
            <w:vAlign w:val="center"/>
          </w:tcPr>
          <w:p>
            <w:pPr>
              <w:pStyle w:val="TableContents"/>
              <w:bidi w:val="0"/>
              <w:spacing w:before="0" w:after="283"/>
              <w:jc w:val="both"/>
              <w:rPr/>
            </w:pPr>
            <w:r>
              <w:rPr/>
              <w:t>Sale and Purchase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Seller shall sell, transfer and deliver the Purchased Shares to Buyer, and Buyer shall purchase them, free from liens created by Seller and together with all rights attaching from Closing. Legal and beneficial title shall not pass until Seller has received the Cash Consideration in cleared, irrevocable funds and valid evidence of issuance and delivery of all Consideration Shares.</w:t>
      </w:r>
    </w:p>
    <w:p>
      <w:pPr>
        <w:pStyle w:val="TextBody"/>
        <w:bidi w:val="0"/>
        <w:spacing w:before="0" w:after="0"/>
        <w:ind w:left="45"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pPr>
            <w:r>
              <w:rPr/>
              <w:t>3.</w:t>
            </w:r>
          </w:p>
        </w:tc>
        <w:tc>
          <w:tcPr>
            <w:tcW w:w="2720" w:type="dxa"/>
            <w:tcBorders/>
            <w:vAlign w:val="center"/>
          </w:tcPr>
          <w:p>
            <w:pPr>
              <w:pStyle w:val="TableContents"/>
              <w:bidi w:val="0"/>
              <w:spacing w:before="0" w:after="283"/>
              <w:jc w:val="both"/>
              <w:rPr/>
            </w:pPr>
            <w:r>
              <w:rPr/>
              <w:t>Purchase Price and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is US$7,500,000 (the “Purchase Price”), calculated by reference to a US$250,000,000 equity valuation of the Company, and shall be paid as follows:</w:t>
      </w:r>
    </w:p>
    <w:p>
      <w:pPr>
        <w:pStyle w:val="TextBody"/>
        <w:bidi w:val="0"/>
        <w:spacing w:before="0" w:after="0"/>
        <w:ind w:left="45" w:right="97"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6"/>
        <w:gridCol w:w="60"/>
        <w:gridCol w:w="2454"/>
        <w:gridCol w:w="60"/>
        <w:gridCol w:w="6055"/>
      </w:tblGrid>
      <w:tr>
        <w:trPr/>
        <w:tc>
          <w:tcPr>
            <w:tcW w:w="1576" w:type="dxa"/>
            <w:tcBorders>
              <w:bottom w:val="single" w:sz="12" w:space="0" w:color="000000"/>
            </w:tcBorders>
            <w:vAlign w:val="center"/>
          </w:tcPr>
          <w:p>
            <w:pPr>
              <w:pStyle w:val="TableContents"/>
              <w:bidi w:val="0"/>
              <w:spacing w:before="0" w:after="283"/>
              <w:jc w:val="left"/>
              <w:rPr>
                <w:b/>
                <w:sz w:val="20"/>
              </w:rPr>
            </w:pPr>
            <w:r>
              <w:rPr>
                <w:b/>
                <w:sz w:val="20"/>
              </w:rPr>
              <w:t>Component</w:t>
            </w:r>
          </w:p>
        </w:tc>
        <w:tc>
          <w:tcPr>
            <w:tcW w:w="60" w:type="dxa"/>
            <w:tcBorders/>
            <w:tcMar>
              <w:bottom w:w="0" w:type="dxa"/>
            </w:tcMar>
            <w:vAlign w:val="center"/>
          </w:tcPr>
          <w:p>
            <w:pPr>
              <w:pStyle w:val="TableContents"/>
              <w:bidi w:val="0"/>
              <w:spacing w:before="0" w:after="283"/>
              <w:jc w:val="left"/>
              <w:rPr/>
            </w:pPr>
            <w:r>
              <w:rPr/>
              <w:t> </w:t>
            </w:r>
          </w:p>
        </w:tc>
        <w:tc>
          <w:tcPr>
            <w:tcW w:w="2454" w:type="dxa"/>
            <w:tcBorders>
              <w:bottom w:val="single" w:sz="12" w:space="0" w:color="000000"/>
            </w:tcBorders>
            <w:vAlign w:val="center"/>
          </w:tcPr>
          <w:p>
            <w:pPr>
              <w:pStyle w:val="TableContents"/>
              <w:bidi w:val="0"/>
              <w:spacing w:before="0" w:after="283"/>
              <w:jc w:val="center"/>
              <w:rPr>
                <w:b/>
                <w:sz w:val="20"/>
              </w:rPr>
            </w:pPr>
            <w:r>
              <w:rPr>
                <w:b/>
                <w:sz w:val="20"/>
              </w:rPr>
              <w:t>Amount</w:t>
            </w:r>
          </w:p>
        </w:tc>
        <w:tc>
          <w:tcPr>
            <w:tcW w:w="60" w:type="dxa"/>
            <w:tcBorders/>
            <w:tcMar>
              <w:bottom w:w="0" w:type="dxa"/>
            </w:tcMar>
            <w:vAlign w:val="center"/>
          </w:tcPr>
          <w:p>
            <w:pPr>
              <w:pStyle w:val="TableContents"/>
              <w:bidi w:val="0"/>
              <w:spacing w:before="0" w:after="283"/>
              <w:jc w:val="left"/>
              <w:rPr/>
            </w:pPr>
            <w:r>
              <w:rPr/>
              <w:t> </w:t>
            </w:r>
          </w:p>
        </w:tc>
        <w:tc>
          <w:tcPr>
            <w:tcW w:w="6055" w:type="dxa"/>
            <w:tcBorders>
              <w:bottom w:val="single" w:sz="12" w:space="0" w:color="000000"/>
            </w:tcBorders>
            <w:vAlign w:val="center"/>
          </w:tcPr>
          <w:p>
            <w:pPr>
              <w:pStyle w:val="TableContents"/>
              <w:bidi w:val="0"/>
              <w:spacing w:before="0" w:after="283"/>
              <w:jc w:val="center"/>
              <w:rPr>
                <w:b/>
                <w:sz w:val="20"/>
              </w:rPr>
            </w:pPr>
            <w:r>
              <w:rPr>
                <w:b/>
                <w:sz w:val="20"/>
              </w:rPr>
              <w:t>Payment Mechanics</w:t>
            </w:r>
          </w:p>
        </w:tc>
      </w:tr>
      <w:tr>
        <w:trPr/>
        <w:tc>
          <w:tcPr>
            <w:tcW w:w="1576" w:type="dxa"/>
            <w:tcBorders/>
            <w:shd w:fill="CCEEFF" w:val="clear"/>
            <w:tcMar>
              <w:bottom w:w="0" w:type="dxa"/>
            </w:tcMar>
            <w:vAlign w:val="center"/>
          </w:tcPr>
          <w:p>
            <w:pPr>
              <w:pStyle w:val="TableContents"/>
              <w:bidi w:val="0"/>
              <w:spacing w:before="0" w:after="283"/>
              <w:jc w:val="left"/>
              <w:rPr/>
            </w:pPr>
            <w:r>
              <w:rPr/>
              <w:t>Cash Consideration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4" w:type="dxa"/>
            <w:tcBorders/>
            <w:shd w:fill="CCEEFF" w:val="clear"/>
            <w:tcMar>
              <w:bottom w:w="0" w:type="dxa"/>
            </w:tcMar>
            <w:vAlign w:val="center"/>
          </w:tcPr>
          <w:p>
            <w:pPr>
              <w:pStyle w:val="TableContents"/>
              <w:bidi w:val="0"/>
              <w:spacing w:before="0" w:after="283"/>
              <w:jc w:val="left"/>
              <w:rPr/>
            </w:pPr>
            <w:r>
              <w:rPr/>
              <w:t>US$3,750,000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5" w:type="dxa"/>
            <w:tcBorders/>
            <w:shd w:fill="CCEEFF" w:val="clear"/>
            <w:tcMar>
              <w:bottom w:w="0" w:type="dxa"/>
            </w:tcMar>
            <w:vAlign w:val="center"/>
          </w:tcPr>
          <w:p>
            <w:pPr>
              <w:pStyle w:val="TableContents"/>
              <w:bidi w:val="0"/>
              <w:spacing w:before="0" w:after="283"/>
              <w:jc w:val="left"/>
              <w:rPr>
                <w:sz w:val="20"/>
              </w:rPr>
            </w:pPr>
            <w:r>
              <w:rPr>
                <w:sz w:val="20"/>
              </w:rPr>
              <w:t>Paid in any cryptocurrency or fiat currency, and by any payment method, designated by Seller in writing, to the Seller Dedicated Account. Seller must receive the full amount net of all fees, deductions, withholding and transfer costs.</w:t>
            </w:r>
          </w:p>
        </w:tc>
      </w:tr>
      <w:tr>
        <w:trPr/>
        <w:tc>
          <w:tcPr>
            <w:tcW w:w="157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5" w:type="dxa"/>
            <w:tcBorders/>
            <w:shd w:fill="FFFFFF" w:val="clear"/>
            <w:tcMar>
              <w:bottom w:w="0" w:type="dxa"/>
            </w:tcMar>
            <w:vAlign w:val="center"/>
          </w:tcPr>
          <w:p>
            <w:pPr>
              <w:pStyle w:val="TableContents"/>
              <w:bidi w:val="0"/>
              <w:spacing w:before="0" w:after="283"/>
              <w:jc w:val="left"/>
              <w:rPr/>
            </w:pPr>
            <w:r>
              <w:rPr/>
              <w:t> </w:t>
            </w:r>
          </w:p>
        </w:tc>
      </w:tr>
      <w:tr>
        <w:trPr/>
        <w:tc>
          <w:tcPr>
            <w:tcW w:w="1576" w:type="dxa"/>
            <w:tcBorders/>
            <w:shd w:fill="CCEEFF" w:val="clear"/>
            <w:tcMar>
              <w:bottom w:w="0" w:type="dxa"/>
            </w:tcMar>
            <w:vAlign w:val="center"/>
          </w:tcPr>
          <w:p>
            <w:pPr>
              <w:pStyle w:val="TableContents"/>
              <w:bidi w:val="0"/>
              <w:spacing w:before="0" w:after="283"/>
              <w:jc w:val="left"/>
              <w:rPr/>
            </w:pPr>
            <w:r>
              <w:rPr/>
              <w:t>Consideration Shares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4" w:type="dxa"/>
            <w:tcBorders/>
            <w:shd w:fill="CCEEFF" w:val="clear"/>
            <w:tcMar>
              <w:bottom w:w="0" w:type="dxa"/>
            </w:tcMar>
            <w:vAlign w:val="center"/>
          </w:tcPr>
          <w:p>
            <w:pPr>
              <w:pStyle w:val="TableContents"/>
              <w:bidi w:val="0"/>
              <w:spacing w:before="0" w:after="283"/>
              <w:jc w:val="left"/>
              <w:rPr/>
            </w:pPr>
            <w:r>
              <w:rPr/>
              <w:t>2,500,000 Class A ordinary shares of Buyer at US$1.50 per share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5" w:type="dxa"/>
            <w:tcBorders/>
            <w:shd w:fill="CCEEFF" w:val="clear"/>
            <w:tcMar>
              <w:bottom w:w="0" w:type="dxa"/>
            </w:tcMar>
            <w:vAlign w:val="center"/>
          </w:tcPr>
          <w:p>
            <w:pPr>
              <w:pStyle w:val="TableContents"/>
              <w:bidi w:val="0"/>
              <w:spacing w:before="0" w:after="283"/>
              <w:jc w:val="left"/>
              <w:rPr>
                <w:sz w:val="20"/>
              </w:rPr>
            </w:pPr>
            <w:r>
              <w:rPr>
                <w:sz w:val="20"/>
              </w:rPr>
              <w:t>Book-entry issuance and delivery through Buyer’s transfer agent directly to Seller or Seller’s nominee, together with transfer-agent confirmation and all documents required under Clause 3.2.</w:t>
            </w:r>
          </w:p>
        </w:tc>
      </w:tr>
    </w:tbl>
    <w:p>
      <w:pPr>
        <w:pStyle w:val="TextBody"/>
        <w:bidi w:val="0"/>
        <w:spacing w:before="0" w:after="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pPr>
            <w:r>
              <w:rPr/>
              <w:t>3.1</w:t>
            </w:r>
          </w:p>
        </w:tc>
        <w:tc>
          <w:tcPr>
            <w:tcW w:w="2180" w:type="dxa"/>
            <w:tcBorders/>
            <w:vAlign w:val="center"/>
          </w:tcPr>
          <w:p>
            <w:pPr>
              <w:pStyle w:val="TableContents"/>
              <w:bidi w:val="0"/>
              <w:spacing w:before="0" w:after="283"/>
              <w:jc w:val="both"/>
              <w:rPr/>
            </w:pPr>
            <w:r>
              <w:rPr/>
              <w:t>Cash Payment Control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is complete only when the full Cash Consideration is irrevocably credited and freely available in the Seller Dedicated Account. Buyer bears all bank, blockchain, gas, intermediary, conversion and transfer costs. Buyer may not set off, counterclaim, withhold or deduct any amount. If withholding is legally required, Buyer shall gross up the payment so Seller receives US$3,750,000 net.</w:t>
      </w:r>
    </w:p>
    <w:p>
      <w:pPr>
        <w:pStyle w:val="TextBody"/>
        <w:bidi w:val="0"/>
        <w:spacing w:before="0" w:after="0"/>
        <w:ind w:left="45"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35"/>
        <w:gridCol w:w="4400"/>
      </w:tblGrid>
      <w:tr>
        <w:trPr/>
        <w:tc>
          <w:tcPr>
            <w:tcW w:w="335" w:type="dxa"/>
            <w:tcBorders/>
            <w:vAlign w:val="center"/>
          </w:tcPr>
          <w:p>
            <w:pPr>
              <w:pStyle w:val="TableContents"/>
              <w:bidi w:val="0"/>
              <w:spacing w:before="0" w:after="283"/>
              <w:jc w:val="both"/>
              <w:rPr/>
            </w:pPr>
            <w:r>
              <w:rPr/>
              <w:t>3.2</w:t>
            </w:r>
          </w:p>
        </w:tc>
        <w:tc>
          <w:tcPr>
            <w:tcW w:w="4400" w:type="dxa"/>
            <w:tcBorders/>
            <w:vAlign w:val="center"/>
          </w:tcPr>
          <w:p>
            <w:pPr>
              <w:pStyle w:val="TableContents"/>
              <w:bidi w:val="0"/>
              <w:spacing w:before="0" w:after="283"/>
              <w:jc w:val="both"/>
              <w:rPr/>
            </w:pPr>
            <w:r>
              <w:rPr/>
              <w:t>Consideration Shares; Issuance and Protection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Consideration Shares shall be validly issued, fully paid, non-assessable, free of all liens and pre-emptive rights, and rank pari passu with Buyer’s outstanding Class A ordinary shares, except for restrictions required by applicable securities law.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Buyer shall, at its sole cost, obtain all board, shareholder, Nasdaq, SEC, transfer-agent and other approvals necessary for lawful issuance and delivery. Completion is not conditional on Buyer obtaining financing or third-party funding.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Buyer shall deliver an opinion of its securities counsel, reasonably satisfactory to Seller, confirming lawful issuance, exemption from registration, compliance with Nasdaq rules and the absence of any further corporate approval requirement.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If before Closing Buyer’s shares are suspended, delisted, subject to a trading halt exceeding five consecutive trading days, not capable of lawful issuance, or Buyer cannot deliver all Consideration Shares as required, Seller may elect by notice to: (i) require the entire US$3,750,000 share portion to be paid in cash at Closing; (ii) defer Closing without waiving any right; or (iii) terminate and exercise its remedies under Clause 10.</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Any restrictive legend shall be limited to what applicable law strictly requires. Buyer shall promptly cooperate, at its own cost, in any lawful legend removal, Rule 144 process or Regulation S resale process after the applicable holding or distribution-compliance period.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No reduction in the number of Consideration Shares shall be made for market-price movement, reverse split, recapitalisation or other corporate action. If Buyer effects any share split, consolidation, reclassification, dividend or similar event before delivery, the number and class of Consideration Shares shall be equitably adjusted so Seller receives the same economic and voting position.</w:t>
            </w:r>
          </w:p>
        </w:tc>
      </w:tr>
    </w:tbl>
    <w:p>
      <w:pPr>
        <w:pStyle w:val="TextBody"/>
        <w:bidi w:val="0"/>
        <w:spacing w:before="0" w:after="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335"/>
        <w:gridCol w:w="770"/>
      </w:tblGrid>
      <w:tr>
        <w:trPr/>
        <w:tc>
          <w:tcPr>
            <w:tcW w:w="335" w:type="dxa"/>
            <w:tcBorders/>
            <w:vAlign w:val="center"/>
          </w:tcPr>
          <w:p>
            <w:pPr>
              <w:pStyle w:val="TableContents"/>
              <w:bidi w:val="0"/>
              <w:spacing w:before="0" w:after="283"/>
              <w:jc w:val="both"/>
              <w:rPr/>
            </w:pPr>
            <w:r>
              <w:rPr/>
              <w:t>3.3</w:t>
            </w:r>
          </w:p>
        </w:tc>
        <w:tc>
          <w:tcPr>
            <w:tcW w:w="770" w:type="dxa"/>
            <w:tcBorders/>
            <w:vAlign w:val="center"/>
          </w:tcPr>
          <w:p>
            <w:pPr>
              <w:pStyle w:val="TableContents"/>
              <w:bidi w:val="0"/>
              <w:spacing w:before="0" w:after="283"/>
              <w:jc w:val="both"/>
              <w:rPr/>
            </w:pPr>
            <w:r>
              <w:rPr/>
              <w:t>Deposit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27 July 2026, Buyer shall pay a non-refundable deposit of US$187,500, equal to 5% of the Cash Consideration (the “Deposit”) in any cryptocurrency or fiat currency, and by any payment method, designated by Seller in writing. Buyer shall pay the Deposit to the bank account, digital asset wallet or other payment destination designated by Seller. Buyer shall bear all bank, blockchain, gas, intermediary, conversion, transfer and other payment costs. The Deposit shall be deemed paid only upon Seller’s receipt of value equivalent to US$187,500, net of all fees, deductions and withholding, in cleared, irrevocable and freely available form reasonably satisfactory to Seller. The Deposit shall be credited against the Cash Consideration at Closing. Except where Closing fails solely because of Seller’s finally determined, uncured material breach that makes Closing legally impossible, the Deposit is non-refundable and may be retained by Seller.</w:t>
      </w:r>
    </w:p>
    <w:p>
      <w:pPr>
        <w:pStyle w:val="TextBody"/>
        <w:bidi w:val="0"/>
        <w:spacing w:before="0" w:after="0"/>
        <w:ind w:left="45" w:right="165"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45" w:right="165"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15"/>
        <w:gridCol w:w="770"/>
      </w:tblGrid>
      <w:tr>
        <w:trPr/>
        <w:tc>
          <w:tcPr>
            <w:tcW w:w="215" w:type="dxa"/>
            <w:tcBorders/>
            <w:vAlign w:val="center"/>
          </w:tcPr>
          <w:p>
            <w:pPr>
              <w:pStyle w:val="TableContents"/>
              <w:bidi w:val="0"/>
              <w:spacing w:before="0" w:after="283"/>
              <w:jc w:val="left"/>
              <w:rPr/>
            </w:pPr>
            <w:r>
              <w:rPr/>
              <w:t>4.</w:t>
            </w:r>
          </w:p>
        </w:tc>
        <w:tc>
          <w:tcPr>
            <w:tcW w:w="770" w:type="dxa"/>
            <w:tcBorders/>
            <w:vAlign w:val="center"/>
          </w:tcPr>
          <w:p>
            <w:pPr>
              <w:pStyle w:val="TableContents"/>
              <w:bidi w:val="0"/>
              <w:spacing w:before="0" w:after="283"/>
              <w:jc w:val="both"/>
              <w:rPr/>
            </w:pPr>
            <w:r>
              <w:rPr/>
              <w:t>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shall occur remotely by exchange of documents and electronic signatures. All Closing actions are interdependent and are deemed simultaneous. Seller is not required to release transfer instruments or permit registration of Buyer until full payment and delivery have occurred.</w:t>
      </w:r>
    </w:p>
    <w:p>
      <w:pPr>
        <w:pStyle w:val="TextBody"/>
        <w:bidi w:val="0"/>
        <w:spacing w:before="0" w:after="0"/>
        <w:ind w:left="45" w:right="165"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335"/>
        <w:gridCol w:w="3290"/>
      </w:tblGrid>
      <w:tr>
        <w:trPr/>
        <w:tc>
          <w:tcPr>
            <w:tcW w:w="335" w:type="dxa"/>
            <w:tcBorders/>
            <w:vAlign w:val="center"/>
          </w:tcPr>
          <w:p>
            <w:pPr>
              <w:pStyle w:val="TableContents"/>
              <w:bidi w:val="0"/>
              <w:spacing w:before="0" w:after="283"/>
              <w:jc w:val="left"/>
              <w:rPr/>
            </w:pPr>
            <w:r>
              <w:rPr/>
              <w:t>4.1</w:t>
            </w:r>
          </w:p>
        </w:tc>
        <w:tc>
          <w:tcPr>
            <w:tcW w:w="3290" w:type="dxa"/>
            <w:tcBorders/>
            <w:vAlign w:val="center"/>
          </w:tcPr>
          <w:p>
            <w:pPr>
              <w:pStyle w:val="TableContents"/>
              <w:bidi w:val="0"/>
              <w:spacing w:before="0" w:after="283"/>
              <w:jc w:val="both"/>
              <w:rPr/>
            </w:pPr>
            <w:r>
              <w:rPr/>
              <w:t>Deliveries by Seller and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executed share transfer instrument for the Purchased Shares, held to Seller’s order pending full receipt of the Purchase Price;</w:t>
            </w:r>
          </w:p>
        </w:tc>
      </w:tr>
    </w:tbl>
    <w:p>
      <w:pPr>
        <w:pStyle w:val="TextBody"/>
        <w:bidi w:val="0"/>
        <w:spacing w:before="0" w:after="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the original share certificate or equivalent evidence of title, if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certified board and shareholder resolutions of the Company approving the transfer and registration of Buyer;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updated register of members showing Buyer as holder of the Purchased Shares, released only after full payment; and</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a closing certificate confirming satisfaction or waiver of conditions applicable to Seller and the Company.</w:t>
            </w:r>
          </w:p>
        </w:tc>
      </w:tr>
    </w:tbl>
    <w:p>
      <w:pPr>
        <w:pStyle w:val="TextBody"/>
        <w:bidi w:val="0"/>
        <w:spacing w:before="0" w:after="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335"/>
        <w:gridCol w:w="1940"/>
      </w:tblGrid>
      <w:tr>
        <w:trPr/>
        <w:tc>
          <w:tcPr>
            <w:tcW w:w="335" w:type="dxa"/>
            <w:tcBorders/>
            <w:vAlign w:val="center"/>
          </w:tcPr>
          <w:p>
            <w:pPr>
              <w:pStyle w:val="TableContents"/>
              <w:bidi w:val="0"/>
              <w:spacing w:before="0" w:after="283"/>
              <w:jc w:val="left"/>
              <w:rPr/>
            </w:pPr>
            <w:r>
              <w:rPr/>
              <w:t>4.2</w:t>
            </w:r>
          </w:p>
        </w:tc>
        <w:tc>
          <w:tcPr>
            <w:tcW w:w="1940" w:type="dxa"/>
            <w:tcBorders/>
            <w:vAlign w:val="center"/>
          </w:tcPr>
          <w:p>
            <w:pPr>
              <w:pStyle w:val="TableContents"/>
              <w:bidi w:val="0"/>
              <w:spacing w:before="0" w:after="283"/>
              <w:jc w:val="left"/>
              <w:rPr/>
            </w:pPr>
            <w:r>
              <w:rPr/>
              <w:t>Deliveries by Buyer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remaining US$3,562,500 of the Cash Consideration, after crediting the Deposit, in cleared and irrevocable funds;</w:t>
            </w:r>
          </w:p>
        </w:tc>
      </w:tr>
    </w:tbl>
    <w:p>
      <w:pPr>
        <w:pStyle w:val="TextBody"/>
        <w:bidi w:val="0"/>
        <w:spacing w:before="0" w:after="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transfer-agent confirmation, book-entry statement and securities-law opinion for all Consideration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certified board and, if required, shareholder resolutions approving this Agreement and the issuance and delivery of the Consideration Shares;</w:t>
            </w:r>
          </w:p>
        </w:tc>
      </w:tr>
    </w:tbl>
    <w:p>
      <w:pPr>
        <w:pStyle w:val="TextBody"/>
        <w:bidi w:val="0"/>
        <w:spacing w:before="0" w:after="0"/>
        <w:jc w:val="left"/>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evidence reasonably satisfactory to Seller of compliance with Nasdaq and applicable securities laws;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closing certificate confirming the accuracy of Buyer’s representations and compliance with its covenants.</w:t>
            </w:r>
          </w:p>
        </w:tc>
      </w:tr>
    </w:tbl>
    <w:p>
      <w:pPr>
        <w:pStyle w:val="TextBody"/>
        <w:bidi w:val="0"/>
        <w:spacing w:before="0" w:after="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pPr>
            <w:r>
              <w:rPr/>
              <w:t>5.</w:t>
            </w:r>
          </w:p>
        </w:tc>
        <w:tc>
          <w:tcPr>
            <w:tcW w:w="1865" w:type="dxa"/>
            <w:tcBorders/>
            <w:vAlign w:val="center"/>
          </w:tcPr>
          <w:p>
            <w:pPr>
              <w:pStyle w:val="TableContents"/>
              <w:bidi w:val="0"/>
              <w:spacing w:before="0" w:after="283"/>
              <w:jc w:val="left"/>
              <w:rPr/>
            </w:pPr>
            <w:r>
              <w:rPr/>
              <w:t>Closing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and the Company’s obligation to close is subject to satisfaction or waiver by Seller of each condition below. Conditions benefiting Seller may be waived only in writing by Seller. Buyer shall use all efforts and bear all costs to satisfy its conditions promptly.</w:t>
      </w:r>
    </w:p>
    <w:p>
      <w:pPr>
        <w:pStyle w:val="TextBody"/>
        <w:bidi w:val="0"/>
        <w:spacing w:before="0" w:after="0"/>
        <w:ind w:left="45" w:right="259"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335"/>
        <w:gridCol w:w="3545"/>
      </w:tblGrid>
      <w:tr>
        <w:trPr/>
        <w:tc>
          <w:tcPr>
            <w:tcW w:w="335" w:type="dxa"/>
            <w:tcBorders/>
            <w:vAlign w:val="center"/>
          </w:tcPr>
          <w:p>
            <w:pPr>
              <w:pStyle w:val="TableContents"/>
              <w:bidi w:val="0"/>
              <w:spacing w:before="0" w:after="283"/>
              <w:jc w:val="left"/>
              <w:rPr/>
            </w:pPr>
            <w:r>
              <w:rPr/>
              <w:t>5.1</w:t>
            </w:r>
          </w:p>
        </w:tc>
        <w:tc>
          <w:tcPr>
            <w:tcW w:w="3545" w:type="dxa"/>
            <w:tcBorders/>
            <w:vAlign w:val="center"/>
          </w:tcPr>
          <w:p>
            <w:pPr>
              <w:pStyle w:val="TableContents"/>
              <w:bidi w:val="0"/>
              <w:spacing w:before="0" w:after="283"/>
              <w:jc w:val="left"/>
              <w:rPr/>
            </w:pPr>
            <w:r>
              <w:rPr/>
              <w:t>Limited Confirmatory Due Diligence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due diligence is limited to corporate authority, capitalisation, title to the Purchased Shares and material legal impediments to Closing. Buyer is deemed fully satisfied unless, within five Business Days after receiving the requested materials, it gives a detailed written notice identifying a specific uncured legal impediment. Buyer may not rely on valuation, commercial, market, operational, forecast, financing or investment-committee matters to delay or refuse Closing.</w:t>
      </w:r>
    </w:p>
    <w:p>
      <w:pPr>
        <w:pStyle w:val="TextBody"/>
        <w:bidi w:val="0"/>
        <w:spacing w:before="0" w:after="0"/>
        <w:ind w:left="45" w:right="97"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5.2</w:t>
            </w:r>
          </w:p>
        </w:tc>
        <w:tc>
          <w:tcPr>
            <w:tcW w:w="1070" w:type="dxa"/>
            <w:tcBorders/>
            <w:vAlign w:val="center"/>
          </w:tcPr>
          <w:p>
            <w:pPr>
              <w:pStyle w:val="TableContents"/>
              <w:bidi w:val="0"/>
              <w:spacing w:before="0" w:after="283"/>
              <w:jc w:val="left"/>
              <w:rPr/>
            </w:pPr>
            <w:r>
              <w:rPr/>
              <w:t>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left"/>
              <w:rPr/>
            </w:pPr>
            <w:r>
              <w:rPr/>
              <w:t>all necessary corporate and regulatory approvals of Buyer have been obtained and remain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the Consideration Shares are approved for issuance and, where required, listing on Nasdaq;</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8"/>
        <w:gridCol w:w="9817"/>
      </w:tblGrid>
      <w:tr>
        <w:trPr/>
        <w:tc>
          <w:tcPr>
            <w:tcW w:w="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left"/>
              <w:rPr/>
            </w:pPr>
            <w:r>
              <w:rPr/>
              <w:t>Buyer’s representations are true at signing and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4"/>
        <w:gridCol w:w="9944"/>
      </w:tblGrid>
      <w:tr>
        <w:trPr/>
        <w:tc>
          <w:tcPr>
            <w:tcW w:w="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44" w:type="dxa"/>
            <w:tcBorders/>
            <w:vAlign w:val="center"/>
          </w:tcPr>
          <w:p>
            <w:pPr>
              <w:pStyle w:val="TableContents"/>
              <w:bidi w:val="0"/>
              <w:spacing w:before="0" w:after="283"/>
              <w:jc w:val="left"/>
              <w:rPr/>
            </w:pPr>
            <w:r>
              <w:rPr/>
              <w:t>Buyer has performed all pre-Closing obligations, including payment of the Deposit;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7"/>
        <w:gridCol w:w="9708"/>
      </w:tblGrid>
      <w:tr>
        <w:trPr/>
        <w:tc>
          <w:tcPr>
            <w:tcW w:w="9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w:t>
            </w:r>
          </w:p>
        </w:tc>
        <w:tc>
          <w:tcPr>
            <w:tcW w:w="9708" w:type="dxa"/>
            <w:tcBorders/>
            <w:vAlign w:val="center"/>
          </w:tcPr>
          <w:p>
            <w:pPr>
              <w:pStyle w:val="TableContents"/>
              <w:bidi w:val="0"/>
              <w:spacing w:before="0" w:after="283"/>
              <w:jc w:val="left"/>
              <w:rPr/>
            </w:pPr>
            <w:r>
              <w:rPr/>
              <w:t>no order specifically restrains Closing;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there has been no Material Adverse Change affecting Buyer’s legal ability to issue and deliver the Consideration Shares or pay the Cash 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condition may be invoked by Buyer where its non-satisfaction results from Buyer’s act, omission, delay, lack of funds, failure to seek approval or breach. Buyer’s obligations are not subject to financing, market conditions, share price, shareholder sentiment or completion of any other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283"/>
              <w:jc w:val="left"/>
              <w:rPr/>
            </w:pPr>
            <w:r>
              <w:rPr/>
              <w:t>6.</w:t>
            </w:r>
          </w:p>
        </w:tc>
        <w:tc>
          <w:tcPr>
            <w:tcW w:w="3020" w:type="dxa"/>
            <w:tcBorders/>
            <w:vAlign w:val="center"/>
          </w:tcPr>
          <w:p>
            <w:pPr>
              <w:pStyle w:val="TableContents"/>
              <w:bidi w:val="0"/>
              <w:spacing w:before="0" w:after="283"/>
              <w:jc w:val="left"/>
              <w:rPr/>
            </w:pPr>
            <w:r>
              <w:rPr/>
              <w:t>Representations and Warranties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56"/>
        <w:gridCol w:w="6449"/>
      </w:tblGrid>
      <w:tr>
        <w:trPr/>
        <w:tc>
          <w:tcPr>
            <w:tcW w:w="3756" w:type="dxa"/>
            <w:tcBorders/>
            <w:vAlign w:val="center"/>
          </w:tcPr>
          <w:p>
            <w:pPr>
              <w:pStyle w:val="TableContents"/>
              <w:bidi w:val="0"/>
              <w:spacing w:before="0" w:after="283"/>
              <w:jc w:val="both"/>
              <w:rPr/>
            </w:pPr>
            <w:r>
              <w:rPr/>
              <w:t>6.1</w:t>
            </w:r>
          </w:p>
        </w:tc>
        <w:tc>
          <w:tcPr>
            <w:tcW w:w="6449" w:type="dxa"/>
            <w:tcBorders/>
            <w:vAlign w:val="center"/>
          </w:tcPr>
          <w:p>
            <w:pPr>
              <w:pStyle w:val="TableContents"/>
              <w:bidi w:val="0"/>
              <w:spacing w:before="0" w:after="283"/>
              <w:jc w:val="both"/>
              <w:rPr/>
            </w:pPr>
            <w:r>
              <w:rPr/>
              <w:t>Seller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w:t>
            </w:r>
          </w:p>
        </w:tc>
        <w:tc>
          <w:tcPr>
            <w:tcW w:w="9888" w:type="dxa"/>
            <w:tcBorders/>
            <w:vAlign w:val="center"/>
          </w:tcPr>
          <w:p>
            <w:pPr>
              <w:pStyle w:val="TableContents"/>
              <w:bidi w:val="0"/>
              <w:spacing w:before="0" w:after="283"/>
              <w:jc w:val="both"/>
              <w:rPr/>
            </w:pPr>
            <w:r>
              <w:rPr/>
              <w:t>Seller owns the Purchased Shares and has authority to transfer them;</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4"/>
        <w:gridCol w:w="9834"/>
      </w:tblGrid>
      <w:tr>
        <w:trPr/>
        <w:tc>
          <w:tcPr>
            <w:tcW w:w="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both"/>
              <w:rPr/>
            </w:pPr>
            <w:r>
              <w:rPr/>
              <w:t>●</w:t>
            </w:r>
          </w:p>
        </w:tc>
        <w:tc>
          <w:tcPr>
            <w:tcW w:w="9834" w:type="dxa"/>
            <w:tcBorders/>
            <w:vAlign w:val="center"/>
          </w:tcPr>
          <w:p>
            <w:pPr>
              <w:pStyle w:val="TableContents"/>
              <w:bidi w:val="0"/>
              <w:spacing w:before="0" w:after="283"/>
              <w:jc w:val="both"/>
              <w:rPr/>
            </w:pPr>
            <w:r>
              <w:rPr/>
              <w:t>the Purchased Shares are free from liens created by Seller;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execution and performance do not violate Seller’s constitutional documents or any binding order applicable specifically to Seller;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where Seller receives Consideration Shares in reliance on Regulation S, Seller is not acquiring them for the account or benefit of a U.S. person.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gives no representation regarding the Company’s future performance, valuation, forecasts, regulatory outcome, business plan or investment return. Buyer confirms it has made its own independent assessment and is not relying on any statement not expressly set out in this Agreement.</w:t>
      </w:r>
    </w:p>
    <w:p>
      <w:pPr>
        <w:pStyle w:val="TextBody"/>
        <w:bidi w:val="0"/>
        <w:spacing w:before="0" w:after="0"/>
        <w:ind w:left="45" w:right="97"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29"/>
        <w:gridCol w:w="7576"/>
      </w:tblGrid>
      <w:tr>
        <w:trPr/>
        <w:tc>
          <w:tcPr>
            <w:tcW w:w="2629" w:type="dxa"/>
            <w:tcBorders/>
            <w:vAlign w:val="center"/>
          </w:tcPr>
          <w:p>
            <w:pPr>
              <w:pStyle w:val="TableContents"/>
              <w:bidi w:val="0"/>
              <w:spacing w:before="0" w:after="283"/>
              <w:jc w:val="both"/>
              <w:rPr/>
            </w:pPr>
            <w:r>
              <w:rPr/>
              <w:t>6.2</w:t>
            </w:r>
          </w:p>
        </w:tc>
        <w:tc>
          <w:tcPr>
            <w:tcW w:w="7576" w:type="dxa"/>
            <w:tcBorders/>
            <w:vAlign w:val="center"/>
          </w:tcPr>
          <w:p>
            <w:pPr>
              <w:pStyle w:val="TableContents"/>
              <w:bidi w:val="0"/>
              <w:spacing w:before="0" w:after="283"/>
              <w:jc w:val="both"/>
              <w:rPr/>
            </w:pPr>
            <w:r>
              <w:rPr/>
              <w:t>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only that it is duly organised and validly existing under BVI law, has authority to enter into this Agreement, and its register of members and capitalisation information supplied for Closing are accurate in all material respects. Except for fraud, the Company gives no other representation or warranty, express or implied.</w:t>
      </w:r>
    </w:p>
    <w:p>
      <w:pPr>
        <w:pStyle w:val="TextBody"/>
        <w:bidi w:val="0"/>
        <w:spacing w:before="0" w:after="0"/>
        <w:ind w:left="45"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620"/>
      </w:tblGrid>
      <w:tr>
        <w:trPr/>
        <w:tc>
          <w:tcPr>
            <w:tcW w:w="335" w:type="dxa"/>
            <w:tcBorders/>
            <w:vAlign w:val="center"/>
          </w:tcPr>
          <w:p>
            <w:pPr>
              <w:pStyle w:val="TableContents"/>
              <w:bidi w:val="0"/>
              <w:spacing w:before="0" w:after="283"/>
              <w:jc w:val="both"/>
              <w:rPr/>
            </w:pPr>
            <w:r>
              <w:rPr/>
              <w:t>6.3</w:t>
            </w:r>
          </w:p>
        </w:tc>
        <w:tc>
          <w:tcPr>
            <w:tcW w:w="620" w:type="dxa"/>
            <w:tcBorders/>
            <w:vAlign w:val="center"/>
          </w:tcPr>
          <w:p>
            <w:pPr>
              <w:pStyle w:val="TableContents"/>
              <w:bidi w:val="0"/>
              <w:spacing w:before="0" w:after="283"/>
              <w:jc w:val="both"/>
              <w:rPr/>
            </w:pPr>
            <w:r>
              <w:rPr/>
              <w:t>Buyer</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both"/>
              <w:rPr/>
            </w:pPr>
            <w:r>
              <w:rPr/>
              <w:t>●</w:t>
            </w:r>
          </w:p>
        </w:tc>
        <w:tc>
          <w:tcPr>
            <w:tcW w:w="9995" w:type="dxa"/>
            <w:tcBorders/>
            <w:vAlign w:val="center"/>
          </w:tcPr>
          <w:p>
            <w:pPr>
              <w:pStyle w:val="TableContents"/>
              <w:bidi w:val="0"/>
              <w:spacing w:before="0" w:after="283"/>
              <w:jc w:val="both"/>
              <w:rPr/>
            </w:pPr>
            <w:r>
              <w:rPr/>
              <w:t>Buyer is duly organised, validly existing and has full authority to enter into and perform this Agreement;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both"/>
              <w:rPr/>
            </w:pPr>
            <w:r>
              <w:rPr/>
              <w:t>●</w:t>
            </w:r>
          </w:p>
        </w:tc>
        <w:tc>
          <w:tcPr>
            <w:tcW w:w="9995" w:type="dxa"/>
            <w:tcBorders/>
            <w:vAlign w:val="center"/>
          </w:tcPr>
          <w:p>
            <w:pPr>
              <w:pStyle w:val="TableContents"/>
              <w:bidi w:val="0"/>
              <w:spacing w:before="0" w:after="283"/>
              <w:jc w:val="both"/>
              <w:rPr/>
            </w:pPr>
            <w:r>
              <w:rPr/>
              <w:t>Buyer is a foreign private issuer whose Class A ordinary shares are listed on Nasdaq under ticker NIVF;</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pPr>
            <w:r>
              <w:rPr/>
              <w:t>●</w:t>
            </w:r>
          </w:p>
        </w:tc>
        <w:tc>
          <w:tcPr>
            <w:tcW w:w="9983" w:type="dxa"/>
            <w:tcBorders/>
            <w:vAlign w:val="center"/>
          </w:tcPr>
          <w:p>
            <w:pPr>
              <w:pStyle w:val="TableContents"/>
              <w:bidi w:val="0"/>
              <w:spacing w:before="0" w:after="283"/>
              <w:jc w:val="both"/>
              <w:rPr/>
            </w:pPr>
            <w:r>
              <w:rPr/>
              <w:t>all Consideration Shares will be validly issued, fully paid, non-assessable and lawfully deliverable;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has sufficient authorised share capital and all necessary approvals to issue the Consideration Shares without violating Nasdaq rules, SEC rules, its constitutional documents or any agreement;</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Buyer’s public filings are current and accurate in all material respects, and no material non-public fact exists that would make the issuance materially misleading or unlawful;</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is not subject to any undisclosed delisting determination, prolonged trading suspension, insolvency event, enforcement action or restriction that may impair payment, issuance, listing or tradability;</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has sufficient immediately available resources to pay the Cash Consideration, and no financing condition applies;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has conducted its own legal, financial, tax and commercial review and is a sophisticated investor;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has not relied on any warranty or representation other than those expressly stated in this Agreement.</w:t>
            </w:r>
          </w:p>
        </w:tc>
      </w:tr>
    </w:tbl>
    <w:p>
      <w:pPr>
        <w:pStyle w:val="TextBody"/>
        <w:bidi w:val="0"/>
        <w:spacing w:before="0" w:after="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15"/>
        <w:gridCol w:w="1085"/>
      </w:tblGrid>
      <w:tr>
        <w:trPr/>
        <w:tc>
          <w:tcPr>
            <w:tcW w:w="215" w:type="dxa"/>
            <w:tcBorders/>
            <w:vAlign w:val="center"/>
          </w:tcPr>
          <w:p>
            <w:pPr>
              <w:pStyle w:val="TableContents"/>
              <w:bidi w:val="0"/>
              <w:spacing w:before="0" w:after="283"/>
              <w:jc w:val="both"/>
              <w:rPr/>
            </w:pPr>
            <w:r>
              <w:rPr/>
              <w:t>7.</w:t>
            </w:r>
          </w:p>
        </w:tc>
        <w:tc>
          <w:tcPr>
            <w:tcW w:w="1085" w:type="dxa"/>
            <w:tcBorders/>
            <w:vAlign w:val="center"/>
          </w:tcPr>
          <w:p>
            <w:pPr>
              <w:pStyle w:val="TableContents"/>
              <w:bidi w:val="0"/>
              <w:spacing w:before="0" w:after="283"/>
              <w:jc w:val="both"/>
              <w:rPr/>
            </w:pPr>
            <w:r>
              <w:rPr/>
              <w:t>Covenants </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shall promptly make all filings, applications and submissions and take all action necessary to complete Closing no later than the Long-Stop Date.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Until Closing, Buyer shall not take any action intended or reasonably likely to frustrate payment, issuance, Nasdaq approval or completion.</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Each Party shall keep transaction terms confidential, except for required legal, regulatory, Nasdaq or SEC disclosures. Buyer shall provide Seller and the Company a reasonable opportunity to review any announcement or filing referring to them, subject to law and time-sensitive filing obligations.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Buyer shall not use the K25.ai, PredicXion or Company name, marks, business or transaction as a financing rationale, promotional claim or strategic endorsement except with the Company’s prior written consent, other than factual disclosure legally required.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All transfer, issuance, stamp, filing, transfer-agent and similar costs arising from the consideration or Buyer’s issuance shall be borne by Buyer. Each Party bears its own income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pPr>
      <w:r>
        <w:rPr/>
        <w:t> </w:t>
      </w:r>
    </w:p>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283"/>
              <w:jc w:val="left"/>
              <w:rPr/>
            </w:pPr>
            <w:r>
              <w:rPr/>
              <w:t>8.</w:t>
            </w:r>
          </w:p>
        </w:tc>
        <w:tc>
          <w:tcPr>
            <w:tcW w:w="2390" w:type="dxa"/>
            <w:tcBorders/>
            <w:vAlign w:val="center"/>
          </w:tcPr>
          <w:p>
            <w:pPr>
              <w:pStyle w:val="TableContents"/>
              <w:bidi w:val="0"/>
              <w:spacing w:before="0" w:after="283"/>
              <w:jc w:val="left"/>
              <w:rPr/>
            </w:pPr>
            <w:r>
              <w:rPr/>
              <w:t>Indemnities and Liability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shall indemnify and keep indemnified Seller, the Company and their directors, officers and affiliates against all losses, liabilities, claims, costs and expenses arising from: (i) Buyer’s breach; (ii) failure to pay or validly issue the consideration; (iii) any defect, illegality or misstatement relating to the Consideration Shares or Buyer’s public disclosures; (iv) any Nasdaq, SEC, shareholder or transfer-agent non-compliance attributable to Buyer; and (v) taxes, fees or costs allocated to Buyer.</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and the Company’s aggregate liability, other than for fraud or wilful misconduct, shall not exceed the cash actually received by Seller under this Agreement. No claim may be brought against Seller or the Company more than six months after Closing. Neither Seller nor the Company is liable for indirect, consequential, punitive, speculative or loss-of-profit damages. Buyer’s payment obligations, title claims, fraud, indemnity for securities-law matters and obligations concerning the Consideration Shares are not subject to any cap or limitation period shorter than the applicable statutory period.</w:t>
      </w:r>
    </w:p>
    <w:p>
      <w:pPr>
        <w:pStyle w:val="TextBody"/>
        <w:bidi w:val="0"/>
        <w:spacing w:before="0" w:after="0"/>
        <w:ind w:left="45" w:right="16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15"/>
        <w:gridCol w:w="3635"/>
      </w:tblGrid>
      <w:tr>
        <w:trPr/>
        <w:tc>
          <w:tcPr>
            <w:tcW w:w="215" w:type="dxa"/>
            <w:tcBorders/>
            <w:vAlign w:val="center"/>
          </w:tcPr>
          <w:p>
            <w:pPr>
              <w:pStyle w:val="TableContents"/>
              <w:bidi w:val="0"/>
              <w:spacing w:before="0" w:after="283"/>
              <w:jc w:val="left"/>
              <w:rPr/>
            </w:pPr>
            <w:r>
              <w:rPr/>
              <w:t>9.</w:t>
            </w:r>
          </w:p>
        </w:tc>
        <w:tc>
          <w:tcPr>
            <w:tcW w:w="3635" w:type="dxa"/>
            <w:tcBorders/>
            <w:vAlign w:val="center"/>
          </w:tcPr>
          <w:p>
            <w:pPr>
              <w:pStyle w:val="TableContents"/>
              <w:bidi w:val="0"/>
              <w:spacing w:before="0" w:after="283"/>
              <w:jc w:val="both"/>
              <w:rPr/>
            </w:pPr>
            <w:r>
              <w:rPr/>
              <w:t>Restrictive Covenants and No Set-Off</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may not assign, transfer, novate, charge or declare a trust over its rights or obligations without Seller’s prior written consent. Seller may assign payment rights to an affiliate or nominee by notice. Buyer shall perform all obligations without set-off, counterclaim, deduction or withholding, except as expressly required by law and subject to gross-up under Clause 3.1.</w:t>
      </w:r>
    </w:p>
    <w:p>
      <w:pPr>
        <w:pStyle w:val="TextBody"/>
        <w:bidi w:val="0"/>
        <w:spacing w:before="0" w:after="0"/>
        <w:ind w:left="45" w:right="66"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335"/>
        <w:gridCol w:w="3500"/>
      </w:tblGrid>
      <w:tr>
        <w:trPr/>
        <w:tc>
          <w:tcPr>
            <w:tcW w:w="335" w:type="dxa"/>
            <w:tcBorders/>
            <w:vAlign w:val="center"/>
          </w:tcPr>
          <w:p>
            <w:pPr>
              <w:pStyle w:val="TableContents"/>
              <w:bidi w:val="0"/>
              <w:spacing w:before="0" w:after="283"/>
              <w:jc w:val="left"/>
              <w:rPr/>
            </w:pPr>
            <w:r>
              <w:rPr/>
              <w:t>10.</w:t>
            </w:r>
          </w:p>
        </w:tc>
        <w:tc>
          <w:tcPr>
            <w:tcW w:w="3500" w:type="dxa"/>
            <w:tcBorders/>
            <w:vAlign w:val="center"/>
          </w:tcPr>
          <w:p>
            <w:pPr>
              <w:pStyle w:val="TableContents"/>
              <w:bidi w:val="0"/>
              <w:spacing w:before="0" w:after="283"/>
              <w:jc w:val="left"/>
              <w:rPr/>
            </w:pPr>
            <w:r>
              <w:rPr/>
              <w:t>Default, Long-Stop and Termination</w:t>
            </w:r>
          </w:p>
        </w:tc>
      </w:tr>
    </w:tbl>
    <w:p>
      <w:pPr>
        <w:pStyle w:val="TextBody"/>
        <w:bidi w:val="0"/>
        <w:spacing w:before="0" w:after="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455"/>
        <w:gridCol w:w="1445"/>
      </w:tblGrid>
      <w:tr>
        <w:trPr/>
        <w:tc>
          <w:tcPr>
            <w:tcW w:w="455" w:type="dxa"/>
            <w:tcBorders/>
            <w:vAlign w:val="center"/>
          </w:tcPr>
          <w:p>
            <w:pPr>
              <w:pStyle w:val="TableContents"/>
              <w:bidi w:val="0"/>
              <w:spacing w:before="0" w:after="283"/>
              <w:jc w:val="left"/>
              <w:rPr/>
            </w:pPr>
            <w:r>
              <w:rPr/>
              <w:t>10.1</w:t>
            </w:r>
          </w:p>
        </w:tc>
        <w:tc>
          <w:tcPr>
            <w:tcW w:w="1445" w:type="dxa"/>
            <w:tcBorders/>
            <w:vAlign w:val="center"/>
          </w:tcPr>
          <w:p>
            <w:pPr>
              <w:pStyle w:val="TableContents"/>
              <w:bidi w:val="0"/>
              <w:spacing w:before="0" w:after="283"/>
              <w:jc w:val="left"/>
              <w:rPr/>
            </w:pPr>
            <w:r>
              <w:rPr/>
              <w:t> </w:t>
            </w:r>
            <w:r>
              <w:rPr/>
              <w:t>Buyer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in default if it fails to pay the Deposit, fails to satisfy a condition within its control, fails to close by the Long-Stop Date, repudiates the transaction, or otherwise materially breaches this Agreement.</w:t>
      </w:r>
    </w:p>
    <w:p>
      <w:pPr>
        <w:pStyle w:val="TextBody"/>
        <w:bidi w:val="0"/>
        <w:spacing w:before="0" w:after="0"/>
        <w:ind w:left="45" w:right="67"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455"/>
        <w:gridCol w:w="1625"/>
      </w:tblGrid>
      <w:tr>
        <w:trPr/>
        <w:tc>
          <w:tcPr>
            <w:tcW w:w="455" w:type="dxa"/>
            <w:tcBorders/>
            <w:vAlign w:val="center"/>
          </w:tcPr>
          <w:p>
            <w:pPr>
              <w:pStyle w:val="TableContents"/>
              <w:bidi w:val="0"/>
              <w:spacing w:before="0" w:after="283"/>
              <w:jc w:val="left"/>
              <w:rPr/>
            </w:pPr>
            <w:r>
              <w:rPr/>
              <w:t>10.2</w:t>
            </w:r>
          </w:p>
        </w:tc>
        <w:tc>
          <w:tcPr>
            <w:tcW w:w="1625" w:type="dxa"/>
            <w:tcBorders/>
            <w:vAlign w:val="center"/>
          </w:tcPr>
          <w:p>
            <w:pPr>
              <w:pStyle w:val="TableContents"/>
              <w:bidi w:val="0"/>
              <w:spacing w:before="0" w:after="283"/>
              <w:jc w:val="left"/>
              <w:rPr/>
            </w:pPr>
            <w:r>
              <w:rPr/>
              <w:t> </w:t>
            </w:r>
            <w:r>
              <w:rPr/>
              <w:t>Seller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Buyer default, Seller may, by notice and without prejudice to accrued rights, elect either:</w:t>
      </w:r>
    </w:p>
    <w:p>
      <w:pPr>
        <w:pStyle w:val="TextBody"/>
        <w:bidi w:val="0"/>
        <w:spacing w:before="0" w:after="0"/>
        <w:ind w:left="45"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specific performance, injunctive relief and an order requiring Buyer to pay and issue the full Purchase Price;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termination, retention of the Deposit and payment by Buyer of a reverse termination fee of US$3,000,000 within five Business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termination fee is agreed as a reasonable and proportionate pre-estimate of loss, opportunity cost, disruption and reputational harm, and not a penalty. Seller shall not obtain double recovery for the same loss, but may recover enforcement costs, interest and losses exceeding the fee where caused by fraud, wilful misconduct or a breach of confidentiality, securities-law or indemnity obligations.</w:t>
      </w:r>
    </w:p>
    <w:p>
      <w:pPr>
        <w:pStyle w:val="TextBody"/>
        <w:bidi w:val="0"/>
        <w:spacing w:before="0" w:after="0"/>
        <w:ind w:left="45" w:right="98"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55"/>
        <w:gridCol w:w="1400"/>
      </w:tblGrid>
      <w:tr>
        <w:trPr/>
        <w:tc>
          <w:tcPr>
            <w:tcW w:w="455" w:type="dxa"/>
            <w:tcBorders/>
            <w:vAlign w:val="center"/>
          </w:tcPr>
          <w:p>
            <w:pPr>
              <w:pStyle w:val="TableContents"/>
              <w:bidi w:val="0"/>
              <w:spacing w:before="0" w:after="283"/>
              <w:jc w:val="left"/>
              <w:rPr/>
            </w:pPr>
            <w:r>
              <w:rPr/>
              <w:t>10.3</w:t>
            </w:r>
          </w:p>
        </w:tc>
        <w:tc>
          <w:tcPr>
            <w:tcW w:w="1400" w:type="dxa"/>
            <w:tcBorders/>
            <w:vAlign w:val="center"/>
          </w:tcPr>
          <w:p>
            <w:pPr>
              <w:pStyle w:val="TableContents"/>
              <w:bidi w:val="0"/>
              <w:spacing w:before="0" w:after="283"/>
              <w:jc w:val="left"/>
              <w:rPr/>
            </w:pPr>
            <w:r>
              <w:rPr/>
              <w:t> </w:t>
            </w:r>
            <w:r>
              <w:rPr/>
              <w:t>Seller Default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may terminate only where Closing is legally impossible solely because of Seller’s finally determined material breach that remains uncured for 15 Business Days after detailed written notice. In that event only, Seller shall return the Deposit without interest, and that return is Buyer’s sole monetary remedy, except for fraud.</w:t>
      </w:r>
    </w:p>
    <w:p>
      <w:pPr>
        <w:pStyle w:val="TextBody"/>
        <w:bidi w:val="0"/>
        <w:spacing w:before="0" w:after="0"/>
        <w:ind w:left="45" w:right="259"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455"/>
        <w:gridCol w:w="2840"/>
      </w:tblGrid>
      <w:tr>
        <w:trPr/>
        <w:tc>
          <w:tcPr>
            <w:tcW w:w="455" w:type="dxa"/>
            <w:tcBorders/>
            <w:vAlign w:val="center"/>
          </w:tcPr>
          <w:p>
            <w:pPr>
              <w:pStyle w:val="TableContents"/>
              <w:bidi w:val="0"/>
              <w:spacing w:before="0" w:after="283"/>
              <w:jc w:val="left"/>
              <w:rPr/>
            </w:pPr>
            <w:r>
              <w:rPr/>
              <w:t>10.4</w:t>
            </w:r>
          </w:p>
        </w:tc>
        <w:tc>
          <w:tcPr>
            <w:tcW w:w="2840" w:type="dxa"/>
            <w:tcBorders/>
            <w:vAlign w:val="center"/>
          </w:tcPr>
          <w:p>
            <w:pPr>
              <w:pStyle w:val="TableContents"/>
              <w:bidi w:val="0"/>
              <w:spacing w:before="0" w:after="283"/>
              <w:jc w:val="left"/>
              <w:rPr/>
            </w:pPr>
            <w:r>
              <w:rPr/>
              <w:t> </w:t>
            </w:r>
            <w:r>
              <w:rPr/>
              <w:t>Accrued Rights and Survival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does not affect accrued rights. Clauses concerning payment, confidentiality, indemnities, limitations of liability, remedies, governing law and dispute resolution survive.</w:t>
      </w:r>
    </w:p>
    <w:p>
      <w:pPr>
        <w:pStyle w:val="TextBody"/>
        <w:bidi w:val="0"/>
        <w:spacing w:before="0" w:after="0"/>
        <w:ind w:left="45" w:right="311"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35"/>
        <w:gridCol w:w="1715"/>
      </w:tblGrid>
      <w:tr>
        <w:trPr/>
        <w:tc>
          <w:tcPr>
            <w:tcW w:w="335" w:type="dxa"/>
            <w:tcBorders/>
            <w:vAlign w:val="center"/>
          </w:tcPr>
          <w:p>
            <w:pPr>
              <w:pStyle w:val="TableContents"/>
              <w:bidi w:val="0"/>
              <w:spacing w:before="0" w:after="283"/>
              <w:jc w:val="left"/>
              <w:rPr/>
            </w:pPr>
            <w:r>
              <w:rPr/>
              <w:t>11.</w:t>
            </w:r>
          </w:p>
        </w:tc>
        <w:tc>
          <w:tcPr>
            <w:tcW w:w="1715" w:type="dxa"/>
            <w:tcBorders/>
            <w:vAlign w:val="center"/>
          </w:tcPr>
          <w:p>
            <w:pPr>
              <w:pStyle w:val="TableContents"/>
              <w:bidi w:val="0"/>
              <w:spacing w:before="0" w:after="283"/>
              <w:jc w:val="left"/>
              <w:rPr/>
            </w:pPr>
            <w:r>
              <w:rPr/>
              <w:t>Interest and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overdue amount bears interest from the due date until payment at 12% per annum, compounded monthly, or the maximum lawful rate if lower. Buyer shall reimburse Seller and the Company for reasonable legal and enforcement costs incurred in enforcing Buyer’s payment, issuance or closing obligations.</w:t>
      </w:r>
    </w:p>
    <w:p>
      <w:pPr>
        <w:pStyle w:val="TextBody"/>
        <w:bidi w:val="0"/>
        <w:spacing w:before="0" w:after="0"/>
        <w:ind w:left="45" w:right="97"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4165" w:type="dxa"/>
        <w:jc w:val="left"/>
        <w:tblInd w:w="0" w:type="dxa"/>
        <w:tblLayout w:type="fixed"/>
        <w:tblCellMar>
          <w:top w:w="0" w:type="dxa"/>
          <w:left w:w="0" w:type="dxa"/>
          <w:bottom w:w="0" w:type="dxa"/>
          <w:right w:w="0" w:type="dxa"/>
        </w:tblCellMar>
      </w:tblPr>
      <w:tblGrid>
        <w:gridCol w:w="335"/>
        <w:gridCol w:w="3830"/>
      </w:tblGrid>
      <w:tr>
        <w:trPr/>
        <w:tc>
          <w:tcPr>
            <w:tcW w:w="335" w:type="dxa"/>
            <w:tcBorders/>
            <w:vAlign w:val="center"/>
          </w:tcPr>
          <w:p>
            <w:pPr>
              <w:pStyle w:val="TableContents"/>
              <w:bidi w:val="0"/>
              <w:spacing w:before="0" w:after="283"/>
              <w:jc w:val="left"/>
              <w:rPr/>
            </w:pPr>
            <w:r>
              <w:rPr/>
              <w:t>12.</w:t>
            </w:r>
          </w:p>
        </w:tc>
        <w:tc>
          <w:tcPr>
            <w:tcW w:w="3830" w:type="dxa"/>
            <w:tcBorders/>
            <w:vAlign w:val="center"/>
          </w:tcPr>
          <w:p>
            <w:pPr>
              <w:pStyle w:val="TableContents"/>
              <w:bidi w:val="0"/>
              <w:spacing w:before="0" w:after="283"/>
              <w:jc w:val="left"/>
              <w:rPr/>
            </w:pPr>
            <w:r>
              <w:rPr/>
              <w:t>Governing Law and Dispute Resolution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governed by the laws of the British Virgin Islands. Any dispute arising out of or relating to this Agreement shall be finally resolved by arbitration administered by the BVI International Arbitration Centre under its rules. The tribunal shall consist of one arbitrator, the seat shall be the British Virgin Islands and the language shall be English. Nothing prevents Seller or the Company from seeking urgent interim, injunctive or conservatory relief in any court of competent jurisdiction.</w:t>
      </w:r>
    </w:p>
    <w:p>
      <w:pPr>
        <w:pStyle w:val="TextBody"/>
        <w:bidi w:val="0"/>
        <w:spacing w:before="0" w:after="0"/>
        <w:ind w:left="45"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283"/>
              <w:jc w:val="left"/>
              <w:rPr/>
            </w:pPr>
            <w:r>
              <w:rPr/>
              <w:t>13.</w:t>
            </w:r>
          </w:p>
        </w:tc>
        <w:tc>
          <w:tcPr>
            <w:tcW w:w="1385" w:type="dxa"/>
            <w:tcBorders/>
            <w:vAlign w:val="center"/>
          </w:tcPr>
          <w:p>
            <w:pPr>
              <w:pStyle w:val="TableContents"/>
              <w:bidi w:val="0"/>
              <w:spacing w:before="0" w:after="283"/>
              <w:jc w:val="left"/>
              <w:rPr/>
            </w:pPr>
            <w:r>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xml:space="preserve"> This Agreement constitutes the entire agreement concerning this 3% acquisition and supersedes prior discussions concerning it.</w:t>
      </w:r>
    </w:p>
    <w:p>
      <w:pPr>
        <w:pStyle w:val="TextBody"/>
        <w:bidi w:val="0"/>
        <w:spacing w:before="0" w:after="0"/>
        <w:ind w:left="45" w:right="165"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Amendments:</w:t>
      </w:r>
      <w:r>
        <w:rPr>
          <w:rFonts w:ascii="Times New Roman;Times;Serif" w:hAnsi="Times New Roman;Times;Serif"/>
          <w:b w:val="false"/>
          <w:i w:val="false"/>
          <w:caps w:val="false"/>
          <w:smallCaps w:val="false"/>
          <w:sz w:val="20"/>
        </w:rPr>
        <w:t xml:space="preserve"> Any amendment or waiver must be in writing signed by Seller, Buyer and, where its rights are affected, the Company.</w:t>
      </w:r>
    </w:p>
    <w:p>
      <w:pPr>
        <w:pStyle w:val="TextBody"/>
        <w:bidi w:val="0"/>
        <w:spacing w:before="0" w:after="0"/>
        <w:ind w:left="45" w:right="165"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xml:space="preserve"> A delay or failure to exercise a right is not a waiver. Rights and remedies are cumulative.</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Assurance:</w:t>
      </w:r>
      <w:r>
        <w:rPr>
          <w:rFonts w:ascii="Times New Roman;Times;Serif" w:hAnsi="Times New Roman;Times;Serif"/>
          <w:b w:val="false"/>
          <w:i w:val="false"/>
          <w:caps w:val="false"/>
          <w:smallCaps w:val="false"/>
          <w:sz w:val="20"/>
        </w:rPr>
        <w:t xml:space="preserve"> Buyer shall execute all documents and take all actions reasonably requested to give full effect to the transaction.</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Notices shall be in writing and delivered by email and courier to the addresses notified by each Party, and are effective upon confirmed receipt.</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Counterparts and E-signatures:</w:t>
      </w:r>
      <w:r>
        <w:rPr>
          <w:rFonts w:ascii="Times New Roman;Times;Serif" w:hAnsi="Times New Roman;Times;Serif"/>
          <w:b w:val="false"/>
          <w:i w:val="false"/>
          <w:caps w:val="false"/>
          <w:smallCaps w:val="false"/>
          <w:sz w:val="20"/>
        </w:rPr>
        <w:t xml:space="preserve"> This Agreement may be signed in counterparts and by electronic signature, each of which is an original and together form one instrument.</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An invalid provision shall be modified to the minimum extent necessary to make it enforceable while preserving the commercial intent.</w:t>
      </w:r>
    </w:p>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Third-Party Rights:</w:t>
      </w:r>
      <w:r>
        <w:rPr>
          <w:rFonts w:ascii="Times New Roman;Times;Serif" w:hAnsi="Times New Roman;Times;Serif"/>
          <w:b w:val="false"/>
          <w:i w:val="false"/>
          <w:caps w:val="false"/>
          <w:smallCaps w:val="false"/>
          <w:sz w:val="20"/>
        </w:rPr>
        <w:t xml:space="preserve"> Except for indemnified persons under Clause 8, no person who is not a Party has rights under this Agreement.</w:t>
      </w:r>
    </w:p>
    <w:p>
      <w:pPr>
        <w:pStyle w:val="TextBody"/>
        <w:bidi w:val="0"/>
        <w:spacing w:before="0" w:after="0"/>
        <w:ind w:left="45" w:right="97"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3" w:right="1" w:hanging="0"/>
        <w:jc w:val="center"/>
        <w:rPr>
          <w:caps w:val="false"/>
          <w:smallCaps w:val="false"/>
        </w:rPr>
      </w:pPr>
      <w:r>
        <w:rPr>
          <w:caps w:val="false"/>
          <w:smallCaps w:val="false"/>
        </w:rPr>
        <w:t> </w:t>
      </w:r>
    </w:p>
    <w:p>
      <w:pPr>
        <w:pStyle w:val="TextBody"/>
        <w:bidi w:val="0"/>
        <w:spacing w:before="0" w:after="0"/>
        <w:ind w:left="3"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3" w:right="1" w:hanging="0"/>
        <w:jc w:val="center"/>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1061"/>
        <w:gridCol w:w="2618"/>
        <w:gridCol w:w="75"/>
      </w:tblGrid>
      <w:tr>
        <w:trPr/>
        <w:tc>
          <w:tcPr>
            <w:tcW w:w="3679" w:type="dxa"/>
            <w:gridSpan w:val="2"/>
            <w:tcBorders/>
            <w:vAlign w:val="center"/>
          </w:tcPr>
          <w:p>
            <w:pPr>
              <w:pStyle w:val="TableContents"/>
              <w:bidi w:val="0"/>
              <w:spacing w:before="0" w:after="283"/>
              <w:jc w:val="left"/>
              <w:rPr>
                <w:b/>
              </w:rPr>
            </w:pPr>
            <w:r>
              <w:rPr>
                <w:b/>
              </w:rPr>
              <w:t>PREDICXION GROUP LIMITED</w:t>
            </w:r>
          </w:p>
        </w:tc>
        <w:tc>
          <w:tcPr>
            <w:tcW w:w="75"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 </w:t>
            </w:r>
          </w:p>
        </w:tc>
        <w:tc>
          <w:tcPr>
            <w:tcW w:w="26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By:</w:t>
            </w:r>
          </w:p>
        </w:tc>
        <w:tc>
          <w:tcPr>
            <w:tcW w:w="2618" w:type="dxa"/>
            <w:tcBorders>
              <w:bottom w:val="single" w:sz="12" w:space="0" w:color="000000"/>
            </w:tcBorders>
            <w:tcMar>
              <w:bottom w:w="28" w:type="dxa"/>
            </w:tcMar>
            <w:vAlign w:val="center"/>
          </w:tcPr>
          <w:p>
            <w:pPr>
              <w:pStyle w:val="TableContents"/>
              <w:bidi w:val="0"/>
              <w:spacing w:before="0" w:after="283"/>
              <w:jc w:val="left"/>
              <w:rPr/>
            </w:pPr>
            <w:r>
              <w:rPr/>
              <w:t>/s/ Andy Cheung</w:t>
            </w:r>
          </w:p>
        </w:tc>
        <w:tc>
          <w:tcPr>
            <w:tcW w:w="75"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Name:</w:t>
            </w:r>
          </w:p>
        </w:tc>
        <w:tc>
          <w:tcPr>
            <w:tcW w:w="2618" w:type="dxa"/>
            <w:tcBorders/>
            <w:vAlign w:val="center"/>
          </w:tcPr>
          <w:p>
            <w:pPr>
              <w:pStyle w:val="TableContents"/>
              <w:bidi w:val="0"/>
              <w:spacing w:before="0" w:after="283"/>
              <w:jc w:val="left"/>
              <w:rPr/>
            </w:pPr>
            <w:r>
              <w:rPr/>
              <w:t>Andy Cheung</w:t>
            </w:r>
          </w:p>
        </w:tc>
        <w:tc>
          <w:tcPr>
            <w:tcW w:w="75" w:type="dxa"/>
            <w:tcBorders/>
            <w:vAlign w:val="center"/>
          </w:tcPr>
          <w:p>
            <w:pPr>
              <w:pStyle w:val="TableContents"/>
              <w:bidi w:val="0"/>
              <w:spacing w:before="0" w:after="283"/>
              <w:jc w:val="left"/>
              <w:rPr/>
            </w:pPr>
            <w:r>
              <w:rPr/>
              <w:t> </w:t>
            </w:r>
          </w:p>
        </w:tc>
      </w:tr>
      <w:tr>
        <w:trPr/>
        <w:tc>
          <w:tcPr>
            <w:tcW w:w="1061" w:type="dxa"/>
            <w:tcBorders/>
            <w:vAlign w:val="center"/>
          </w:tcPr>
          <w:p>
            <w:pPr>
              <w:pStyle w:val="TableContents"/>
              <w:bidi w:val="0"/>
              <w:spacing w:before="0" w:after="283"/>
              <w:jc w:val="left"/>
              <w:rPr/>
            </w:pPr>
            <w:r>
              <w:rPr/>
              <w:t>Title:</w:t>
            </w:r>
          </w:p>
        </w:tc>
        <w:tc>
          <w:tcPr>
            <w:tcW w:w="2618"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3679" w:type="dxa"/>
            <w:gridSpan w:val="2"/>
            <w:tcBorders/>
            <w:vAlign w:val="center"/>
          </w:tcPr>
          <w:p>
            <w:pPr>
              <w:pStyle w:val="TableContents"/>
              <w:bidi w:val="0"/>
              <w:spacing w:before="0" w:after="283"/>
              <w:jc w:val="left"/>
              <w:rPr/>
            </w:pPr>
            <w:r>
              <w:rPr/>
              <w:t>Date: 27 July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5"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1242"/>
        <w:gridCol w:w="2392"/>
        <w:gridCol w:w="75"/>
      </w:tblGrid>
      <w:tr>
        <w:trPr/>
        <w:tc>
          <w:tcPr>
            <w:tcW w:w="363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NEWGENIVF GROUP LIMITED</w:t>
            </w:r>
          </w:p>
        </w:tc>
        <w:tc>
          <w:tcPr>
            <w:tcW w:w="75"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By:</w:t>
            </w:r>
          </w:p>
        </w:tc>
        <w:tc>
          <w:tcPr>
            <w:tcW w:w="2392" w:type="dxa"/>
            <w:tcBorders>
              <w:bottom w:val="single" w:sz="12" w:space="0" w:color="000000"/>
            </w:tcBorders>
            <w:tcMar>
              <w:bottom w:w="28" w:type="dxa"/>
            </w:tcMar>
            <w:vAlign w:val="center"/>
          </w:tcPr>
          <w:p>
            <w:pPr>
              <w:pStyle w:val="TableContents"/>
              <w:bidi w:val="0"/>
              <w:spacing w:before="0" w:after="283"/>
              <w:jc w:val="left"/>
              <w:rPr/>
            </w:pPr>
            <w:r>
              <w:rPr/>
              <w:t>/s/ Alfred Siu</w:t>
            </w:r>
          </w:p>
        </w:tc>
        <w:tc>
          <w:tcPr>
            <w:tcW w:w="75"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Name:</w:t>
            </w:r>
          </w:p>
        </w:tc>
        <w:tc>
          <w:tcPr>
            <w:tcW w:w="2392" w:type="dxa"/>
            <w:tcBorders/>
            <w:vAlign w:val="center"/>
          </w:tcPr>
          <w:p>
            <w:pPr>
              <w:pStyle w:val="TableContents"/>
              <w:bidi w:val="0"/>
              <w:spacing w:before="0" w:after="283"/>
              <w:jc w:val="left"/>
              <w:rPr/>
            </w:pPr>
            <w:r>
              <w:rPr/>
              <w:t>Alfred Siu</w:t>
            </w:r>
          </w:p>
        </w:tc>
        <w:tc>
          <w:tcPr>
            <w:tcW w:w="75" w:type="dxa"/>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pPr>
            <w:r>
              <w:rPr/>
              <w:t>Title:</w:t>
            </w:r>
          </w:p>
        </w:tc>
        <w:tc>
          <w:tcPr>
            <w:tcW w:w="2392"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3634" w:type="dxa"/>
            <w:gridSpan w:val="2"/>
            <w:tcBorders/>
            <w:vAlign w:val="center"/>
          </w:tcPr>
          <w:p>
            <w:pPr>
              <w:pStyle w:val="TableContents"/>
              <w:bidi w:val="0"/>
              <w:spacing w:before="0" w:after="283"/>
              <w:jc w:val="left"/>
              <w:rPr/>
            </w:pPr>
            <w:r>
              <w:rPr/>
              <w:t>Date: 27 July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5"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665"/>
        <w:gridCol w:w="1640"/>
        <w:gridCol w:w="75"/>
      </w:tblGrid>
      <w:tr>
        <w:trPr/>
        <w:tc>
          <w:tcPr>
            <w:tcW w:w="2305" w:type="dxa"/>
            <w:gridSpan w:val="2"/>
            <w:tcBorders/>
            <w:vAlign w:val="center"/>
          </w:tcPr>
          <w:p>
            <w:pPr>
              <w:pStyle w:val="TableContents"/>
              <w:bidi w:val="0"/>
              <w:spacing w:before="0" w:after="283"/>
              <w:jc w:val="left"/>
              <w:rPr>
                <w:b/>
              </w:rPr>
            </w:pPr>
            <w:r>
              <w:rPr>
                <w:b/>
              </w:rPr>
              <w:t>SELLERS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1640" w:type="dxa"/>
            <w:tcBorders>
              <w:bottom w:val="single" w:sz="12" w:space="0" w:color="000000"/>
            </w:tcBorders>
            <w:tcMar>
              <w:bottom w:w="28" w:type="dxa"/>
            </w:tcMar>
            <w:vAlign w:val="center"/>
          </w:tcPr>
          <w:p>
            <w:pPr>
              <w:pStyle w:val="TableContents"/>
              <w:bidi w:val="0"/>
              <w:spacing w:before="0" w:after="283"/>
              <w:jc w:val="left"/>
              <w:rPr/>
            </w:pPr>
            <w:r>
              <w:rPr/>
              <w:t>/s/ Andy Cheung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1640" w:type="dxa"/>
            <w:tcBorders/>
            <w:vAlign w:val="center"/>
          </w:tcPr>
          <w:p>
            <w:pPr>
              <w:pStyle w:val="TableContents"/>
              <w:bidi w:val="0"/>
              <w:spacing w:before="0" w:after="283"/>
              <w:jc w:val="left"/>
              <w:rPr/>
            </w:pPr>
            <w:r>
              <w:rPr/>
              <w:t>Andy Cheung</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1640"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2305" w:type="dxa"/>
            <w:gridSpan w:val="2"/>
            <w:tcBorders/>
            <w:vAlign w:val="center"/>
          </w:tcPr>
          <w:p>
            <w:pPr>
              <w:pStyle w:val="TableContents"/>
              <w:bidi w:val="0"/>
              <w:spacing w:before="0" w:after="283"/>
              <w:jc w:val="left"/>
              <w:rPr/>
            </w:pPr>
            <w:r>
              <w:rPr/>
              <w:t>Date: 27 July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4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 Seller and Purchased Shares</w:t>
      </w:r>
    </w:p>
    <w:p>
      <w:pPr>
        <w:pStyle w:val="TextBody"/>
        <w:bidi w:val="0"/>
        <w:spacing w:before="0" w:after="0"/>
        <w:ind w:left="45"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94"/>
        <w:gridCol w:w="60"/>
        <w:gridCol w:w="2825"/>
        <w:gridCol w:w="60"/>
        <w:gridCol w:w="1491"/>
        <w:gridCol w:w="60"/>
        <w:gridCol w:w="4015"/>
      </w:tblGrid>
      <w:tr>
        <w:trPr/>
        <w:tc>
          <w:tcPr>
            <w:tcW w:w="1694" w:type="dxa"/>
            <w:tcBorders>
              <w:bottom w:val="single" w:sz="12" w:space="0" w:color="000000"/>
            </w:tcBorders>
            <w:shd w:fill="FFFFFF" w:val="clear"/>
            <w:vAlign w:val="center"/>
          </w:tcPr>
          <w:p>
            <w:pPr>
              <w:pStyle w:val="TableContents"/>
              <w:bidi w:val="0"/>
              <w:spacing w:before="0" w:after="283"/>
              <w:jc w:val="left"/>
              <w:rPr>
                <w:b/>
                <w:sz w:val="20"/>
              </w:rPr>
            </w:pPr>
            <w:r>
              <w:rPr>
                <w:b/>
                <w:sz w:val="20"/>
              </w:rPr>
              <w:t>Seller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5" w:type="dxa"/>
            <w:tcBorders>
              <w:bottom w:val="single" w:sz="12" w:space="0" w:color="000000"/>
            </w:tcBorders>
            <w:shd w:fill="FFFFFF" w:val="clear"/>
            <w:vAlign w:val="center"/>
          </w:tcPr>
          <w:p>
            <w:pPr>
              <w:pStyle w:val="TableContents"/>
              <w:bidi w:val="0"/>
              <w:spacing w:before="0" w:after="283"/>
              <w:jc w:val="center"/>
              <w:rPr>
                <w:b/>
                <w:sz w:val="20"/>
              </w:rPr>
            </w:pPr>
            <w:r>
              <w:rPr>
                <w:b/>
                <w:sz w:val="20"/>
              </w:rPr>
              <w:t>Number of Company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1" w:type="dxa"/>
            <w:tcBorders>
              <w:bottom w:val="single" w:sz="12" w:space="0" w:color="000000"/>
            </w:tcBorders>
            <w:shd w:fill="FFFFFF" w:val="clear"/>
            <w:vAlign w:val="center"/>
          </w:tcPr>
          <w:p>
            <w:pPr>
              <w:pStyle w:val="TableContents"/>
              <w:bidi w:val="0"/>
              <w:spacing w:before="0" w:after="283"/>
              <w:jc w:val="center"/>
              <w:rPr>
                <w:b/>
                <w:sz w:val="20"/>
              </w:rPr>
            </w:pPr>
            <w:r>
              <w:rPr>
                <w:b/>
                <w:sz w:val="20"/>
              </w:rPr>
              <w:t>Percentage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5" w:type="dxa"/>
            <w:tcBorders>
              <w:bottom w:val="single" w:sz="12" w:space="0" w:color="000000"/>
            </w:tcBorders>
            <w:shd w:fill="FFFFFF" w:val="clear"/>
            <w:vAlign w:val="center"/>
          </w:tcPr>
          <w:p>
            <w:pPr>
              <w:pStyle w:val="TableContents"/>
              <w:bidi w:val="0"/>
              <w:spacing w:before="0" w:after="283"/>
              <w:jc w:val="center"/>
              <w:rPr>
                <w:b/>
                <w:sz w:val="20"/>
              </w:rPr>
            </w:pPr>
            <w:r>
              <w:rPr>
                <w:b/>
                <w:sz w:val="20"/>
              </w:rPr>
              <w:t>Consideration</w:t>
            </w:r>
          </w:p>
        </w:tc>
      </w:tr>
      <w:tr>
        <w:trPr/>
        <w:tc>
          <w:tcPr>
            <w:tcW w:w="1694" w:type="dxa"/>
            <w:tcBorders/>
            <w:shd w:fill="CCEEFF" w:val="clear"/>
            <w:tcMar>
              <w:bottom w:w="0" w:type="dxa"/>
            </w:tcMar>
            <w:vAlign w:val="center"/>
          </w:tcPr>
          <w:p>
            <w:pPr>
              <w:pStyle w:val="TableContents"/>
              <w:bidi w:val="0"/>
              <w:spacing w:before="0" w:after="283"/>
              <w:jc w:val="left"/>
              <w:rPr/>
            </w:pPr>
            <w:r>
              <w:rPr/>
              <w:t>Kong Yiu CHEUNG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left"/>
              <w:rPr>
                <w:sz w:val="20"/>
              </w:rPr>
            </w:pPr>
            <w:r>
              <w:rPr>
                <w:sz w:val="20"/>
              </w:rPr>
              <w:t>1,500 ordinary shares (subject to exact 3%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1" w:type="dxa"/>
            <w:tcBorders/>
            <w:shd w:fill="CCEEFF" w:val="clear"/>
            <w:tcMar>
              <w:bottom w:w="0" w:type="dxa"/>
            </w:tcMar>
            <w:vAlign w:val="center"/>
          </w:tcPr>
          <w:p>
            <w:pPr>
              <w:pStyle w:val="TableContents"/>
              <w:bidi w:val="0"/>
              <w:spacing w:before="0" w:after="283"/>
              <w:jc w:val="left"/>
              <w:rPr>
                <w:sz w:val="20"/>
              </w:rPr>
            </w:pPr>
            <w:r>
              <w:rPr>
                <w:sz w:val="20"/>
              </w:rPr>
              <w:t>3% fully diluted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5" w:type="dxa"/>
            <w:tcBorders/>
            <w:shd w:fill="CCEEFF" w:val="clear"/>
            <w:tcMar>
              <w:bottom w:w="0" w:type="dxa"/>
            </w:tcMar>
            <w:vAlign w:val="center"/>
          </w:tcPr>
          <w:p>
            <w:pPr>
              <w:pStyle w:val="TableContents"/>
              <w:bidi w:val="0"/>
              <w:spacing w:before="0" w:after="283"/>
              <w:jc w:val="left"/>
              <w:rPr/>
            </w:pPr>
            <w:r>
              <w:rPr/>
              <w:t>US$3,750,000 cash + 2,500,000 NIVF Class A   ordinary shares  </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4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 - Closing Checklist</w:t>
      </w:r>
    </w:p>
    <w:p>
      <w:pPr>
        <w:pStyle w:val="TextBody"/>
        <w:bidi w:val="0"/>
        <w:spacing w:before="0" w:after="0"/>
        <w:ind w:left="45"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pPr>
            <w:r>
              <w:rPr/>
              <w:t>Deposit received: US$187,500 in the cryptocurrency or fiat form designated by Seller.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383"/>
        <w:gridCol w:w="9737"/>
      </w:tblGrid>
      <w:tr>
        <w:trPr/>
        <w:tc>
          <w:tcPr>
            <w:tcW w:w="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w:t>
            </w:r>
          </w:p>
        </w:tc>
        <w:tc>
          <w:tcPr>
            <w:tcW w:w="9737" w:type="dxa"/>
            <w:tcBorders/>
            <w:vAlign w:val="center"/>
          </w:tcPr>
          <w:p>
            <w:pPr>
              <w:pStyle w:val="TableContents"/>
              <w:bidi w:val="0"/>
              <w:spacing w:before="0" w:after="283"/>
              <w:jc w:val="left"/>
              <w:rPr/>
            </w:pPr>
            <w:r>
              <w:rPr/>
              <w:t>Remaining cash received: US$3,562,500 net.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7"/>
        <w:gridCol w:w="9806"/>
      </w:tblGrid>
      <w:tr>
        <w:trPr/>
        <w:tc>
          <w:tcPr>
            <w:tcW w:w="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w:t>
            </w:r>
          </w:p>
        </w:tc>
        <w:tc>
          <w:tcPr>
            <w:tcW w:w="9806" w:type="dxa"/>
            <w:tcBorders/>
            <w:vAlign w:val="center"/>
          </w:tcPr>
          <w:p>
            <w:pPr>
              <w:pStyle w:val="TableContents"/>
              <w:bidi w:val="0"/>
              <w:spacing w:before="0" w:after="283"/>
              <w:jc w:val="left"/>
              <w:rPr/>
            </w:pPr>
            <w:r>
              <w:rPr/>
              <w:t>2,500,000 Consideration Shares issued and delivered.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2"/>
        <w:gridCol w:w="9824"/>
      </w:tblGrid>
      <w:tr>
        <w:trPr/>
        <w:tc>
          <w:tcPr>
            <w:tcW w:w="6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w:t>
            </w:r>
          </w:p>
        </w:tc>
        <w:tc>
          <w:tcPr>
            <w:tcW w:w="9824" w:type="dxa"/>
            <w:tcBorders/>
            <w:vAlign w:val="center"/>
          </w:tcPr>
          <w:p>
            <w:pPr>
              <w:pStyle w:val="TableContents"/>
              <w:bidi w:val="0"/>
              <w:spacing w:before="0" w:after="283"/>
              <w:jc w:val="left"/>
              <w:rPr/>
            </w:pPr>
            <w:r>
              <w:rPr/>
              <w:t>Transfer-agent confirmation and legal opinion delivered.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left"/>
              <w:rPr/>
            </w:pPr>
            <w:r>
              <w:rPr/>
              <w:t>Buyer corporate/Nasdaq/SEC approvals delivered.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7"/>
        <w:gridCol w:w="9842"/>
      </w:tblGrid>
      <w:tr>
        <w:trPr/>
        <w:tc>
          <w:tcPr>
            <w:tcW w:w="6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w:t>
            </w:r>
          </w:p>
        </w:tc>
        <w:tc>
          <w:tcPr>
            <w:tcW w:w="9842" w:type="dxa"/>
            <w:tcBorders/>
            <w:vAlign w:val="center"/>
          </w:tcPr>
          <w:p>
            <w:pPr>
              <w:pStyle w:val="TableContents"/>
              <w:bidi w:val="0"/>
              <w:spacing w:before="0" w:after="283"/>
              <w:jc w:val="left"/>
              <w:rPr/>
            </w:pPr>
            <w:r>
              <w:rPr/>
              <w:t>Company transfer instrument and updated register released.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5"/>
        <w:gridCol w:w="9539"/>
      </w:tblGrid>
      <w:tr>
        <w:trPr/>
        <w:tc>
          <w:tcPr>
            <w:tcW w:w="1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w:t>
            </w:r>
          </w:p>
        </w:tc>
        <w:tc>
          <w:tcPr>
            <w:tcW w:w="9539" w:type="dxa"/>
            <w:tcBorders/>
            <w:vAlign w:val="center"/>
          </w:tcPr>
          <w:p>
            <w:pPr>
              <w:pStyle w:val="TableContents"/>
              <w:bidi w:val="0"/>
              <w:spacing w:before="0" w:after="283"/>
              <w:jc w:val="left"/>
              <w:rPr/>
            </w:pPr>
            <w:r>
              <w:rPr/>
              <w:t>Closing certificates exchanged.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931501ex99-1.htm"/>
      <w:bookmarkStart w:id="5" w:name="ksea0299315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 to Acquire Additional 3% of K25.ai at US$250 Million Valuation Following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Strong Community Beta; Strengthening Market Cap Above US$5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Follow-on investment would increase NewGen’s aggregate ownership to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BANGKOK, 27 July 2026 (GLOBE NEWSWIRE) — NewGenIVF Group Limited (Nasdaq: NIVF) (“NewGen” or the “Company”), a technology-driven, diversified growth company, today announced that it has entered into a definitive agreement to acquire an additional 3% equity interest in K25.ai at a US$250 million equity 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US$7.5 million investment follows K25.ai’s successful community beta and rapidly accelerating market traction. Upon completion, NewGen’s aggregate ownership in K25.ai is expected to increase from 10% to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consideration, NewGen expects to issue approximately 2.5 million Class A ordinary shares. Upon issuance, the Company’s total outstanding shares are expected to increase to approximately 5.9 million, strengthening its market capitalization above the US$5 million threshold and supporting ongoing Nasdaq listing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K25.ai recently entered community beta and is seeing early engagement from users and creators. The stepped-up US$250 million valuation reflects NewGen’s confidence in the platform’s AI-native approach and its potential as it scales across Asia-Pacific.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NewGen’s existing 10% stake in K25.ai has an implied value of US$25 million at the latest transaction valuation, compared with its original investment cost of US$10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Alfred Siu, Founder, Chairman and Chief Executive Officer of NewGen, commented: “K25.ai’s strong community beta performance and early growth reinforce our conviction that it can become a defining AI-powered information market platform. The increase from our original US$100 million entry valuation to US$250 million reflects the company’s rapid execution, expanding ecosystem and significant market opportunity. By increasing our investment, we are deepening our participation at an important stage of K25.ai’s development while also strengthening our market capitalization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Cheung, Founder and Chief Executive Officer of K25.ai, commented: “The step-up to a US$250 million valuation after our community beta launch validates the platform’s early traction. NewGen’s decision to increase its stake at this higher valuation reflects confidence in our roadmap as we scale across Asia-Pacific.”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NewGen Class A ordinary shares forming part of the consideration are expected to be issued pursuant to applicable exemptions from registration under the Securities Act of 1933, as amended. Further details regarding the transaction will be included in a Form 6-K furnished to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K25.ai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K25.ai is an AI-native livestreaming and information market platform combining live content, AI-assisted market creation and resolution, and interactive watch-to-predict experiences. Built for sports, esports, entertainment, creator competitions and other permitted event categories, K25.ai is creating a new category at the intersection of livestreaming, artificial intelligence and audience participation. To learn more, visit www.k25.ai.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NewGen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 Group Limited is a technology-forward, diversified growth company pursuing opportunities across real estate development, digital asset innovation, and reproductive health solutions. The Company operates through NewGenProperty, focused on real estate development projects in Ras Al Khaimah, United Arab Emirates; NewGenDigital, focused on digital asset and decentralized-finance solutions; and NewGenSup, focused on health and longevity products and solutions. NewGenIVF’s legacy business includes IVF and assisted reproductive treatment services across Asia. To learn more, visit www.nivf.global. Information contained on, or accessible through, the Company’s website is not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but are not limited to: statements concerning the anticipated completion of the investment and the resulting increase in Newgen’s aggregate ownership of K25.ai from 10% to 13%; the US$250 million valuation and the implied value of NewGen’s existing stake in K25.ai; the anticipated issuance of approximately 2.5 million Class A ordinary shares as partial consideration and its expected effect on the total outstanding shares, market capitalization, and ongoing listing compliance; K25.ai’s growth prospects, and the parties’ future development plans. These forward-looking statements are based on the Company’s current expectations, estimates, projections, and assumptions as of the date of this press release and are subject to known and unknown risks, uncertainties, and other factors that could cause actual results to differ materially from those expressed or implied. These risks and uncertainties include, among others: the possibility that the transaction may not be completed on the terms described or at all; the risk that the Company’s ownership in K25.ai may be diluted as K25.ai closes further investment rounds; the risk that the carrying value of the Company’s investment in K25.ai is not realized and may be impaired; risks generally associated with strategic investments; share dilution and capital markets issuance risk; and the risk that the anticipated increase in the Company’s market capitalization following the share issuance depends on prevailing share price and investor sentiment, which may fluctuate, and that the Company may not achieve or sustain compliance with applicable Nasdaq listing standards notwithstanding the issuance. Additional risks are described in the Company’s Annual Report on Form 20-F and other filings with the U.S. Securities and Exchange Commission. All information provided in this press release is as of the date of this press release. The Company undertakes no obligation to update or revise any forward-looking statements, except as required by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 Investor Relations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Robin Yang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537-3847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NewGenIVF.IR@icrinc.com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4392</Words>
  <Characters>25319</Characters>
  <CharactersWithSpaces>29672</CharactersWithSpaces>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