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1601-6k_newgen.htm"/>
      <w:bookmarkStart w:id="1" w:name="ksea03016016k_newgen"/>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001-42004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36/39-36/40, 13th Floor, PS Tower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Sukhumvit 21 Road (Asoke)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Khlong Toei Nuea Sub-district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Watthana District, Bangkok 10110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Thailand</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11, 2026, NewGenIvf Group Limited (the “Company”) entered into an Amendment and Exchange Agreement (the “Exchange Agreement”) with a certain institutional investor (the “Holder”), pursuant to which on August 14, 2026, the Company issued to the Holder a new senior convertible note in the aggregate principal amount of $7,105,468.75 (the “New Note”) in exchange for the Holder’s existing convertible notes and related warrants previously issued by the Company to the Holder. In connection with the Exchange Agreement, on August 14, 2026, the Holder also entered into a Leak-Out Agreement with the Company (the “Leak-Out Agreement”) restricting the Holder’s sales of the Company’s Class A ordinary shares issuable upon conversion of the New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17, 2026, the Company issued a press release announcing its entry into the Exchange Agreement. A copy of the press release is attached hereto as Exhibit 99.1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Exchange Agreement, the New Note and the Leak-Out Agreement do not purport to be complete and are qualified in their entirety by reference to the full text of such agreements, copies of which are filed herewith as Exhibits 10.1, 10.2 and 10.3, respectively, and are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160"/>
        <w:gridCol w:w="60"/>
        <w:gridCol w:w="8985"/>
      </w:tblGrid>
      <w:tr>
        <w:trPr/>
        <w:tc>
          <w:tcPr>
            <w:tcW w:w="1160"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Exhibit No.</w:t>
            </w:r>
          </w:p>
        </w:tc>
        <w:tc>
          <w:tcPr>
            <w:tcW w:w="60" w:type="dxa"/>
            <w:tcBorders/>
            <w:tcMar>
              <w:bottom w:w="0" w:type="dxa"/>
            </w:tcMar>
            <w:vAlign w:val="center"/>
          </w:tcPr>
          <w:p>
            <w:pPr>
              <w:pStyle w:val="TableContents"/>
              <w:bidi w:val="0"/>
              <w:spacing w:before="0" w:after="283"/>
              <w:jc w:val="left"/>
              <w:rPr/>
            </w:pPr>
            <w:r>
              <w:rPr/>
              <w:t> </w:t>
            </w:r>
          </w:p>
        </w:tc>
        <w:tc>
          <w:tcPr>
            <w:tcW w:w="898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116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85" w:type="dxa"/>
            <w:tcBorders/>
            <w:shd w:fill="CCEEFF" w:val="clear"/>
            <w:tcMar>
              <w:bottom w:w="0" w:type="dxa"/>
            </w:tcMar>
            <w:vAlign w:val="center"/>
          </w:tcPr>
          <w:p>
            <w:pPr>
              <w:pStyle w:val="TableContents"/>
              <w:bidi w:val="0"/>
              <w:spacing w:before="0" w:after="283"/>
              <w:jc w:val="both"/>
              <w:rPr/>
            </w:pPr>
            <w:hyperlink w:anchor="ea030160101ex10-1.htm">
              <w:r>
                <w:rPr>
                  <w:rStyle w:val="InternetLink"/>
                  <w:rFonts w:ascii="Times New Roman;Times;Serif" w:hAnsi="Times New Roman;Times;Serif"/>
                  <w:sz w:val="20"/>
                </w:rPr>
                <w:t>Amendment and Exchange Agreement, dated August 11, 2026, by and between NewGenIvf Group Limited and the Holder</w:t>
              </w:r>
            </w:hyperlink>
          </w:p>
        </w:tc>
      </w:tr>
      <w:tr>
        <w:trPr/>
        <w:tc>
          <w:tcPr>
            <w:tcW w:w="116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85" w:type="dxa"/>
            <w:tcBorders/>
            <w:shd w:fill="FFFFFF" w:val="clear"/>
            <w:tcMar>
              <w:bottom w:w="0" w:type="dxa"/>
            </w:tcMar>
            <w:vAlign w:val="center"/>
          </w:tcPr>
          <w:p>
            <w:pPr>
              <w:pStyle w:val="TableContents"/>
              <w:bidi w:val="0"/>
              <w:spacing w:before="0" w:after="283"/>
              <w:jc w:val="both"/>
              <w:rPr/>
            </w:pPr>
            <w:hyperlink w:anchor="ea030160101ex10-2.htm">
              <w:r>
                <w:rPr>
                  <w:rStyle w:val="InternetLink"/>
                </w:rPr>
                <w:t>Form of Senior Convertible Note issued by NewGenIvf Group Limited to the Holder</w:t>
              </w:r>
            </w:hyperlink>
          </w:p>
        </w:tc>
      </w:tr>
      <w:tr>
        <w:trPr/>
        <w:tc>
          <w:tcPr>
            <w:tcW w:w="116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85" w:type="dxa"/>
            <w:tcBorders/>
            <w:shd w:fill="CCEEFF" w:val="clear"/>
            <w:tcMar>
              <w:bottom w:w="0" w:type="dxa"/>
            </w:tcMar>
            <w:vAlign w:val="center"/>
          </w:tcPr>
          <w:p>
            <w:pPr>
              <w:pStyle w:val="TableContents"/>
              <w:bidi w:val="0"/>
              <w:spacing w:before="0" w:after="283"/>
              <w:jc w:val="both"/>
              <w:rPr/>
            </w:pPr>
            <w:hyperlink w:anchor="ea030160101ex10-3.htm">
              <w:r>
                <w:rPr>
                  <w:rStyle w:val="InternetLink"/>
                  <w:rFonts w:ascii="Times New Roman;Times;Serif" w:hAnsi="Times New Roman;Times;Serif"/>
                  <w:sz w:val="20"/>
                </w:rPr>
                <w:t>Form of Leak-Out Agreement, dated August 14, 2026, by and between NewGenIvf Group Limited and the Holder</w:t>
              </w:r>
            </w:hyperlink>
          </w:p>
        </w:tc>
      </w:tr>
      <w:tr>
        <w:trPr/>
        <w:tc>
          <w:tcPr>
            <w:tcW w:w="116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85" w:type="dxa"/>
            <w:tcBorders/>
            <w:shd w:fill="FFFFFF" w:val="clear"/>
            <w:tcMar>
              <w:bottom w:w="0" w:type="dxa"/>
            </w:tcMar>
            <w:vAlign w:val="center"/>
          </w:tcPr>
          <w:p>
            <w:pPr>
              <w:pStyle w:val="TableContents"/>
              <w:bidi w:val="0"/>
              <w:spacing w:before="0" w:after="283"/>
              <w:jc w:val="left"/>
              <w:rPr/>
            </w:pPr>
            <w:hyperlink w:anchor="ea030160101ex99-1.htm">
              <w:r>
                <w:rPr>
                  <w:rStyle w:val="InternetLink"/>
                  <w:rFonts w:ascii="Times New Roman;Times;Serif" w:hAnsi="Times New Roman;Times;Serif"/>
                  <w:sz w:val="20"/>
                </w:rPr>
                <w:t>Press Release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17, 2026</w:t>
      </w:r>
    </w:p>
    <w:p>
      <w:pPr>
        <w:pStyle w:val="TextBody"/>
        <w:bidi w:val="0"/>
        <w:spacing w:before="0" w:after="0"/>
        <w:ind w:left="0" w:right="0" w:hanging="0"/>
        <w:jc w:val="left"/>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75"/>
        <w:gridCol w:w="650"/>
        <w:gridCol w:w="3455"/>
      </w:tblGrid>
      <w:tr>
        <w:trPr/>
        <w:tc>
          <w:tcPr>
            <w:tcW w:w="75" w:type="dxa"/>
            <w:tcBorders/>
            <w:vAlign w:val="center"/>
          </w:tcPr>
          <w:p>
            <w:pPr>
              <w:pStyle w:val="TableContents"/>
              <w:bidi w:val="0"/>
              <w:spacing w:before="0" w:after="283"/>
              <w:jc w:val="left"/>
              <w:rPr/>
            </w:pPr>
            <w:r>
              <w:rPr/>
              <w:t> </w:t>
            </w:r>
          </w:p>
        </w:tc>
        <w:tc>
          <w:tcPr>
            <w:tcW w:w="4105" w:type="dxa"/>
            <w:gridSpan w:val="2"/>
            <w:tcBorders/>
            <w:vAlign w:val="center"/>
          </w:tcPr>
          <w:p>
            <w:pPr>
              <w:pStyle w:val="TableContents"/>
              <w:bidi w:val="0"/>
              <w:spacing w:before="0" w:after="283"/>
              <w:jc w:val="left"/>
              <w:rPr>
                <w:b/>
              </w:rPr>
            </w:pPr>
            <w:r>
              <w:rPr>
                <w:b/>
              </w:rPr>
              <w:t>NEWGENIVF GROUP LIMITED</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3455" w:type="dxa"/>
            <w:tcBorders>
              <w:bottom w:val="single" w:sz="12" w:space="0" w:color="000000"/>
            </w:tcBorders>
            <w:tcMar>
              <w:bottom w:w="28" w:type="dxa"/>
            </w:tcMar>
            <w:vAlign w:val="center"/>
          </w:tcPr>
          <w:p>
            <w:pPr>
              <w:pStyle w:val="TableContents"/>
              <w:bidi w:val="0"/>
              <w:spacing w:before="0" w:after="283"/>
              <w:jc w:val="left"/>
              <w:rPr/>
            </w:pPr>
            <w:r>
              <w:rPr/>
              <w:t>/s/ Wing Fung Alfred Siu</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3455" w:type="dxa"/>
            <w:tcBorders/>
            <w:vAlign w:val="center"/>
          </w:tcPr>
          <w:p>
            <w:pPr>
              <w:pStyle w:val="TableContents"/>
              <w:bidi w:val="0"/>
              <w:spacing w:before="0" w:after="283"/>
              <w:jc w:val="left"/>
              <w:rPr/>
            </w:pPr>
            <w:r>
              <w:rPr/>
              <w:t>Wing Fung Alfred Siu</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3455" w:type="dxa"/>
            <w:tcBorders/>
            <w:vAlign w:val="center"/>
          </w:tcPr>
          <w:p>
            <w:pPr>
              <w:pStyle w:val="TableContents"/>
              <w:bidi w:val="0"/>
              <w:spacing w:before="0" w:after="283"/>
              <w:jc w:val="left"/>
              <w:rPr/>
            </w:pPr>
            <w:r>
              <w:rPr/>
              <w:t>Chairman of the Board and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160101ex10-1.htm"/>
      <w:bookmarkStart w:id="3" w:name="ksea030160101ex101"/>
      <w:bookmarkEnd w:id="2"/>
      <w:bookmarkEnd w:id="3"/>
      <w:r>
        <w:rPr>
          <w:rFonts w:ascii="Times New Roman;Times;Serif" w:hAnsi="Times New Roman;Times;Serif"/>
          <w:b/>
          <w:i w:val="false"/>
          <w:caps w:val="false"/>
          <w:smallCaps w:val="false"/>
          <w:sz w:val="20"/>
        </w:rPr>
        <w:t>Exhibit 10.1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Execution Version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AND EXCHANGE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and Exchange Agreement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entered into as of August 11, 2026, by and between NewGenIvf Group Limited, a business company incorporated under the laws of the British Virgin Islands with offices located at 36/39-36/40, 13th Floor, PS Tower, Sukhumvit 21 Road (Asoke), Khlong Toei Nuea Sub-district, Watthana District, Bangkok 10110, Thailand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the investor signatory hereto (the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with reference to the following facts: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Reference is made to (i) that certain Securities Purchase Agreement (as amended, modified or waived prior to the date hereof, the “</w:t>
      </w:r>
      <w:r>
        <w:rPr>
          <w:rFonts w:ascii="Times New Roman;Times;Serif" w:hAnsi="Times New Roman;Times;Serif"/>
          <w:b/>
          <w:i w:val="false"/>
          <w:caps w:val="false"/>
          <w:smallCaps w:val="false"/>
          <w:sz w:val="20"/>
        </w:rPr>
        <w:t>2024 Securities Purchase Agreement</w:t>
      </w:r>
      <w:r>
        <w:rPr>
          <w:rFonts w:ascii="Times New Roman;Times;Serif" w:hAnsi="Times New Roman;Times;Serif"/>
          <w:b w:val="false"/>
          <w:i w:val="false"/>
          <w:caps w:val="false"/>
          <w:smallCaps w:val="false"/>
          <w:sz w:val="20"/>
        </w:rPr>
        <w:t>”), dated as of August 7, 2024, by and among the Company and the investors signatory thereto, pursuant to which, among other things, the Company issued to the Holder (i) that certain senior convertible note of the Company, dated as of July 16, 2025, in the aggregate original principal amount of $2,000,000 (as amended, modified or waived prior to the date hereof, the “</w:t>
      </w:r>
      <w:r>
        <w:rPr>
          <w:rFonts w:ascii="Times New Roman;Times;Serif" w:hAnsi="Times New Roman;Times;Serif"/>
          <w:b/>
          <w:i w:val="false"/>
          <w:caps w:val="false"/>
          <w:smallCaps w:val="false"/>
          <w:sz w:val="20"/>
        </w:rPr>
        <w:t>2024 Note</w:t>
      </w:r>
      <w:r>
        <w:rPr>
          <w:rFonts w:ascii="Times New Roman;Times;Serif" w:hAnsi="Times New Roman;Times;Serif"/>
          <w:b w:val="false"/>
          <w:i w:val="false"/>
          <w:caps w:val="false"/>
          <w:smallCaps w:val="false"/>
          <w:sz w:val="20"/>
        </w:rPr>
        <w:t>”) and (ii) certain Warrants (as defined in the 2024 Securities Purchase Agreement) (as amended, modified or waived prior to the date hereof, collectively, the “</w:t>
      </w:r>
      <w:r>
        <w:rPr>
          <w:rFonts w:ascii="Times New Roman;Times;Serif" w:hAnsi="Times New Roman;Times;Serif"/>
          <w:b/>
          <w:i w:val="false"/>
          <w:caps w:val="false"/>
          <w:smallCaps w:val="false"/>
          <w:sz w:val="20"/>
        </w:rPr>
        <w:t>Existing Warrants</w:t>
      </w:r>
      <w:r>
        <w:rPr>
          <w:rFonts w:ascii="Times New Roman;Times;Serif" w:hAnsi="Times New Roman;Times;Serif"/>
          <w:b w:val="false"/>
          <w:i w:val="false"/>
          <w:caps w:val="false"/>
          <w:smallCaps w:val="false"/>
          <w:sz w:val="20"/>
        </w:rPr>
        <w:t>”) and (ii) that certain Securities Purchase Agreement (as amended, modified or waived prior to the date hereof, the “</w:t>
      </w:r>
      <w:r>
        <w:rPr>
          <w:rFonts w:ascii="Times New Roman;Times;Serif" w:hAnsi="Times New Roman;Times;Serif"/>
          <w:b/>
          <w:i w:val="false"/>
          <w:caps w:val="false"/>
          <w:smallCaps w:val="false"/>
          <w:sz w:val="20"/>
        </w:rPr>
        <w:t>2025 Securities Purchase Agreement</w:t>
      </w:r>
      <w:r>
        <w:rPr>
          <w:rFonts w:ascii="Times New Roman;Times;Serif" w:hAnsi="Times New Roman;Times;Serif"/>
          <w:b w:val="false"/>
          <w:i w:val="false"/>
          <w:caps w:val="false"/>
          <w:smallCaps w:val="false"/>
          <w:sz w:val="20"/>
        </w:rPr>
        <w:t>”, and together with the 2024 Securities Purchase Agreement, the “</w:t>
      </w:r>
      <w:r>
        <w:rPr>
          <w:rFonts w:ascii="Times New Roman;Times;Serif" w:hAnsi="Times New Roman;Times;Serif"/>
          <w:b/>
          <w:i w:val="false"/>
          <w:caps w:val="false"/>
          <w:smallCaps w:val="false"/>
          <w:sz w:val="20"/>
        </w:rPr>
        <w:t>Existing Securities Purchase Agreements</w:t>
      </w:r>
      <w:r>
        <w:rPr>
          <w:rFonts w:ascii="Times New Roman;Times;Serif" w:hAnsi="Times New Roman;Times;Serif"/>
          <w:b w:val="false"/>
          <w:i w:val="false"/>
          <w:caps w:val="false"/>
          <w:smallCaps w:val="false"/>
          <w:sz w:val="20"/>
        </w:rPr>
        <w:t>”, and each, an “</w:t>
      </w:r>
      <w:r>
        <w:rPr>
          <w:rFonts w:ascii="Times New Roman;Times;Serif" w:hAnsi="Times New Roman;Times;Serif"/>
          <w:b/>
          <w:i w:val="false"/>
          <w:caps w:val="false"/>
          <w:smallCaps w:val="false"/>
          <w:sz w:val="20"/>
        </w:rPr>
        <w:t>Existing Securities Purchase Agreement</w:t>
      </w:r>
      <w:r>
        <w:rPr>
          <w:rFonts w:ascii="Times New Roman;Times;Serif" w:hAnsi="Times New Roman;Times;Serif"/>
          <w:b w:val="false"/>
          <w:i w:val="false"/>
          <w:caps w:val="false"/>
          <w:smallCaps w:val="false"/>
          <w:sz w:val="20"/>
        </w:rPr>
        <w:t>”), dated as of April 1, 2025, by and among the Company and the investors signatory thereto, pursuant to which, among other things, the Company issued to the Holder that certain senior convertible note of the Company, dated as of June 3, 2025, in the aggregate original principal amount of $3,200,000 (as amended, modified or waived prior to the date hereof, the “</w:t>
      </w:r>
      <w:r>
        <w:rPr>
          <w:rFonts w:ascii="Times New Roman;Times;Serif" w:hAnsi="Times New Roman;Times;Serif"/>
          <w:b/>
          <w:i w:val="false"/>
          <w:caps w:val="false"/>
          <w:smallCaps w:val="false"/>
          <w:sz w:val="20"/>
        </w:rPr>
        <w:t>2025 Note</w:t>
      </w:r>
      <w:r>
        <w:rPr>
          <w:rFonts w:ascii="Times New Roman;Times;Serif" w:hAnsi="Times New Roman;Times;Serif"/>
          <w:b w:val="false"/>
          <w:i w:val="false"/>
          <w:caps w:val="false"/>
          <w:smallCaps w:val="false"/>
          <w:sz w:val="20"/>
        </w:rPr>
        <w:t>”, and together with the 2024 Note, the “</w:t>
      </w:r>
      <w:r>
        <w:rPr>
          <w:rFonts w:ascii="Times New Roman;Times;Serif" w:hAnsi="Times New Roman;Times;Serif"/>
          <w:b/>
          <w:i w:val="false"/>
          <w:caps w:val="false"/>
          <w:smallCaps w:val="false"/>
          <w:sz w:val="20"/>
        </w:rPr>
        <w:t>Existing Notes</w:t>
      </w:r>
      <w:r>
        <w:rPr>
          <w:rFonts w:ascii="Times New Roman;Times;Serif" w:hAnsi="Times New Roman;Times;Serif"/>
          <w:b w:val="false"/>
          <w:i w:val="false"/>
          <w:caps w:val="false"/>
          <w:smallCaps w:val="false"/>
          <w:sz w:val="20"/>
        </w:rPr>
        <w:t>”, and collectively with the Existing Warrants, the “</w:t>
      </w:r>
      <w:r>
        <w:rPr>
          <w:rFonts w:ascii="Times New Roman;Times;Serif" w:hAnsi="Times New Roman;Times;Serif"/>
          <w:b/>
          <w:i w:val="false"/>
          <w:caps w:val="false"/>
          <w:smallCaps w:val="false"/>
          <w:sz w:val="20"/>
        </w:rPr>
        <w:t>Existing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June 15, 2026, the Company and the Holder entered into that certain Repurchase and Forbearance Agreement (the “</w:t>
      </w:r>
      <w:r>
        <w:rPr>
          <w:rFonts w:ascii="Times New Roman;Times;Serif" w:hAnsi="Times New Roman;Times;Serif"/>
          <w:b/>
          <w:i w:val="false"/>
          <w:caps w:val="false"/>
          <w:smallCaps w:val="false"/>
          <w:sz w:val="20"/>
        </w:rPr>
        <w:t>Forbearance Agreement</w:t>
      </w:r>
      <w:r>
        <w:rPr>
          <w:rFonts w:ascii="Times New Roman;Times;Serif" w:hAnsi="Times New Roman;Times;Serif"/>
          <w:b w:val="false"/>
          <w:i w:val="false"/>
          <w:caps w:val="false"/>
          <w:smallCaps w:val="false"/>
          <w:sz w:val="20"/>
        </w:rPr>
        <w:t>”), pursuant to which, among other things, (i) the Company agreed to repurchase the Existing Securities for an aggregate purchase price of $7,381,250 (the “</w:t>
      </w:r>
      <w:r>
        <w:rPr>
          <w:rFonts w:ascii="Times New Roman;Times;Serif" w:hAnsi="Times New Roman;Times;Serif"/>
          <w:b/>
          <w:i w:val="false"/>
          <w:caps w:val="false"/>
          <w:smallCaps w:val="false"/>
          <w:sz w:val="20"/>
        </w:rPr>
        <w:t>Aggregate Payment Amount</w:t>
      </w:r>
      <w:r>
        <w:rPr>
          <w:rFonts w:ascii="Times New Roman;Times;Serif" w:hAnsi="Times New Roman;Times;Serif"/>
          <w:b w:val="false"/>
          <w:i w:val="false"/>
          <w:caps w:val="false"/>
          <w:smallCaps w:val="false"/>
          <w:sz w:val="20"/>
        </w:rPr>
        <w:t>”) and (ii) effective upon payment of the Aggregate Payment Amount, the Holder and the Company agreed to waive Section 1(b)(ii) of each Existing Securities Purchase Agreement (the “</w:t>
      </w:r>
      <w:r>
        <w:rPr>
          <w:rFonts w:ascii="Times New Roman;Times;Serif" w:hAnsi="Times New Roman;Times;Serif"/>
          <w:b/>
          <w:i w:val="false"/>
          <w:caps w:val="false"/>
          <w:smallCaps w:val="false"/>
          <w:sz w:val="20"/>
        </w:rPr>
        <w:t>Additional Closing Rights</w:t>
      </w:r>
      <w:r>
        <w:rPr>
          <w:rFonts w:ascii="Times New Roman;Times;Serif" w:hAnsi="Times New Roman;Times;Serif"/>
          <w:b w:val="false"/>
          <w:i w:val="false"/>
          <w:caps w:val="false"/>
          <w:smallCaps w:val="false"/>
          <w:sz w:val="20"/>
        </w:rPr>
        <w:t>”), such that after giving effect to such waiver, the Additional Closing Rights shall be of no further force or effect and no further Additional Closings (as defined in the Existing Securities Purchase Agreements) shall occur thereunder (the “</w:t>
      </w:r>
      <w:r>
        <w:rPr>
          <w:rFonts w:ascii="Times New Roman;Times;Serif" w:hAnsi="Times New Roman;Times;Serif"/>
          <w:b/>
          <w:i w:val="false"/>
          <w:caps w:val="false"/>
          <w:smallCaps w:val="false"/>
          <w:sz w:val="20"/>
        </w:rPr>
        <w:t>Additional Closing Waiver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of the date hereof, the outstanding balance of the Aggregate Payment Amount is $6,746,250.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has duly authorized the issuance to the Holder, in exchange for the Existing Securities (collectively, the “</w:t>
      </w:r>
      <w:r>
        <w:rPr>
          <w:rFonts w:ascii="Times New Roman;Times;Serif" w:hAnsi="Times New Roman;Times;Serif"/>
          <w:b/>
          <w:i w:val="false"/>
          <w:caps w:val="false"/>
          <w:smallCaps w:val="false"/>
          <w:sz w:val="20"/>
        </w:rPr>
        <w:t>Exchanged Securities</w:t>
      </w:r>
      <w:r>
        <w:rPr>
          <w:rFonts w:ascii="Times New Roman;Times;Serif" w:hAnsi="Times New Roman;Times;Serif"/>
          <w:b w:val="false"/>
          <w:i w:val="false"/>
          <w:caps w:val="false"/>
          <w:smallCaps w:val="false"/>
          <w:sz w:val="20"/>
        </w:rPr>
        <w:t xml:space="preserve">”), a new senior convertible note, with an aggregate principal amount of $7,105,468.75 and in the form attached hereto as </w:t>
      </w:r>
      <w:r>
        <w:rPr>
          <w:rFonts w:ascii="Times New Roman;Times;Serif" w:hAnsi="Times New Roman;Times;Serif"/>
          <w:b/>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New Note</w:t>
      </w:r>
      <w:r>
        <w:rPr>
          <w:rFonts w:ascii="Times New Roman;Times;Serif" w:hAnsi="Times New Roman;Times;Serif"/>
          <w:b w:val="false"/>
          <w:i w:val="false"/>
          <w:caps w:val="false"/>
          <w:smallCaps w:val="false"/>
          <w:sz w:val="20"/>
        </w:rPr>
        <w:t>”, as converted, the “</w:t>
      </w:r>
      <w:r>
        <w:rPr>
          <w:rFonts w:ascii="Times New Roman;Times;Serif" w:hAnsi="Times New Roman;Times;Serif"/>
          <w:b/>
          <w:i w:val="false"/>
          <w:caps w:val="false"/>
          <w:smallCaps w:val="false"/>
          <w:sz w:val="20"/>
        </w:rPr>
        <w:t>New Conversion Shares</w:t>
      </w:r>
      <w:r>
        <w:rPr>
          <w:rFonts w:ascii="Times New Roman;Times;Serif" w:hAnsi="Times New Roman;Times;Serif"/>
          <w:b w:val="false"/>
          <w:i w:val="false"/>
          <w:caps w:val="false"/>
          <w:smallCaps w:val="false"/>
          <w:sz w:val="20"/>
        </w:rPr>
        <w:t>”). The New Note and the New Conversion Shares are collectively referred to herein as the “</w:t>
      </w:r>
      <w:r>
        <w:rPr>
          <w:rFonts w:ascii="Times New Roman;Times;Serif" w:hAnsi="Times New Roman;Times;Serif"/>
          <w:b/>
          <w:i w:val="false"/>
          <w:caps w:val="false"/>
          <w:smallCaps w:val="false"/>
          <w:sz w:val="20"/>
        </w:rPr>
        <w:t>New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of the Company and the Holder desire to (i) effectuate the exchange of the Exchanged Securities for the New Note (the “</w:t>
      </w:r>
      <w:r>
        <w:rPr>
          <w:rFonts w:ascii="Times New Roman;Times;Serif" w:hAnsi="Times New Roman;Times;Serif"/>
          <w:b/>
          <w:i w:val="false"/>
          <w:caps w:val="false"/>
          <w:smallCaps w:val="false"/>
          <w:sz w:val="20"/>
        </w:rPr>
        <w:t>Exchange</w:t>
      </w:r>
      <w:r>
        <w:rPr>
          <w:rFonts w:ascii="Times New Roman;Times;Serif" w:hAnsi="Times New Roman;Times;Serif"/>
          <w:b w:val="false"/>
          <w:i w:val="false"/>
          <w:caps w:val="false"/>
          <w:smallCaps w:val="false"/>
          <w:sz w:val="20"/>
        </w:rPr>
        <w:t>”) on the basis and subject to the terms and conditions set forth in this Agreement in reliance upon the exemption from registration provided by Section 3(a)(9) of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(ii) amend and/or waive certain provisions of the Transaction Documents (as defined below), and (iii) terminate the Forbearance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Capitalized terms used but not otherwise defined herein shall have the meanings set forth in the Existing Securities Purchase Agreements,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premises and the mutual covenants hereinafter contained, the parties hereto agree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i w:val="false"/>
          <w:caps w:val="false"/>
          <w:smallCaps w:val="false"/>
          <w:sz w:val="20"/>
          <w:u w:val="single"/>
        </w:rPr>
        <w:t>Exchange of Securities; Amendments; Waiver; Termination; Ratifications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Exchange of Securities</w:t>
      </w:r>
      <w:r>
        <w:rPr>
          <w:rFonts w:ascii="Times New Roman;Times;Serif" w:hAnsi="Times New Roman;Times;Serif"/>
          <w:b w:val="false"/>
          <w:i w:val="false"/>
          <w:caps w:val="false"/>
          <w:smallCaps w:val="false"/>
          <w:sz w:val="20"/>
        </w:rPr>
        <w:t>. On the Closing Date (as defined below), pursuant to Section 3(a)(9) of the Securities Act, the Holder hereby agrees to convey, assign and transfer the Existing Securities to the Company in exchange for which the Company agrees to issue the New Securities to the Holder as follows: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exchange for the Existing Securities, on the date hereof, the Company shall deliver or cause to be delivered to the Holder (or its designee) the New Note at the address for delivery set forth on the signature page of the Holder. On the date hereof, the Holder shall be deemed for all corporate purposes to have become the holder of record of the New Note, irrespective of the date the certificate evidencing the New Note are delivered to the Holder.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Holder shall deliver or cause to be delivered to the Company (or its designee) the Existing Securities (or affidavit of lost securities, in form provided upon request by the Company and reasonably acceptable to the Holder) as soon as commercially practicable following the date hereof.</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Immediately following the delivery of the New Note to the Holder (or its designee), the Holder shall relinquish all rights, title and interest in the Existing Securities (including any claims the Holder may have against the Company related thereto) and assign the same to the Company, and the Existing Securities shall be canceled.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Company and the Holder shall execute and/or deliver such other documents and agreements as are customary and reasonably necessary to effectuate the Exchange.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Effective as of the Closing Date, each of the following defined terms in the Transaction Documents (as amended hereby) are hereby amended as follows: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“Notes” are hereby amended to include the New Note.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“Conversion Shares” are hereby amended to include the New Conversion Shares.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“Transaction Documents” shall hereby be amended to include this Agreement and the other Exchange Documents (as defined below).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Effective as of the Closing Date, the Holder and the Company hereby grant the Additional Closing Waiver.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Upon consummation of the Closing (as defined below), the Forbearance Agreement shall terminate and be of no further force and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Ratification</w:t>
      </w:r>
      <w:r>
        <w:rPr>
          <w:rFonts w:ascii="Times New Roman;Times;Serif" w:hAnsi="Times New Roman;Times;Serif"/>
          <w:b w:val="false"/>
          <w:i w:val="false"/>
          <w:caps w:val="false"/>
          <w:smallCaps w:val="false"/>
          <w:sz w:val="20"/>
        </w:rPr>
        <w:t>. Except as otherwise expressly provided herein, the Existing Securities Purchase Agreements and each other Transaction Document, is, and shall continue to be, in full force and effect and is hereby ratified and confirmed in all respects, except that on and after the date hereof: (i) all references in the Existing Securities Purchase Agreements to “this Agreement”, “hereto”, “hereof”, “hereunder” or words of like import referring to the Existing Securities Purchase Agreements shall mean such Existing Securities Purchase Agreement as amended by this Agreement, and (ii) all references in the other Transaction Documents to the “Securities Purchase Agreement”, “thereto”, “thereof”, “thereunder” or words of like import referring to the Existing Securities Purchase Agreements shall mean such Existing Securities Purchase Agreement as amended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i w:val="false"/>
          <w:caps w:val="false"/>
          <w:smallCaps w:val="false"/>
          <w:sz w:val="20"/>
          <w:u w:val="single"/>
        </w:rPr>
        <w:t>The Closing</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Subject to the conditions set forth in Section 5 below, the Exchange shall take place via the electronic exchange of documents, securities and signatures, one (1) Business Day after the initial date such conditions are satisfied or waived by the respective parties (or at such other time and place as the Company and the Holder mutually agree)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and such date,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i w:val="false"/>
          <w:caps w:val="false"/>
          <w:smallCaps w:val="false"/>
          <w:sz w:val="20"/>
          <w:u w:val="single"/>
        </w:rPr>
        <w:t>Closing Conditions to the Closing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Conditions to the Holder’s Obligations at the Closing</w:t>
      </w:r>
      <w:r>
        <w:rPr>
          <w:rFonts w:ascii="Times New Roman;Times;Serif" w:hAnsi="Times New Roman;Times;Serif"/>
          <w:b w:val="false"/>
          <w:i w:val="false"/>
          <w:caps w:val="false"/>
          <w:smallCaps w:val="false"/>
          <w:sz w:val="20"/>
        </w:rPr>
        <w:t>. The obligation of the Holder to consummate the Closing is subject to the fulfillment (or waiver, at the sole option of the Holder), to the Holder’s reasonable satisfaction, prior to or at the Closing, of each of the following conditions: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shall have duly executed and delivered to the Holder each of the Exchange Documents and the Company shall have duly executed and delivered to the Holder the New Note.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and every representation and warranty of the Company set forth herein shall be true and correct in all material respects (except where qualified by materiality or material adverse effect, which shall be true and correct in all respect) as of the date when made and as of the Closing Date as though originally made at that time (except for representations and warranties that speak as of a specific date, which shall be true and correct as of such specific date) and the Company shall have performed, satisfied and complied in all respects with the covenants, agreements and conditions required by this Agreement to be performed, satisfied or complied with by the Company at or prior to the Closing Date. The Holder shall have received a certificate, duly executed by the Chief Executive Officer of the Company, dated as of the Closing Date, to the foregoing effect and as to such other matters as may be reasonably requested by the Holder in the form acceptable to the Holder.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shall have delivered to such Holder a certificate, in the form acceptable to such Holder, executed by the Secretary or the Chief Financial Officer of the Company and dated as of the Closing Date, as to (i) the resolutions consistent with Section 4(b) as adopted by the Company’s board of directors in a form reasonably acceptable to such Holder, (ii) the Memorandum of Association of the Company and (iii) the Articles of Association of the Company, each as in effect at the Closing.</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No action, proceeding, investigation, regulation or legislation shall have been instituted, threatened or proposed before any court, governmental agency or authority or legislative body to enjoin, restrain, prohibit or obtain substantial damages in respect of, this Agreement or the consummation of the transactions contemplated by this Agreement.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All proceedings in connection with the transactions contemplated hereby and all documents and instruments incident to such transactions shall be satisfactory in substance and form to the Holder, and the Holder shall have received all such counterpart originals or certified or other copies of such documents as they may reasonably request. The Company shall have obtained all governmental, regulatory or third-party consents and approvals, if any, necessary for the Exchange, including without limitation, those required by the Principal Market (defined below), if any.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Company shall have delivered to such Holder a letter from the Company’s transfer agent certifying the number of Ordinary Shares outstanding on the Closing Date immediately prior to the Closing.</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New Conversion Shares (A) shall be designated for quotation or listed (as applicable) on the Principal Market and (B) except as otherwise disclosed in the SEC Documents with respect to the Principal Market, shall not have been suspended, as of the Closing Date, by the SEC or the Principal Market from trading on the Principal Market nor shall suspension by the SEC or the Principal Market have been threatened, as of the Closing Date, either (I) in writing by the SEC or the Principal Market or (II) by falling below the minimum maintenance requirements of the Principal Market.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Since the date of execution of this Agreement, no event or series of events shall have occurred that reasonably would have or result in a Material Adverse Effect (as defined below).</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The Company shall have obtained approval of the Principal Market to list or designate for quotation (as the case may be) the New Conversion Shares.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On each Trading Day (as defined in the New Note) during the twenty (20) Trading Days immediately preceding the Closing Date and the Closing Date, no Event of Default (as defined in the Existing Notes) or event that with the passage of time or giving of notice would constitute an Event of Default shall have occurred (in each case, excluding any Events of Default waived in writing by the Holder).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On each Trading Day during the twenty (20) Trading Days immediately preceding the Closing Date and the Closing Date, the Ordinary Shares (I) shall be designated for quotation or listed on an Eligible Market (as defined in the New Note) and (II) shall not have been suspended.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The Company shall have paid Kelley Drye &amp; Warren LLP the Legal Fee Amount (as defined below) in accordance with Section 8 below.</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(xiii) The Transfer Agent of the Company and the Company shall have duly executed and delivered the irrevocable transfer agent instructions in the form attached hereto as </w:t>
      </w:r>
      <w:r>
        <w:rPr>
          <w:rFonts w:ascii="Times New Roman;Times;Serif" w:hAnsi="Times New Roman;Times;Serif"/>
          <w:b/>
          <w:i w:val="false"/>
          <w:caps w:val="false"/>
          <w:smallCaps w:val="false"/>
          <w:sz w:val="20"/>
          <w:u w:val="single"/>
        </w:rPr>
        <w:t>Exhibit B</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The Company shall have delivered to such Holder such other documents, instruments or certificates relating to the transactions contemplated by this Agreement as such Holder or its counsel may reasonably request.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Conditions to the Company’s Obligations to the Closing</w:t>
      </w:r>
      <w:r>
        <w:rPr>
          <w:rFonts w:ascii="Times New Roman;Times;Serif" w:hAnsi="Times New Roman;Times;Serif"/>
          <w:b w:val="false"/>
          <w:i w:val="false"/>
          <w:caps w:val="false"/>
          <w:smallCaps w:val="false"/>
          <w:sz w:val="20"/>
        </w:rPr>
        <w:t>. The obligation of the Company to consummate the Closing is subject to the fulfillment (or waiver, at the sole option of the Company), to the Company’s reasonable satisfaction, prior to or at the Closing in question, of each of the following conditions: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The representations and warranties of the Holder set forth herein shall be true and correct in all material respects (except where qualified by materiality or material adverse effect, which shall be true and correct in all respect) as of the date when made and as of the Closing Date as though originally made at that time (except for representations and warranties that speak as of a specific date, which shall be true and correct as of such specific date), and the Holder shall have performed, satisfied and complied in all material respects with the covenants, agreements and conditions required by this Agreement to be performed, satisfied or complied with by the Holder at or prior to the Closing Date.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No Actions</w:t>
      </w:r>
      <w:r>
        <w:rPr>
          <w:rFonts w:ascii="Times New Roman;Times;Serif" w:hAnsi="Times New Roman;Times;Serif"/>
          <w:b w:val="false"/>
          <w:i w:val="false"/>
          <w:caps w:val="false"/>
          <w:smallCaps w:val="false"/>
          <w:sz w:val="20"/>
        </w:rPr>
        <w:t>. No action, proceeding, investigation, regulation or legislation shall have been instituted, threatened or proposed before any court, governmental agency or authority or legislative body to enjoin, restrain, prohibit, or obtain substantial damages in respect of, this Agreement or the consummation of the transactions contemplated by this Agreement.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Proceedings and Documents</w:t>
      </w:r>
      <w:r>
        <w:rPr>
          <w:rFonts w:ascii="Times New Roman;Times;Serif" w:hAnsi="Times New Roman;Times;Serif"/>
          <w:b w:val="false"/>
          <w:i w:val="false"/>
          <w:caps w:val="false"/>
          <w:smallCaps w:val="false"/>
          <w:sz w:val="20"/>
        </w:rPr>
        <w:t>. All proceedings in connection with the transactions contemplated hereby and all documents and instruments incident to such transactions shall be satisfactory in substance and form to the Company and the Company shall have received all such counterpart originals or certified or other copies of such documents as the Company may reasonably request.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Leak-Out Agreement</w:t>
      </w:r>
      <w:r>
        <w:rPr>
          <w:rFonts w:ascii="Times New Roman;Times;Serif" w:hAnsi="Times New Roman;Times;Serif"/>
          <w:b w:val="false"/>
          <w:i w:val="false"/>
          <w:caps w:val="false"/>
          <w:smallCaps w:val="false"/>
          <w:sz w:val="20"/>
        </w:rPr>
        <w:t xml:space="preserve">. The Holder shall have duly executed and delivered the Leak-Out Agreement, in the form attached hereto as </w:t>
      </w:r>
      <w:r>
        <w:rPr>
          <w:rFonts w:ascii="Times New Roman;Times;Serif" w:hAnsi="Times New Roman;Times;Serif"/>
          <w:b/>
          <w:i w:val="false"/>
          <w:caps w:val="false"/>
          <w:smallCaps w:val="false"/>
          <w:sz w:val="20"/>
          <w:u w:val="single"/>
        </w:rPr>
        <w:t>Exhibit C</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Leak-Out Agreement</w:t>
      </w:r>
      <w:r>
        <w:rPr>
          <w:rFonts w:ascii="Times New Roman;Times;Serif" w:hAnsi="Times New Roman;Times;Serif"/>
          <w:b w:val="false"/>
          <w:i w:val="false"/>
          <w:caps w:val="false"/>
          <w:smallCaps w:val="false"/>
          <w:sz w:val="20"/>
        </w:rPr>
        <w:t>”)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The Company represents and warrants to the Holder, as of the date hereof and as of the Closing Date, that: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Each of the Company and each of its Subsidiaries are entities duly organized and validly existing and in good standing under the laws of the jurisdiction in which they are formed, and have the requisite power and authority to own their properties and to carry on their business as now being conducted and as presently proposed to be conducted. Each of the Company and each of its Subsidiaries is duly qualified to do business and is in good standing in every jurisdiction in which its ownership of property or the nature of the business conducted by it makes such qualification necessary, except to the extent that the failure to be so qualified or be in good standing would not reasonably be expected to have a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Authorization and Binding Obligation</w:t>
      </w:r>
      <w:r>
        <w:rPr>
          <w:rFonts w:ascii="Times New Roman;Times;Serif" w:hAnsi="Times New Roman;Times;Serif"/>
          <w:b w:val="false"/>
          <w:i w:val="false"/>
          <w:caps w:val="false"/>
          <w:smallCaps w:val="false"/>
          <w:sz w:val="20"/>
        </w:rPr>
        <w:t>. The Company has the requisite power and authority to enter into and perform its obligations under this Agreement, the New Note and the Leak-Out Agreement (collectively, the “</w:t>
      </w:r>
      <w:r>
        <w:rPr>
          <w:rFonts w:ascii="Times New Roman;Times;Serif" w:hAnsi="Times New Roman;Times;Serif"/>
          <w:b/>
          <w:i w:val="false"/>
          <w:caps w:val="false"/>
          <w:smallCaps w:val="false"/>
          <w:sz w:val="20"/>
        </w:rPr>
        <w:t>Exchange Documents</w:t>
      </w:r>
      <w:r>
        <w:rPr>
          <w:rFonts w:ascii="Times New Roman;Times;Serif" w:hAnsi="Times New Roman;Times;Serif"/>
          <w:b w:val="false"/>
          <w:i w:val="false"/>
          <w:caps w:val="false"/>
          <w:smallCaps w:val="false"/>
          <w:sz w:val="20"/>
        </w:rPr>
        <w:t>”) and to issue the New Note in accordance with the terms hereof and thereof. The execution and delivery of the Exchange Documents by the Company and the consummation by the Company of the transactions contemplated hereby and thereby, including, without limitation, the issuance of the New Securities, have been duly authorized by the Board of Directors of the Company and, other than such filings required under applicable securities or “Blue Sky” laws of the states of the United States or other applicable listing rules (the “</w:t>
      </w:r>
      <w:r>
        <w:rPr>
          <w:rFonts w:ascii="Times New Roman;Times;Serif" w:hAnsi="Times New Roman;Times;Serif"/>
          <w:b/>
          <w:i w:val="false"/>
          <w:caps w:val="false"/>
          <w:smallCaps w:val="false"/>
          <w:sz w:val="20"/>
        </w:rPr>
        <w:t>Required Approvals</w:t>
      </w:r>
      <w:r>
        <w:rPr>
          <w:rFonts w:ascii="Times New Roman;Times;Serif" w:hAnsi="Times New Roman;Times;Serif"/>
          <w:b w:val="false"/>
          <w:i w:val="false"/>
          <w:caps w:val="false"/>
          <w:smallCaps w:val="false"/>
          <w:sz w:val="20"/>
        </w:rPr>
        <w:t>”) and no further filing, consent, or authorization is required by the Company or of its Board of Directors or its shareholders. This Agreement and the other Exchange Documents have been duly executed and delivered by the Company and constitute the legal, valid and binding obligations of the Company enforceable against the Company in accordance with their respective terms, except as such enforceability may be limited by general principles of equity or applicable bankruptcy, insolvency, reorganization, moratorium, liquidation or similar laws relating to, or affecting generally, the enforcement of applicable creditors’ rights and remedies.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 Conflict; Required Filings and Consents</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execution, delivery and performance of the Exchange Documents by the Company and the consummation by the Company of the transactions contemplated hereby and thereby will not (i) result in a violation of the any certificate of incorporation, articles of incorporation, certificate of formation, memorandum of association, articles of association, bylaws or other organizational documents of the Company or any of its Subsidiaries, or any share capital or other securities of the Company or any of its Subsidiaries, (ii) conflict with, or constitute a default (or an event which with notice or lapse of time or both would become a default) in any respect under, or give to others any rights of termination, amendment, acceleration or cancellation of, any agreement, indenture or instrument to which the Company or any of its Subsidiaries is a party, or (iii) result in a violation of any law, rule, regulation, order, judgment or decree (including, without limitation, foreign, federal and state securities laws and regulations and the rules and regulations of principal Eligible Market at Nasdaq in which the Ordinary Shares trades as of such date of determination (the “</w:t>
      </w:r>
      <w:r>
        <w:rPr>
          <w:rFonts w:ascii="Times New Roman;Times;Serif" w:hAnsi="Times New Roman;Times;Serif"/>
          <w:b/>
          <w:i w:val="false"/>
          <w:caps w:val="false"/>
          <w:smallCaps w:val="false"/>
          <w:sz w:val="20"/>
        </w:rPr>
        <w:t>Principal Market</w:t>
      </w:r>
      <w:r>
        <w:rPr>
          <w:rFonts w:ascii="Times New Roman;Times;Serif" w:hAnsi="Times New Roman;Times;Serif"/>
          <w:b w:val="false"/>
          <w:i w:val="false"/>
          <w:caps w:val="false"/>
          <w:smallCaps w:val="false"/>
          <w:sz w:val="20"/>
        </w:rPr>
        <w:t>”) and including all applicable foreign, federal and state laws, rules and regulations) applicable to the Company or any of its Subsidiaries or by which any property or asset of the Company or any of its Subsidiaries is bound or affected, except in the case of clauses (ii) and (iii) above, for such conflicts, defaults, rights or violations which would not, individually or in the aggregate, reasonably be expected to have a Material Adverse Effect. As used in this Agreement, “</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means any material adverse effect on (i) the business, properties, assets, liabilities, operations (including results thereof), condition (financial or otherwise) or prospects of the Company or any Subsidiary (as defined below), individually or taken as a whole, (ii) the transactions contemplated hereby or any other agreements or instruments to be entered into in connection herewith or therewith or (iii) the authority or ability of the Company or any of its Subsidiaries to perform any of their respective obligations hereby or pursuant to any other agreements or instruments to be entered into in connection herewith or therewith.</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Neither the Company nor any Subsidiary is required to obtain any consent from, authorization or order of, or make any filing or registration with (other than the Required Approvals), any Governmental Entity or any regulatory or self-regulatory agency or any other Person in order for it to execute, deliver or perform any of its respective obligations under or contemplated by the Exchange Documents, in each case, in accordance with the terms hereof or thereof. All consents, authorizations, orders, filings and registrations which the Company or any Subsidiary is required to obtain pursuant to the preceding sentence have been or will be obtained or effected on or prior to the date hereof, and neither the Company nor any of its Subsidiaries are aware of any facts or circumstances which might prevent the Company or any of its Subsidiaries from obtaining or effecting any of the registration, application or filings contemplated by the Exchange Documents.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 Integration</w:t>
      </w:r>
      <w:r>
        <w:rPr>
          <w:rFonts w:ascii="Times New Roman;Times;Serif" w:hAnsi="Times New Roman;Times;Serif"/>
          <w:b w:val="false"/>
          <w:i w:val="false"/>
          <w:caps w:val="false"/>
          <w:smallCaps w:val="false"/>
          <w:sz w:val="20"/>
        </w:rPr>
        <w:t>. None of the Company, its Subsidiaries, any of their affiliates, or any Person acting on their behalf has, directly or indirectly, made any offers or sales of any security or solicited any offers to buy any security, under circumstances that would require registration of any of New Securities under the Securities Act or cause this offering of the New Securities to be integrated with prior offerings by the Company for purposes of the Securities Act or any applicable shareholder approval provisions, including, without limitation, under the rules and regulations of any exchange or automated quotation system on which any of the securities of the Company are listed or designated. None of the Company, its Subsidiaries, their affiliates or any Person acting on their behalf will take any action or steps referred to in the preceding sentence that would require registration of any of New Securities under the Securities Act or cause the offering of the New Securities to be integrated with other offerings.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Securities Law Exemptions</w:t>
      </w:r>
      <w:r>
        <w:rPr>
          <w:rFonts w:ascii="Times New Roman;Times;Serif" w:hAnsi="Times New Roman;Times;Serif"/>
          <w:b w:val="false"/>
          <w:i w:val="false"/>
          <w:caps w:val="false"/>
          <w:smallCaps w:val="false"/>
          <w:sz w:val="20"/>
        </w:rPr>
        <w:t>. Assuming the accuracy of the representations and warranties of the Holder contained herein, the offer and issuance by the Company of the New Securities is exempt from registration under the Securities Act, pursuant to the exemption provided by Section 3(a)(9) thereof, and applicable state securities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Issuance of New Securities</w:t>
      </w:r>
      <w:r>
        <w:rPr>
          <w:rFonts w:ascii="Times New Roman;Times;Serif" w:hAnsi="Times New Roman;Times;Serif"/>
          <w:b w:val="false"/>
          <w:i w:val="false"/>
          <w:caps w:val="false"/>
          <w:smallCaps w:val="false"/>
          <w:sz w:val="20"/>
        </w:rPr>
        <w:t>. The issuance of the New Note shall be validly issued, fully paid and non-assessable and free from all taxes, liens, charges and other encumbrances with respect to the issue thereof. Upon issuance in accordance with the New Note and/or this Agreement, as applicable, the New Conversion Shares will be validly issued, fully paid and nonassessable and free from all preemptive or similar rights, taxes, liens, charges and other encumbrances with respect to the issue thereof, with the holders being entitled to all rights accorded to a holder of Ordinary Shares. The New Securities shall be freely transferable and freely tradable by the Holder without restriction, whether by way of registration or some exemption therefrom, and any certificates and any other instruments evidencing the New Securities shall not bear any restrictive legend.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No Consideration Paid</w:t>
      </w:r>
      <w:r>
        <w:rPr>
          <w:rFonts w:ascii="Times New Roman;Times;Serif" w:hAnsi="Times New Roman;Times;Serif"/>
          <w:b w:val="false"/>
          <w:i w:val="false"/>
          <w:caps w:val="false"/>
          <w:smallCaps w:val="false"/>
          <w:sz w:val="20"/>
        </w:rPr>
        <w:t>. No commission or other remuneration has been paid by Company for soliciting the exchange of the Existing Securities for the New Note as contemplated 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Other than as set forth in the 6-K Filing (as defined below), the Company confirms that neither it nor any other Person acting on its behalf has provided the Holder or its agents or counsel with any information that constitutes or could reasonably be expected to constitute material, nonpublic information. The Company understands and confirms that the Holder will rely on the foregoing representations in effecting transactions in the New Securities. All disclosure provided to the Holder regarding the Company and its Subsidiaries, their business and the transactions contemplated hereby, including the schedules to this Agreement, furnished by or on behalf of the Company is true and correct and does not contain any untrue statement of a material fact or omit to state any material fact necessary in order to make the statements made therein, in the light of the circumstances under which they were made, not misleading. No event or circumstance has occurred or information exists with respect to the Company or any of its Subsidiaries or its or their business, properties, prospects, operations or financial conditions, which, under applicable law, rule or regulation, requires public disclosure or announcement by the Company but which has not been so publicly announced or disclosed.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i w:val="false"/>
          <w:caps w:val="false"/>
          <w:smallCaps w:val="false"/>
          <w:sz w:val="20"/>
          <w:u w:val="single"/>
        </w:rPr>
        <w:t>Representations and Warranties of Holders</w:t>
      </w:r>
      <w:r>
        <w:rPr>
          <w:rFonts w:ascii="Times New Roman;Times;Serif" w:hAnsi="Times New Roman;Times;Serif"/>
          <w:b w:val="false"/>
          <w:i w:val="false"/>
          <w:caps w:val="false"/>
          <w:smallCaps w:val="false"/>
          <w:sz w:val="20"/>
        </w:rPr>
        <w:t>. The Holder represents and warrants to the Company, as of the date hereof and as of the Closing Date,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Organization and Authority</w:t>
      </w:r>
      <w:r>
        <w:rPr>
          <w:rFonts w:ascii="Times New Roman;Times;Serif" w:hAnsi="Times New Roman;Times;Serif"/>
          <w:b w:val="false"/>
          <w:i w:val="false"/>
          <w:caps w:val="false"/>
          <w:smallCaps w:val="false"/>
          <w:sz w:val="20"/>
        </w:rPr>
        <w:t>. The Holder has the requisite power and authority to enter into and perform its obligations under this Agreement. The execution and delivery of this Agreement by the Holder and the consummation by Holder of the transactions contemplated hereby have been duly authorized by Holder’s board of directors or other governing body. This Agreement has been duly executed and delivered by Holder and constitutes the legal, valid and binding obligation of Holder, enforceable against Holder in accordance with its terms.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Ownership of Existing Securities</w:t>
      </w:r>
      <w:r>
        <w:rPr>
          <w:rFonts w:ascii="Times New Roman;Times;Serif" w:hAnsi="Times New Roman;Times;Serif"/>
          <w:b w:val="false"/>
          <w:i w:val="false"/>
          <w:caps w:val="false"/>
          <w:smallCaps w:val="false"/>
          <w:sz w:val="20"/>
        </w:rPr>
        <w:t>. The Holder owns the Existing Securities free and clear of any liens (other than the obligations pursuant to this Agreement, the Transaction Documents and applicable securities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Reliance on Exemptions</w:t>
      </w:r>
      <w:r>
        <w:rPr>
          <w:rFonts w:ascii="Times New Roman;Times;Serif" w:hAnsi="Times New Roman;Times;Serif"/>
          <w:b w:val="false"/>
          <w:i w:val="false"/>
          <w:caps w:val="false"/>
          <w:smallCaps w:val="false"/>
          <w:sz w:val="20"/>
        </w:rPr>
        <w:t>. The Holder understands that the New Securities are being offered and exchanged in reliance on specific exemptions from the registration requirements of United States federal and state securities laws and that the Company is relying in part upon the truth and accuracy of, and the Holder’s compliance with, the representations, warranties, agreements, acknowledgments and understandings of the Holder set forth herein and in the Exchange Documents in order to determine the availability of such exemptions and the eligibility of the Holder to acquire the New Securities.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Validity; Enforcement</w:t>
      </w:r>
      <w:r>
        <w:rPr>
          <w:rFonts w:ascii="Times New Roman;Times;Serif" w:hAnsi="Times New Roman;Times;Serif"/>
          <w:b w:val="false"/>
          <w:i w:val="false"/>
          <w:caps w:val="false"/>
          <w:smallCaps w:val="false"/>
          <w:sz w:val="20"/>
        </w:rPr>
        <w:t>. This Agreement and the Exchange Documents to which the Holder is a party have been duly and validly authorized, executed and delivered on behalf of the Holder and shall constitute the legal, valid and binding obligations of the Holder enforceable against the Holder in accordance with their respective terms, except as such enforceability may be limited by general principles of equity or to applicable bankruptcy, insolvency, reorganization, moratorium, liquidation and other similar laws relating to, or affecting generally, the enforcement of applicable creditors’ rights and remedies.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by the Holder of this Agreement and the Exchange Documents to which the Holder is a party, and the consummation by the Holder of the transactions contemplated hereby and thereby will not (i) result in a violation of the organizational documents of the Holder or (ii) conflict with, or constitute a default (or an event which with notice or lapse of time or both would become a default) under, or give to others any rights of termination, amendment, acceleration or cancellation of, any agreement, indenture or instrument to which the Holder is a party, or (iii) result in a violation of any law, rule, regulation, order, judgment or decree (including federal and state securities laws) applicable to the Holder, except in the case of clauses (ii) and (iii) above, for such conflicts, defaults, rights or violations which would not, individually or in the aggregate, reasonably be expected to have a material adverse effect on the ability of the Holder to perform its obligations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No Consideration Paid</w:t>
      </w:r>
      <w:r>
        <w:rPr>
          <w:rFonts w:ascii="Times New Roman;Times;Serif" w:hAnsi="Times New Roman;Times;Serif"/>
          <w:b w:val="false"/>
          <w:i w:val="false"/>
          <w:caps w:val="false"/>
          <w:smallCaps w:val="false"/>
          <w:sz w:val="20"/>
        </w:rPr>
        <w:t>. No commission or other remuneration has been paid by the Holder for soliciting the exchange of the Existing Securities for the New Note as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i w:val="false"/>
          <w:caps w:val="false"/>
          <w:smallCaps w:val="false"/>
          <w:sz w:val="20"/>
          <w:u w:val="single"/>
        </w:rPr>
        <w:t>Disclosure of Transaction</w:t>
      </w:r>
      <w:r>
        <w:rPr>
          <w:rFonts w:ascii="Times New Roman;Times;Serif" w:hAnsi="Times New Roman;Times;Serif"/>
          <w:b w:val="false"/>
          <w:i w:val="false"/>
          <w:caps w:val="false"/>
          <w:smallCaps w:val="false"/>
          <w:sz w:val="20"/>
        </w:rPr>
        <w:t>. The Company shall, on or before 8:30 a.m., New York City time, on or prior to the first (1st) business day after the date of this Agreement, file a Report of Foreign Private Issuer on Form 6-K describing the terms of the transactions contemplated hereby in the form required by the 1934 Act and attaching the Exchange Documents, to the extent they are required to be filed under the 1934 Act, that have not previously been filed with the Securities and Exchange Commission by the Company (including, without limitation, the form of New Note, the form of Leak-Out Agreement and this Agreement) as exhibits to such filing (including all attachments, the “</w:t>
      </w:r>
      <w:r>
        <w:rPr>
          <w:rFonts w:ascii="Times New Roman;Times;Serif" w:hAnsi="Times New Roman;Times;Serif"/>
          <w:b/>
          <w:i w:val="false"/>
          <w:caps w:val="false"/>
          <w:smallCaps w:val="false"/>
          <w:sz w:val="20"/>
        </w:rPr>
        <w:t>6-K Filing</w:t>
      </w:r>
      <w:r>
        <w:rPr>
          <w:rFonts w:ascii="Times New Roman;Times;Serif" w:hAnsi="Times New Roman;Times;Serif"/>
          <w:b w:val="false"/>
          <w:i w:val="false"/>
          <w:caps w:val="false"/>
          <w:smallCaps w:val="false"/>
          <w:sz w:val="20"/>
        </w:rPr>
        <w:t xml:space="preserve">”). From and after the filing of the 6-K Filing, the Company shall have disclosed all material, non-public information (if any) provided up to such time to the Holder by the Company or any of its Subsidiaries or any of their respective officers, directors, employees or agents. In addition, effective upon the filing of the 6-K Filing, the Company acknowledges and agrees that any and all confidentiality or similar obligations under any agreement with respect to the transactions contemplated by the Exchange Documents or as otherwise disclosed in the 6-K Filing, whether written or oral, between the Company, any of its Subsidiaries or any of their respective officers, directors, affiliates, employees or agents, on the one hand, and any of the Holder or any of their affiliates, on the other hand, shall terminate. The Company shall not, and the Company shall cause each of its Subsidiaries and each of its and their respective officers, directors, employees and agents not to, provide the Holder with any material, non-public information regarding the Company or any of its Subsidiaries from and after the date hereof without the express prior written consent of the Holder (which may be granted or withheld in the Holder’s sole discretion). To the extent that the Company delivers any material, non-public information to the Holder without the Holder’s consent, the Company hereby covenants and agrees that the Holder shall not have any duty of confidentiality with respect to, or a duty not to trade on the basis of, such material, non-public information. Neither the Company, its Subsidiaries nor the Holder shall issue any press releases or any other public statements with respect to the transactions contemplated hereby;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however</w:t>
      </w:r>
      <w:r>
        <w:rPr>
          <w:rFonts w:ascii="Times New Roman;Times;Serif" w:hAnsi="Times New Roman;Times;Serif"/>
          <w:b w:val="false"/>
          <w:i w:val="false"/>
          <w:caps w:val="false"/>
          <w:smallCaps w:val="false"/>
          <w:sz w:val="20"/>
        </w:rPr>
        <w:t>, the Company shall be entitled, without the prior approval of the Holder, to make a press release or other public disclosure with respect to such transactions (i) in substantial conformity with the 6-K Filing and contemporaneously therewith or (ii) as is required by applicable law and regulations (provided that in the case of clause (i) the Holder shall be consulted by the Company in connection with any such press release or other public disclosure prior to its release). Without the prior written consent of the Holder (which may be granted or withheld in the Holder’s sole discretion), except as required by applicable law, the Company shall not (and shall cause each of its Subsidiaries and affiliates to not) disclose the name of the Holder in any filing, announcement, release or otherwise (other than in the exhibit of this Agreement attached to the 6-K Filing). Notwithstanding anything contained in this Agreement to the contrary and without implication that the contrary would otherwise be true, the Company expressly acknowledges and agrees that the Holder shall not have (unless expressly agreed to by the Holder after the date hereof in a written definitive and binding agreement executed by the Company and the Holder), any duty of confidentiality with respect to, or a duty not to trade on the basis of, any material, non-public information regarding the Company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i w:val="false"/>
          <w:caps w:val="false"/>
          <w:smallCaps w:val="false"/>
          <w:sz w:val="20"/>
          <w:u w:val="single"/>
        </w:rPr>
        <w:t>Listing</w:t>
      </w:r>
      <w:r>
        <w:rPr>
          <w:rFonts w:ascii="Times New Roman;Times;Serif" w:hAnsi="Times New Roman;Times;Serif"/>
          <w:b w:val="false"/>
          <w:i w:val="false"/>
          <w:caps w:val="false"/>
          <w:smallCaps w:val="false"/>
          <w:sz w:val="20"/>
        </w:rPr>
        <w:t>. The Company shall promptly secure the listing or designation for quotation (as applicable) of all of the New Conversion Shares upon each national securities exchange and automated quotation system, if any, upon which the Ordinary Shares is then listed or designated for quotation (as applicable) (subject to official notice of issuance) and shall use its reasonable best efforts to maintain such listing of all the New Conversion Shares from time to time issuable under the terms of the Exchange Documents. The Company shall maintain the Ordinary Shares’ authorization for quotation on the Principal Market. Neither the Company nor any of its Subsidiaries shall take any action which would be reasonably expected to result in the delisting or suspension of the Ordinary Shares on the Principal Market. The Company shall pay all fees and expenses in connection with satisfying its obligations under this Section 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i w:val="false"/>
          <w:caps w:val="false"/>
          <w:smallCaps w:val="false"/>
          <w:sz w:val="20"/>
          <w:u w:val="single"/>
        </w:rPr>
        <w:t>Fees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Company shall reimburse the Holder, a non-accountable amount of $75,000 (the “</w:t>
      </w:r>
      <w:r>
        <w:rPr>
          <w:rFonts w:ascii="Times New Roman;Times;Serif" w:hAnsi="Times New Roman;Times;Serif"/>
          <w:b/>
          <w:i w:val="false"/>
          <w:caps w:val="false"/>
          <w:smallCaps w:val="false"/>
          <w:sz w:val="20"/>
        </w:rPr>
        <w:t>Legal Fee Amount</w:t>
      </w:r>
      <w:r>
        <w:rPr>
          <w:rFonts w:ascii="Times New Roman;Times;Serif" w:hAnsi="Times New Roman;Times;Serif"/>
          <w:b w:val="false"/>
          <w:i w:val="false"/>
          <w:caps w:val="false"/>
          <w:smallCaps w:val="false"/>
          <w:sz w:val="20"/>
        </w:rPr>
        <w:t>”) for all fees, costs and expenses incurred by Kelley Drye &amp; Warren, LLP (counsel to the Holder) in connection with preparing and delivering this Agreement and the transactions contemplated hereby, which shall be paid by inclusion of the Legal Fee Amount in the principal amount of the New Note. Each party to this Agreement shall bear its own expenses in connection with the structuring, documentation, negotiation and closing of the transactions contemplated hereby, except as provided in the previous sentence and except that the Company shall be responsible for the payment of any placement agent’s fees, financial advisory fees, transfer agent fees, Depository Trust Company fees relating to or arising out of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i w:val="false"/>
          <w:caps w:val="false"/>
          <w:smallCaps w:val="false"/>
          <w:sz w:val="20"/>
          <w:u w:val="single"/>
        </w:rPr>
        <w:t>Holding Period</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For the purposes of Rule 144, the Company acknowledges that the holding period of the New Note (and upon conversion of the New Note, the New Conversion Shares) may be tacked onto the holding period of the Existing Securities, and the Company agrees not to take a position contrary to this Section 9. The Company acknowledges and agrees that, subject to the Holder’s representations and warranties contained in Section 5 of this Agreement, the New Note (and upon conversion of the New Note, the New Conversion Shares) shall not be required to bear any restrictive legend and shall be freely transferable by the Holder pursuant to and in accordance with Rule 144, provided, for the avoidance of doubt, that the Holder shall not be an affiliate of the Company and shall not have been an affiliate during the ninety (90) days preceding the date of any transfer. The Company shall be responsible for any transfer agent fees or DTC fees or legal fees of the Company’s counsel with respect to the removal of legends, if any, or issuance of New Securities in accordance 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i w:val="false"/>
          <w:caps w:val="false"/>
          <w:smallCaps w:val="false"/>
          <w:sz w:val="20"/>
          <w:u w:val="single"/>
        </w:rPr>
        <w:t>No Net Short Position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Holder hereby agrees solely with the Company, severally and not jointly, and not with any other Buyer, prior to January 30, 2027, the Holder shall not maintain a Net Short Position (as defined below). For purposes hereof, a “Net Short Position” by a person means a position whereby such person has executed one or more sales of Ordinary Shares that is marked as a short sale (but not including any sale marked “short exempt”) and that is executed at a time when the Holder has no equivalent offsetting long position in the Ordinary Shares (or is deemed to have a long position hereunder or otherwise in accordance with Regulation SHO of the 1934 Act); provided, that, for purposes of such calculations, any short sales either (x) consummated at a price greater than or equal to the Conversion Price (as defined in the New Note), (y) that is a result of a bona-fide trading error on behalf of the Holder (or its affiliates) or (z) that would otherwise be marked as a “long” sale, but for the occurrence of a Conversion Failure (as defined in the New Note), an Equity Conditions Failure (as defined in the New Note) and/or any other breach by the Company (or its affiliates or agents, including, without limitation, the Transfer Agent) of any Transaction Document, in each case, shall be excluded from such calculations. For purposes of determining whether the Holder has an equivalent offsetting “long” position in the Ordinary Shares, (A) all Ordinary Shares that are owned by the Holder shall be deemed held “long” by the Holder, (B) all Ordinary Shares that would be issuable upon conversion or exercise in full of all New Securities issuable to the Holder or then held by the Holder, as applicable (assuming that such New Securities were then fully convertible or exercisable, notwithstanding any provisions to the contrary, and giving effect to any conversion or exercise price adjustments that would take effect given only the passage of time) shall be deemed to be held long by the Holder, and (C) at any other time the Company is required (or has elected (or is deemed to have elected)) to issue Ordinary Shares to the Holder pursuant to the terms of the New Note, any Ordinary Shares issued or issuable to the Holder (or its designee, if applicable) in connection therewith shall be deemed held “long” by the Holder from and after the date that is one (1) Trading Day prior to the deadline for delivery of such Ordinary Shares to the Holder, as set forth in the New Note, until such time as the Holder shall no longer beneficially own such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i w:val="false"/>
          <w:caps w:val="false"/>
          <w:smallCaps w:val="false"/>
          <w:sz w:val="20"/>
          <w:u w:val="single"/>
        </w:rPr>
        <w:t>Reservation of Shares</w:t>
      </w:r>
      <w:r>
        <w:rPr>
          <w:rFonts w:ascii="Times New Roman;Times;Serif" w:hAnsi="Times New Roman;Times;Serif"/>
          <w:b w:val="false"/>
          <w:i w:val="false"/>
          <w:caps w:val="false"/>
          <w:smallCaps w:val="false"/>
          <w:sz w:val="20"/>
        </w:rPr>
        <w:t>. So long as the New Note remains outstanding, the Company shall take all action necessary to at all times have authorized, and reserved for the purpose of issuance, no less than 125% of the maximum number of the New Conversion Shares issuable upon conversion of the New Note then outstanding (assuming for purposes hereof that (x) the New Note is convertible at the Floor Price (as defined the New Note) then in effect and (y) any such conversion shall not take into account any limitations on the conversion of the New Note set forth therein) (the “</w:t>
      </w:r>
      <w:r>
        <w:rPr>
          <w:rFonts w:ascii="Times New Roman;Times;Serif" w:hAnsi="Times New Roman;Times;Serif"/>
          <w:b/>
          <w:i w:val="false"/>
          <w:caps w:val="false"/>
          <w:smallCaps w:val="false"/>
          <w:sz w:val="20"/>
        </w:rPr>
        <w:t>Required Reserve Amount</w:t>
      </w:r>
      <w:r>
        <w:rPr>
          <w:rFonts w:ascii="Times New Roman;Times;Serif" w:hAnsi="Times New Roman;Times;Serif"/>
          <w:b w:val="false"/>
          <w:i w:val="false"/>
          <w:caps w:val="false"/>
          <w:smallCaps w:val="false"/>
          <w:sz w:val="20"/>
        </w:rPr>
        <w:t>”); provided that at no time shall the number of Ordinary Shares reserved pursuant to this Section 11 be reduced other than proportionally in connection with any conversion of the New Note. If at any time the number of Ordinary Shares authorized and reserved for issuance by the Company is not sufficient to meet the applicable Required Reserve Amount, the Company will promptly take all corporate action necessary to authorize and reserve a sufficient number of shares, including, without limitation, calling a special meeting of shareholders to authorize additional Ordinary Shares to meet the Company’s obligations pursuant to the Exchange Documents, in the case of an insufficient number of authorized shares, obtain shareholder approval of an increase in such authorized number of shares, and voting the management shares of the Company in favor of an increase in the authorized shares of the Company to ensure that the number of authorized shares is sufficient to meet the applicable Required Reserve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i w:val="false"/>
          <w:caps w:val="false"/>
          <w:smallCaps w:val="false"/>
          <w:sz w:val="20"/>
          <w:u w:val="single"/>
        </w:rPr>
        <w:t>Blue Sky</w:t>
      </w:r>
      <w:r>
        <w:rPr>
          <w:rFonts w:ascii="Times New Roman;Times;Serif" w:hAnsi="Times New Roman;Times;Serif"/>
          <w:b w:val="false"/>
          <w:i w:val="false"/>
          <w:caps w:val="false"/>
          <w:smallCaps w:val="false"/>
          <w:sz w:val="20"/>
        </w:rPr>
        <w:t>. The Company shall make all filings and reports relating to the Exchange required under applicable securities or “Blue Sky” laws of the states of the United States following the date hereof,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i w:val="false"/>
          <w:caps w:val="false"/>
          <w:smallCaps w:val="false"/>
          <w:sz w:val="20"/>
          <w:u w:val="single"/>
        </w:rPr>
        <w:t>Governing Law; Jurisdiction; Jury Trial</w:t>
      </w:r>
      <w:r>
        <w:rPr>
          <w:rFonts w:ascii="Times New Roman;Times;Serif" w:hAnsi="Times New Roman;Times;Serif"/>
          <w:b w:val="false"/>
          <w:i w:val="false"/>
          <w:caps w:val="false"/>
          <w:smallCaps w:val="false"/>
          <w:sz w:val="20"/>
        </w:rPr>
        <w:t>. All questions concerning the construction, validity, enforcement and interpretation of this Agreement shall be governed by the internal laws of the State of Delaware, without giving effect to any provision of law or rule (whether of the State of Delaware or any other jurisdictions) that would cause the application of the laws of any jurisdictions other than State of Delaware. Each party hereby irrevocably submits to the exclusive jurisdiction of the state and federal courts sitting in Wilmington, Delaware,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The Company hereby appoints CT Corporation, as its agent for service of process in Delaware. Nothing contained herein shall be deemed to limit in any way any right to serve process in any manner permitted by law</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NOTHING IN THIS AGREEMENT SHALL AFFECT ANY RIGHT THAT THE HOLDER MAY OTHERWISE HAVE TO BRING ANY ACTION OR PROCEEDING RELATING TO THIS AGREEMENT AGAINST COMPANY OR ITS PROPERTIES IN THE COURTS OF ANY JURISDICTION. </w:t>
      </w:r>
      <w:r>
        <w:rPr>
          <w:rFonts w:ascii="Times New Roman;Times;Serif" w:hAnsi="Times New Roman;Times;Serif"/>
          <w:b/>
          <w:i w:val="false"/>
          <w:caps w:val="false"/>
          <w:smallCaps w:val="false"/>
          <w:sz w:val="20"/>
        </w:rPr>
        <w:t xml:space="preserve">THE COMPANY HEREBY IRREVOCABLY WAIVES ANY RIGHT IT MAY HAVE, AND AGREES NOT TO REQUEST, A JURY TRIAL FOR THE ADJUDICATION OF ANY DISPUTE HEREUNDER OR IN CONNECTION WITH OR ARISING OUT OF THIS AGREEMENT OR ANY TRANSACTION CONTEMPLATED HEREBY. </w:t>
      </w:r>
      <w:r>
        <w:rPr>
          <w:rFonts w:ascii="Times New Roman;Times;Serif" w:hAnsi="Times New Roman;Times;Serif"/>
          <w:b w:val="false"/>
          <w:i w:val="false"/>
          <w:caps w:val="false"/>
          <w:smallCaps w:val="false"/>
          <w:sz w:val="20"/>
        </w:rPr>
        <w:t>The choice of the laws of the State of Delaware as the governing law of this Agreement is a valid choice of law and would be recognized and given effect to in any action brought before a court of competent jurisdiction in the Cayman Islands, except for those laws (i) which such court considers to be procedural in nature, (ii) which are revenue or penal laws or (iii) the application of which would be inconsistent with public policy, as such term is interpreted under the laws of the Cayman Islands. The choice of laws of the State of Delaware as the governing law of this Agreement will be honored by competent courts in the People’s Republic of China and Thailand, subject to compliance with relevant People’s Republic of China and Thailand civil procedural requirements. The Company or any of their respective properties, assets or revenues does not have any right of immunity under British Virgin Islands, People’s Republic of China, Thailand or Delaware law, from any legal action, suit or proceeding, from the giving of any relief in any such legal action, suit or proceeding, from set-off or counterclaim, from the jurisdiction of any Cayman Islands and the People’s Republic of China, Thailand, Delaware or United States federal court, from service of process, attachment upon or prior to judgment, or attachment in aid of execution of judgment, or from execution of a judgment, or other legal process or proceeding for the giving of any relief or for the enforcement of a judgment, in any such court, with respect to its obligations, liabilities or any other matter under or arising out of or in connection with this Agreement; and, to the extent that the Company, or any of its properties, assets or revenues may have or may hereafter become entitled to any such right of immunity in any such court in which proceedings may at any time be commenced, the Company hereby waives such right to the extent permitted by law and hereby consents to such relief and enforcement as provided in this Agreement and the other Transaction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i w:val="false"/>
          <w:caps w:val="false"/>
          <w:smallCaps w:val="false"/>
          <w:sz w:val="20"/>
          <w:u w:val="single"/>
        </w:rPr>
        <w:t>Counterparts</w:t>
      </w:r>
      <w:r>
        <w:rPr>
          <w:rFonts w:ascii="Times New Roman;Times;Serif" w:hAnsi="Times New Roman;Times;Serif"/>
          <w:b w:val="false"/>
          <w:i w:val="false"/>
          <w:caps w:val="false"/>
          <w:smallCaps w:val="false"/>
          <w:sz w:val="20"/>
        </w:rPr>
        <w:t xml:space="preserve">. This Agreement may be executed in one or more identical counterparts, all of which shall be considered one and the same agreement and shall become effective when counterparts have been signed by each party and delivered to the other party;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that</w:t>
      </w:r>
      <w:r>
        <w:rPr>
          <w:rFonts w:ascii="Times New Roman;Times;Serif" w:hAnsi="Times New Roman;Times;Serif"/>
          <w:b w:val="false"/>
          <w:i w:val="false"/>
          <w:caps w:val="false"/>
          <w:smallCaps w:val="false"/>
          <w:sz w:val="20"/>
        </w:rPr>
        <w:t xml:space="preserve"> facsimile or PDF signature pages shall be considered due execution and shall be binding upon the signatory thereto with the same force and effect as if the signature were an original and not a facsimile or PDF signature.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i w:val="false"/>
          <w:caps w:val="false"/>
          <w:smallCaps w:val="false"/>
          <w:sz w:val="20"/>
          <w:u w:val="single"/>
        </w:rPr>
        <w:t>Headings</w:t>
      </w:r>
      <w:r>
        <w:rPr>
          <w:rFonts w:ascii="Times New Roman;Times;Serif" w:hAnsi="Times New Roman;Times;Serif"/>
          <w:b w:val="false"/>
          <w:i w:val="false"/>
          <w:caps w:val="false"/>
          <w:smallCaps w:val="false"/>
          <w:sz w:val="20"/>
        </w:rPr>
        <w:t>. The headings of this Agreement are for convenience of reference and shall not form part of, or affect the interpretation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Agreement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Agreement so long as this Agreement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i w:val="false"/>
          <w:caps w:val="false"/>
          <w:smallCaps w:val="false"/>
          <w:sz w:val="20"/>
          <w:u w:val="single"/>
        </w:rPr>
        <w:t>No Third-Party Beneficiaries</w:t>
      </w:r>
      <w:r>
        <w:rPr>
          <w:rFonts w:ascii="Times New Roman;Times;Serif" w:hAnsi="Times New Roman;Times;Serif"/>
          <w:b w:val="false"/>
          <w:i w:val="false"/>
          <w:caps w:val="false"/>
          <w:smallCaps w:val="false"/>
          <w:sz w:val="20"/>
        </w:rPr>
        <w:t>. This Agreement is intended for the benefit of the parties hereto and their respective permitted successors and assigns, and is not for the benefit of, nor may any provision hereof be enforced by, any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i w:val="false"/>
          <w:caps w:val="false"/>
          <w:smallCaps w:val="false"/>
          <w:sz w:val="20"/>
          <w:u w:val="single"/>
        </w:rPr>
        <w:t>Further Assurances</w:t>
      </w:r>
      <w:r>
        <w:rPr>
          <w:rFonts w:ascii="Times New Roman;Times;Serif" w:hAnsi="Times New Roman;Times;Serif"/>
          <w:b w:val="false"/>
          <w:i w:val="false"/>
          <w:caps w:val="false"/>
          <w:smallCaps w:val="false"/>
          <w:sz w:val="20"/>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i w:val="false"/>
          <w:caps w:val="false"/>
          <w:smallCaps w:val="false"/>
          <w:sz w:val="20"/>
          <w:u w:val="single"/>
        </w:rPr>
        <w:t>No Strict Construction</w:t>
      </w:r>
      <w:r>
        <w:rPr>
          <w:rFonts w:ascii="Times New Roman;Times;Serif" w:hAnsi="Times New Roman;Times;Serif"/>
          <w:b w:val="false"/>
          <w:i w:val="false"/>
          <w:caps w:val="false"/>
          <w:smallCaps w:val="false"/>
          <w:sz w:val="20"/>
        </w:rPr>
        <w:t>. The language used in this Agreement will be deemed to be the language chosen by the parties to express their mutual intent, and no rules of strict construction will be applied against any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w:t>
      </w:r>
      <w:r>
        <w:rPr>
          <w:rFonts w:ascii="Times New Roman;Times;Serif" w:hAnsi="Times New Roman;Times;Serif"/>
          <w:b/>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be binding upon and inure to the benefit of the parties and their respective successors and assigns in accordance with the terms of the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i w:val="false"/>
          <w:caps w:val="false"/>
          <w:smallCaps w:val="false"/>
          <w:sz w:val="20"/>
          <w:u w:val="single"/>
        </w:rPr>
        <w:t>Notices</w:t>
      </w:r>
      <w:r>
        <w:rPr>
          <w:rFonts w:ascii="Times New Roman;Times;Serif" w:hAnsi="Times New Roman;Times;Serif"/>
          <w:b w:val="false"/>
          <w:i w:val="false"/>
          <w:caps w:val="false"/>
          <w:smallCaps w:val="false"/>
          <w:sz w:val="20"/>
        </w:rPr>
        <w:t>. Any notice or other communication required or permitted under this Agreement must be in writing and must be given in accordance with Section 9(f) of the 2025 Securities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i w:val="false"/>
          <w:caps w:val="false"/>
          <w:smallCaps w:val="false"/>
          <w:sz w:val="20"/>
          <w:u w:val="single"/>
        </w:rPr>
        <w:t>Remedies</w:t>
      </w:r>
      <w:r>
        <w:rPr>
          <w:rFonts w:ascii="Times New Roman;Times;Serif" w:hAnsi="Times New Roman;Times;Serif"/>
          <w:b w:val="false"/>
          <w:i w:val="false"/>
          <w:caps w:val="false"/>
          <w:smallCaps w:val="false"/>
          <w:sz w:val="20"/>
        </w:rPr>
        <w:t>. The Holder and each holder of the New Securities shall have all rights and remedies set forth in the Exchange Documents and all rights and remedies which such holders have been granted at any time under any other agreement or contract and all of the rights which such holders have under any law. Any Person having any rights under any provision of this Agreement shall be entitled to enforce such rights specifically (without posting a bond or other security), to recover damages by reason of any breach of any provision of this Agreement and to exercise all other rights granted by law. Furthermore, the Company recognizes that in the event that it fails to perform, observe, or discharge any or all of its obligations under this Agreement, any remedy at law may prove to be inadequate relief to the Holder. The Company therefore agrees that the Holder shall be entitled to seek temporary and permanent injunctive relief in any such case without the necessity of proving actual damages and without posting a bond or other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i w:val="false"/>
          <w:caps w:val="false"/>
          <w:smallCaps w:val="false"/>
          <w:sz w:val="20"/>
          <w:u w:val="single"/>
        </w:rPr>
        <w:t>Survival</w:t>
      </w:r>
      <w:r>
        <w:rPr>
          <w:rFonts w:ascii="Times New Roman;Times;Serif" w:hAnsi="Times New Roman;Times;Serif"/>
          <w:b w:val="false"/>
          <w:i w:val="false"/>
          <w:caps w:val="false"/>
          <w:smallCaps w:val="false"/>
          <w:sz w:val="20"/>
        </w:rPr>
        <w:t>. The representations and warranties of the Company and the Holder contained herein and the agreements and covenants set forth herein shall survive the closing of the transactions contemplated hereby, including, without limitation, the delivery and issuance of the New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i w:val="false"/>
          <w:caps w:val="false"/>
          <w:smallCaps w:val="false"/>
          <w:sz w:val="20"/>
          <w:u w:val="single"/>
        </w:rPr>
        <w:t>Indemnification</w:t>
      </w:r>
      <w:r>
        <w:rPr>
          <w:rFonts w:ascii="Times New Roman;Times;Serif" w:hAnsi="Times New Roman;Times;Serif"/>
          <w:b w:val="false"/>
          <w:i w:val="false"/>
          <w:caps w:val="false"/>
          <w:smallCaps w:val="false"/>
          <w:sz w:val="20"/>
        </w:rPr>
        <w:t>. In consideration of the Holder’s execution and delivery of the Exchange Documents and acquiring the New Securities thereunder and in addition to all of the Company’s other obligations under the Exchange Documents, the Company shall defend, protect, indemnify and hold harmless the Holder and each of its past and present, direct or indirect, parents, subsidiaries, affiliates, successors, assigns, owners, officers, directors, trustees, shareholders, unitholders, members, partners, employees, contractors, agents, insurers, attorneys, investment bankers, advisors, auditors, accountants, partners, general partners, heirs, executors, administrators, and representatives (including, without limitation, those retained in connection with the transactions contemplated by this Agreement) (collectively the “</w:t>
      </w:r>
      <w:r>
        <w:rPr>
          <w:rFonts w:ascii="Times New Roman;Times;Serif" w:hAnsi="Times New Roman;Times;Serif"/>
          <w:b/>
          <w:i w:val="false"/>
          <w:caps w:val="false"/>
          <w:smallCaps w:val="false"/>
          <w:sz w:val="20"/>
        </w:rPr>
        <w:t>Indemnitees</w:t>
      </w:r>
      <w:r>
        <w:rPr>
          <w:rFonts w:ascii="Times New Roman;Times;Serif" w:hAnsi="Times New Roman;Times;Serif"/>
          <w:b w:val="false"/>
          <w:i w:val="false"/>
          <w:caps w:val="false"/>
          <w:smallCaps w:val="false"/>
          <w:sz w:val="20"/>
        </w:rPr>
        <w:t>” and/or the “</w:t>
      </w:r>
      <w:r>
        <w:rPr>
          <w:rFonts w:ascii="Times New Roman;Times;Serif" w:hAnsi="Times New Roman;Times;Serif"/>
          <w:b/>
          <w:i w:val="false"/>
          <w:caps w:val="false"/>
          <w:smallCaps w:val="false"/>
          <w:sz w:val="20"/>
        </w:rPr>
        <w:t>Released Parties</w:t>
      </w:r>
      <w:r>
        <w:rPr>
          <w:rFonts w:ascii="Times New Roman;Times;Serif" w:hAnsi="Times New Roman;Times;Serif"/>
          <w:b w:val="false"/>
          <w:i w:val="false"/>
          <w:caps w:val="false"/>
          <w:smallCaps w:val="false"/>
          <w:sz w:val="20"/>
        </w:rPr>
        <w:t>”, as applicable), as incurred, from and against any and all actions, causes of action, suits, claims, losses, costs, penalties, fees, liabilities and damages, and expenses in connection therewith (irrespective of whether any such Indemnitee is a party to the action for which indemnification hereunder is sought), and including reasonable and documented out-of-pocket attorneys’ fees and disbursements (the “</w:t>
      </w:r>
      <w:r>
        <w:rPr>
          <w:rFonts w:ascii="Times New Roman;Times;Serif" w:hAnsi="Times New Roman;Times;Serif"/>
          <w:b/>
          <w:i w:val="false"/>
          <w:caps w:val="false"/>
          <w:smallCaps w:val="false"/>
          <w:sz w:val="20"/>
        </w:rPr>
        <w:t>Indemnified Liabilities</w:t>
      </w:r>
      <w:r>
        <w:rPr>
          <w:rFonts w:ascii="Times New Roman;Times;Serif" w:hAnsi="Times New Roman;Times;Serif"/>
          <w:b w:val="false"/>
          <w:i w:val="false"/>
          <w:caps w:val="false"/>
          <w:smallCaps w:val="false"/>
          <w:sz w:val="20"/>
        </w:rPr>
        <w:t>”), incurred by any Indemnitee as a result of, or arising out of, or relating to (a) any misrepresentation or breach of any representation or warranty made by the Company in the Exchange Documents or any other certificate, instrument or document contemplated hereby or thereby, (b) any breach of any covenant, agreement or obligation of the Company contained in the Exchange Documents or any other certificate, instrument or document contemplated hereby or thereby or (c) any cause of action, suit or claim brought or made against such Indemnitee by a third party (including for these purposes a derivative action brought on behalf of the Company) and arising out of or resulting from (i) the execution, delivery, performance or enforcement of the Exchange Documents or any other certificate, instrument or document contemplated hereby or thereby, or (ii) the status of the Holder as a holder of the New Securities pursuant to the transactions contemplated by the Exchange Documents (unless such action, suit or claim is based upon a breach of such Holder’s representations, warranties or covenants under this Agreement and the other Exchange Documents or any violations by Holder of state or federal securities laws or any conduct by Holder that constitutes fraud, gross negligence, willful misconduct or malfeasance). To the extent that the foregoing undertaking by the Company may be unenforceable for any reason, the Company shall make the maximum contribution to the payment and satisfaction of each of the Indemnified Liabilities which is permissible under applicable under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i w:val="false"/>
          <w:caps w:val="false"/>
          <w:smallCaps w:val="false"/>
          <w:sz w:val="20"/>
          <w:u w:val="single"/>
        </w:rPr>
        <w:t>Entire Agreement; Amendments</w:t>
      </w:r>
      <w:r>
        <w:rPr>
          <w:rFonts w:ascii="Times New Roman;Times;Serif" w:hAnsi="Times New Roman;Times;Serif"/>
          <w:b w:val="false"/>
          <w:i w:val="false"/>
          <w:caps w:val="false"/>
          <w:smallCaps w:val="false"/>
          <w:sz w:val="20"/>
        </w:rPr>
        <w:t>. This Agreement supersedes all other prior oral or written agreements between the Holder, the Company, their affiliates and Persons acting on their behalf solely with respect to the Existing Securities, and this Agreement and the instruments referenced herein contain the entire understanding of the parties with respect to the matters covered herein and therein and, except as specifically set forth herein or therein, neither the Company nor the Holder makes any representation, warranty, covenant or undertaking with respect to such matters. No provision of this Agreement may be amended other than by an instrument in writing signed by the Company and the Holder. No provision hereof may be waived other than by an instrument in writing signed by the party against whom enforcement is sought.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w:t>
      </w:r>
      <w:r>
        <w:rPr>
          <w:rFonts w:ascii="Times New Roman;Times;Serif" w:hAnsi="Times New Roman;Times;Serif"/>
          <w:b/>
          <w:i w:val="false"/>
          <w:caps w:val="false"/>
          <w:smallCaps w:val="false"/>
          <w:sz w:val="20"/>
          <w:u w:val="single"/>
        </w:rPr>
        <w:t>Due Performance; Equitable Relief</w:t>
      </w:r>
      <w:r>
        <w:rPr>
          <w:rFonts w:ascii="Times New Roman;Times;Serif" w:hAnsi="Times New Roman;Times;Serif"/>
          <w:b w:val="false"/>
          <w:i w:val="false"/>
          <w:caps w:val="false"/>
          <w:smallCaps w:val="false"/>
          <w:sz w:val="20"/>
        </w:rPr>
        <w:t>. The parties hereto agree that irreparable damage, for which monetary damages (even if available) would not be an adequate remedy, shall occur in the event that the parties hereto do not perform the provisions of this Agreement or any of the Exchange Documents (including the New Note) in accordance with its specified terms or otherwise breach such provisions. Accordingly, the parties acknowledge and agree that the parties shall be entitled to an injunction, specific performance or other equitable relief to prevent breaches of the Exchange Documents and to enforce specifically the terms and provisions hereof, as applicable, in addition to any other remedy to which they are entitled at law or in equity. Each of the parties hereto agrees that it shall not oppose the granting of an injunction, specific performance and/or other equitable relief on the basis that any other party has an adequate remedy at law or that any award of an injunction, specific performance and/or other equitable relief is not an appropriate remedy for any reason at law or in equity. Any party seeking: (i) an injunction or injunctions to prevent breaches of the Exchange Documents; (ii) to enforce specifically the terms and provisions of the Exchange Documents; and/or (iii) other equitable relief, shall not be required to show proof of irreparable harm or to provide any bond or other security in connection with any such remedy.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w:t>
      </w:r>
      <w:r>
        <w:rPr>
          <w:rFonts w:ascii="Times New Roman;Times;Serif" w:hAnsi="Times New Roman;Times;Serif"/>
          <w:b/>
          <w:i w:val="false"/>
          <w:caps w:val="false"/>
          <w:smallCaps w:val="false"/>
          <w:sz w:val="20"/>
          <w:u w:val="single"/>
        </w:rPr>
        <w:t>No Commissions</w:t>
      </w:r>
      <w:r>
        <w:rPr>
          <w:rFonts w:ascii="Times New Roman;Times;Serif" w:hAnsi="Times New Roman;Times;Serif"/>
          <w:b w:val="false"/>
          <w:i w:val="false"/>
          <w:caps w:val="false"/>
          <w:smallCaps w:val="false"/>
          <w:sz w:val="20"/>
        </w:rPr>
        <w:t>. Neither the Company nor the Holder has paid or given, or will pay or give, to any person, any commission, fee or other remuneration, directly or indirectly, in connection with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w:t>
      </w:r>
      <w:r>
        <w:rPr>
          <w:rFonts w:ascii="Times New Roman;Times;Serif" w:hAnsi="Times New Roman;Times;Serif"/>
          <w:b/>
          <w:i w:val="false"/>
          <w:caps w:val="false"/>
          <w:smallCaps w:val="false"/>
          <w:sz w:val="20"/>
          <w:u w:val="single"/>
        </w:rPr>
        <w:t>Termination</w:t>
      </w:r>
      <w:r>
        <w:rPr>
          <w:rFonts w:ascii="Times New Roman;Times;Serif" w:hAnsi="Times New Roman;Times;Serif"/>
          <w:b w:val="false"/>
          <w:i w:val="false"/>
          <w:caps w:val="false"/>
          <w:smallCaps w:val="false"/>
          <w:sz w:val="20"/>
        </w:rPr>
        <w:t>. Notwithstanding anything contained in this Agreement to the contrary, if the Company does not deliver the New Note to the Holder in accordance with Section 1 hereof, then, at the election of the Holder delivered in writing to the Company at any time after the fifth (5th) business day immediately following the date of this Agreement, this Agreement shall be terminated and be null and void ab initio and the Existing Securities shall not be terminated hereunder and shall remain outstanding as if this Agreement never existed.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remainder of the page is intentionally left blank.]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 WITNESS WHEREOF, </w:t>
      </w:r>
      <w:r>
        <w:rPr>
          <w:rFonts w:ascii="Times New Roman;Times;Serif" w:hAnsi="Times New Roman;Times;Serif"/>
          <w:b w:val="false"/>
          <w:i w:val="false"/>
          <w:caps w:val="false"/>
          <w:smallCaps w:val="false"/>
          <w:sz w:val="20"/>
        </w:rPr>
        <w:t>Holders and the Company have executed this Agreement as of the date set forth on the first page of this Agreement.</w:t>
      </w:r>
    </w:p>
    <w:p>
      <w:pPr>
        <w:pStyle w:val="TextBody"/>
        <w:bidi w:val="0"/>
        <w:spacing w:before="0" w:after="0"/>
        <w:ind w:left="0" w:right="0" w:firstLine="720"/>
        <w:jc w:val="both"/>
        <w:rPr>
          <w:caps w:val="false"/>
          <w:smallCaps w:val="false"/>
        </w:rPr>
      </w:pPr>
      <w:r>
        <w:rPr>
          <w:caps w:val="false"/>
          <w:smallCaps w:val="false"/>
        </w:rPr>
        <w:t> </w:t>
      </w:r>
    </w:p>
    <w:tbl>
      <w:tblPr>
        <w:tblW w:w="3709" w:type="dxa"/>
        <w:jc w:val="left"/>
        <w:tblInd w:w="0" w:type="dxa"/>
        <w:tblLayout w:type="fixed"/>
        <w:tblCellMar>
          <w:top w:w="0" w:type="dxa"/>
          <w:left w:w="0" w:type="dxa"/>
          <w:bottom w:w="0" w:type="dxa"/>
          <w:right w:w="0" w:type="dxa"/>
        </w:tblCellMar>
      </w:tblPr>
      <w:tblGrid>
        <w:gridCol w:w="75"/>
        <w:gridCol w:w="800"/>
        <w:gridCol w:w="2834"/>
      </w:tblGrid>
      <w:tr>
        <w:trPr/>
        <w:tc>
          <w:tcPr>
            <w:tcW w:w="75" w:type="dxa"/>
            <w:tcBorders/>
            <w:vAlign w:val="center"/>
          </w:tcPr>
          <w:p>
            <w:pPr>
              <w:pStyle w:val="TableContents"/>
              <w:bidi w:val="0"/>
              <w:spacing w:before="0" w:after="283"/>
              <w:jc w:val="left"/>
              <w:rPr/>
            </w:pPr>
            <w:r>
              <w:rPr/>
              <w:t> </w:t>
            </w:r>
          </w:p>
        </w:tc>
        <w:tc>
          <w:tcPr>
            <w:tcW w:w="3634" w:type="dxa"/>
            <w:gridSpan w:val="2"/>
            <w:tcBorders/>
            <w:vAlign w:val="center"/>
          </w:tcPr>
          <w:p>
            <w:pPr>
              <w:pStyle w:val="TableContents"/>
              <w:bidi w:val="0"/>
              <w:spacing w:before="0" w:after="283"/>
              <w:jc w:val="left"/>
              <w:rPr>
                <w:b/>
              </w:rPr>
            </w:pPr>
            <w:r>
              <w:rPr>
                <w:b/>
              </w:rPr>
              <w:t>COMPANY:</w:t>
            </w:r>
          </w:p>
        </w:tc>
      </w:tr>
      <w:tr>
        <w:trPr/>
        <w:tc>
          <w:tcPr>
            <w:tcW w:w="75" w:type="dxa"/>
            <w:tcBorders/>
            <w:vAlign w:val="center"/>
          </w:tcPr>
          <w:p>
            <w:pPr>
              <w:pStyle w:val="TableContents"/>
              <w:bidi w:val="0"/>
              <w:spacing w:before="0" w:after="283"/>
              <w:jc w:val="left"/>
              <w:rPr/>
            </w:pPr>
            <w:r>
              <w:rPr/>
              <w:t> </w:t>
            </w:r>
          </w:p>
        </w:tc>
        <w:tc>
          <w:tcPr>
            <w:tcW w:w="363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34" w:type="dxa"/>
            <w:gridSpan w:val="2"/>
            <w:tcBorders/>
            <w:vAlign w:val="center"/>
          </w:tcPr>
          <w:p>
            <w:pPr>
              <w:pStyle w:val="TableContents"/>
              <w:bidi w:val="0"/>
              <w:spacing w:before="0" w:after="283"/>
              <w:jc w:val="left"/>
              <w:rPr>
                <w:b/>
              </w:rPr>
            </w:pPr>
            <w:r>
              <w:rPr>
                <w:b/>
              </w:rPr>
              <w:t>NEWGENIVF GROUP LIMITED</w:t>
            </w:r>
          </w:p>
        </w:tc>
      </w:tr>
      <w:tr>
        <w:trPr/>
        <w:tc>
          <w:tcPr>
            <w:tcW w:w="75"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283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By:</w:t>
            </w:r>
          </w:p>
        </w:tc>
        <w:tc>
          <w:tcPr>
            <w:tcW w:w="2834" w:type="dxa"/>
            <w:tcBorders>
              <w:bottom w:val="single" w:sz="12" w:space="0" w:color="000000"/>
            </w:tcBorders>
            <w:tcMar>
              <w:bottom w:w="28" w:type="dxa"/>
            </w:tcMar>
            <w:vAlign w:val="center"/>
          </w:tcPr>
          <w:p>
            <w:pPr>
              <w:pStyle w:val="TableContents"/>
              <w:bidi w:val="0"/>
              <w:spacing w:before="0" w:after="283"/>
              <w:jc w:val="left"/>
              <w:rPr/>
            </w:pPr>
            <w:r>
              <w:rPr/>
              <w:t>/s/ Alfred Siu</w:t>
            </w:r>
          </w:p>
        </w:tc>
      </w:tr>
      <w:tr>
        <w:trPr/>
        <w:tc>
          <w:tcPr>
            <w:tcW w:w="75"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Name:</w:t>
            </w:r>
          </w:p>
        </w:tc>
        <w:tc>
          <w:tcPr>
            <w:tcW w:w="2834" w:type="dxa"/>
            <w:tcBorders/>
            <w:vAlign w:val="center"/>
          </w:tcPr>
          <w:p>
            <w:pPr>
              <w:pStyle w:val="TableContents"/>
              <w:bidi w:val="0"/>
              <w:spacing w:before="0" w:after="283"/>
              <w:jc w:val="left"/>
              <w:rPr/>
            </w:pPr>
            <w:r>
              <w:rPr/>
              <w:t>Alfred Siu</w:t>
            </w:r>
          </w:p>
        </w:tc>
      </w:tr>
      <w:tr>
        <w:trPr/>
        <w:tc>
          <w:tcPr>
            <w:tcW w:w="75"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Title:</w:t>
            </w:r>
          </w:p>
        </w:tc>
        <w:tc>
          <w:tcPr>
            <w:tcW w:w="2834"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 WITNESS WHEREOF, </w:t>
      </w:r>
      <w:r>
        <w:rPr>
          <w:rFonts w:ascii="Times New Roman;Times;Serif" w:hAnsi="Times New Roman;Times;Serif"/>
          <w:b w:val="false"/>
          <w:i w:val="false"/>
          <w:caps w:val="false"/>
          <w:smallCaps w:val="false"/>
          <w:sz w:val="20"/>
        </w:rPr>
        <w:t>Holders and the Company have executed this Agreement as of the date set forth on the first page of this Agreement.</w:t>
      </w:r>
    </w:p>
    <w:p>
      <w:pPr>
        <w:pStyle w:val="TextBody"/>
        <w:bidi w:val="0"/>
        <w:spacing w:before="0" w:after="0"/>
        <w:ind w:left="0" w:right="0" w:firstLine="720"/>
        <w:jc w:val="both"/>
        <w:rPr>
          <w:caps w:val="false"/>
          <w:smallCaps w:val="false"/>
        </w:rPr>
      </w:pPr>
      <w:r>
        <w:rPr>
          <w:caps w:val="false"/>
          <w:smallCaps w:val="false"/>
        </w:rPr>
        <w:t> </w:t>
      </w:r>
    </w:p>
    <w:tbl>
      <w:tblPr>
        <w:tblW w:w="1309" w:type="dxa"/>
        <w:jc w:val="left"/>
        <w:tblInd w:w="0" w:type="dxa"/>
        <w:tblLayout w:type="fixed"/>
        <w:tblCellMar>
          <w:top w:w="0" w:type="dxa"/>
          <w:left w:w="0" w:type="dxa"/>
          <w:bottom w:w="0" w:type="dxa"/>
          <w:right w:w="0" w:type="dxa"/>
        </w:tblCellMar>
      </w:tblPr>
      <w:tblGrid>
        <w:gridCol w:w="75"/>
        <w:gridCol w:w="369"/>
        <w:gridCol w:w="865"/>
      </w:tblGrid>
      <w:tr>
        <w:trPr/>
        <w:tc>
          <w:tcPr>
            <w:tcW w:w="75" w:type="dxa"/>
            <w:tcBorders/>
            <w:vAlign w:val="center"/>
          </w:tcPr>
          <w:p>
            <w:pPr>
              <w:pStyle w:val="TableContents"/>
              <w:bidi w:val="0"/>
              <w:spacing w:before="0" w:after="283"/>
              <w:ind w:left="0" w:right="0" w:hanging="0"/>
              <w:jc w:val="both"/>
              <w:rPr/>
            </w:pPr>
            <w:r>
              <w:rPr/>
              <w:t> </w:t>
            </w:r>
          </w:p>
        </w:tc>
        <w:tc>
          <w:tcPr>
            <w:tcW w:w="1234" w:type="dxa"/>
            <w:gridSpan w:val="2"/>
            <w:tcBorders/>
            <w:vAlign w:val="center"/>
          </w:tcPr>
          <w:p>
            <w:pPr>
              <w:pStyle w:val="TableContents"/>
              <w:bidi w:val="0"/>
              <w:spacing w:before="0" w:after="283"/>
              <w:ind w:left="0" w:right="0" w:hanging="0"/>
              <w:jc w:val="both"/>
              <w:rPr>
                <w:b/>
              </w:rPr>
            </w:pPr>
            <w:r>
              <w:rPr>
                <w:b/>
              </w:rPr>
              <w:t>HOLDER:</w:t>
            </w:r>
          </w:p>
        </w:tc>
      </w:tr>
      <w:tr>
        <w:trPr/>
        <w:tc>
          <w:tcPr>
            <w:tcW w:w="75" w:type="dxa"/>
            <w:tcBorders/>
            <w:vAlign w:val="center"/>
          </w:tcPr>
          <w:p>
            <w:pPr>
              <w:pStyle w:val="TableContents"/>
              <w:bidi w:val="0"/>
              <w:spacing w:before="0" w:after="283"/>
              <w:ind w:left="0" w:right="0" w:hanging="0"/>
              <w:jc w:val="both"/>
              <w:rPr/>
            </w:pPr>
            <w:r>
              <w:rPr/>
              <w:t> </w:t>
            </w:r>
          </w:p>
        </w:tc>
        <w:tc>
          <w:tcPr>
            <w:tcW w:w="123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34" w:type="dxa"/>
            <w:gridSpan w:val="2"/>
            <w:tcBorders/>
            <w:vAlign w:val="center"/>
          </w:tcPr>
          <w:p>
            <w:pPr>
              <w:pStyle w:val="TableContents"/>
              <w:bidi w:val="0"/>
              <w:spacing w:before="0" w:after="283"/>
              <w:jc w:val="both"/>
              <w:rPr>
                <w:b/>
                <w:smallCaps/>
              </w:rPr>
            </w:pPr>
            <w:r>
              <w:rPr>
                <w:b/>
                <w:smallCaps/>
              </w:rPr>
              <w:t>[HOLDER]</w:t>
            </w:r>
          </w:p>
        </w:tc>
      </w:tr>
      <w:tr>
        <w:trPr/>
        <w:tc>
          <w:tcPr>
            <w:tcW w:w="75" w:type="dxa"/>
            <w:tcBorders/>
            <w:vAlign w:val="center"/>
          </w:tcPr>
          <w:p>
            <w:pPr>
              <w:pStyle w:val="TableContents"/>
              <w:bidi w:val="0"/>
              <w:spacing w:before="0" w:after="283"/>
              <w:jc w:val="both"/>
              <w:rPr/>
            </w:pPr>
            <w:r>
              <w:rPr/>
              <w:t> </w:t>
            </w:r>
          </w:p>
        </w:tc>
        <w:tc>
          <w:tcPr>
            <w:tcW w:w="123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69" w:type="dxa"/>
            <w:tcBorders/>
            <w:vAlign w:val="center"/>
          </w:tcPr>
          <w:p>
            <w:pPr>
              <w:pStyle w:val="TableContents"/>
              <w:bidi w:val="0"/>
              <w:spacing w:before="0" w:after="283"/>
              <w:jc w:val="both"/>
              <w:rPr/>
            </w:pPr>
            <w:r>
              <w:rPr/>
              <w:t>By:</w:t>
            </w:r>
          </w:p>
        </w:tc>
        <w:tc>
          <w:tcPr>
            <w:tcW w:w="865"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69" w:type="dxa"/>
            <w:tcBorders/>
            <w:vAlign w:val="center"/>
          </w:tcPr>
          <w:p>
            <w:pPr>
              <w:pStyle w:val="TableContents"/>
              <w:bidi w:val="0"/>
              <w:spacing w:before="0" w:after="283"/>
              <w:jc w:val="both"/>
              <w:rPr/>
            </w:pPr>
            <w:r>
              <w:rPr/>
              <w:t> </w:t>
            </w:r>
          </w:p>
        </w:tc>
        <w:tc>
          <w:tcPr>
            <w:tcW w:w="865" w:type="dxa"/>
            <w:tcBorders/>
            <w:vAlign w:val="center"/>
          </w:tcPr>
          <w:p>
            <w:pPr>
              <w:pStyle w:val="TableContents"/>
              <w:bidi w:val="0"/>
              <w:spacing w:before="0" w:after="283"/>
              <w:ind w:left="0" w:right="0" w:hanging="0"/>
              <w:jc w:val="both"/>
              <w:rPr/>
            </w:pPr>
            <w:r>
              <w:rPr/>
              <w:t>Name:</w:t>
            </w:r>
          </w:p>
        </w:tc>
      </w:tr>
      <w:tr>
        <w:trPr/>
        <w:tc>
          <w:tcPr>
            <w:tcW w:w="75" w:type="dxa"/>
            <w:tcBorders/>
            <w:vAlign w:val="center"/>
          </w:tcPr>
          <w:p>
            <w:pPr>
              <w:pStyle w:val="TableContents"/>
              <w:bidi w:val="0"/>
              <w:spacing w:before="0" w:after="283"/>
              <w:ind w:left="0" w:right="0" w:hanging="0"/>
              <w:jc w:val="both"/>
              <w:rPr/>
            </w:pPr>
            <w:r>
              <w:rPr/>
              <w:t> </w:t>
            </w:r>
          </w:p>
        </w:tc>
        <w:tc>
          <w:tcPr>
            <w:tcW w:w="369" w:type="dxa"/>
            <w:tcBorders/>
            <w:vAlign w:val="center"/>
          </w:tcPr>
          <w:p>
            <w:pPr>
              <w:pStyle w:val="TableContents"/>
              <w:bidi w:val="0"/>
              <w:spacing w:before="0" w:after="283"/>
              <w:ind w:left="0" w:right="0" w:hanging="0"/>
              <w:jc w:val="left"/>
              <w:rPr>
                <w:sz w:val="4"/>
                <w:szCs w:val="4"/>
              </w:rPr>
            </w:pPr>
            <w:r>
              <w:rPr>
                <w:sz w:val="4"/>
                <w:szCs w:val="4"/>
              </w:rPr>
            </w:r>
          </w:p>
        </w:tc>
        <w:tc>
          <w:tcPr>
            <w:tcW w:w="865" w:type="dxa"/>
            <w:tcBorders/>
            <w:vAlign w:val="center"/>
          </w:tcPr>
          <w:p>
            <w:pPr>
              <w:pStyle w:val="TableContents"/>
              <w:bidi w:val="0"/>
              <w:spacing w:before="0" w:after="283"/>
              <w:jc w:val="both"/>
              <w:rPr/>
            </w:pPr>
            <w:r>
              <w:rPr/>
              <w:t>Title: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b/>
        </w:rPr>
      </w:pPr>
      <w:bookmarkStart w:id="4" w:name="ea030160101ex10-2.htm"/>
      <w:bookmarkStart w:id="5" w:name="ksea030160101ex102"/>
      <w:bookmarkEnd w:id="4"/>
      <w:bookmarkEnd w:id="5"/>
      <w:r>
        <w:rPr>
          <w:b/>
        </w:rPr>
        <w:t>Exhibit 10.2</w:t>
      </w:r>
      <w:r>
        <w:br w:type="page"/>
      </w:r>
    </w:p>
    <w:p>
      <w:pPr>
        <w:pStyle w:val="TextBody"/>
        <w:bidi w:val="0"/>
        <w:jc w:val="center"/>
        <w:rPr/>
      </w:pPr>
      <w:r>
        <w:rPr/>
        <w:t> </w:t>
      </w:r>
    </w:p>
    <w:p>
      <w:pPr>
        <w:pStyle w:val="TextBody"/>
        <w:bidi w:val="0"/>
        <w:spacing w:before="0" w:after="0"/>
        <w:ind w:left="7" w:right="7"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Execution Version</w:t>
      </w:r>
    </w:p>
    <w:p>
      <w:pPr>
        <w:pStyle w:val="TextBody"/>
        <w:bidi w:val="0"/>
        <w:spacing w:before="0" w:after="0"/>
        <w:ind w:left="7" w:right="7" w:hanging="0"/>
        <w:jc w:val="right"/>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ANY TRANSFEREE OF THIS NOTE SHOULD CAREFULLY REVIEW THE TERMS OF THIS NOTE, INCLUDING SECTIONS 3(c)(iii) AND 19(a) HEREOF. THE PRINCIPAL AMOUNT REPRESENTED BY THIS NOTE AND, ACCORDINGLY, THE SECURITIES ISSUABLE UPON CONVERSION HEREOF MAY BE LESS THAN THE AMOUNTS SET FORTH ON THE FACE HEREOF PURSUANT TO SECTION 3(c)(iii) OF THIS NOTE. </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THIS NOTE HAS BEEN ISSUED WITH ORIGINAL ISSUE DISCOUNT (“OID”). PURSUANT TO TREASURY REGULATION §1.1275-3(b)(1), ANDY CHUNG, A REPRESENTATIVE OF THE COMPANY HEREOF WILL, BEGINNING TEN DAYS AFTER THE ISSUANCE DATE OF THIS NOTE, PROMPTLY MAKE AVAILABLE TO THE HOLDER UPON REQUEST THE INFORMATION DESCRIBED IN TREASURY REGULATION §1.1275-3(b)(1)(i). ANDY CHUNG MAY BE REACHED AT TELEPHONE NUMBER (852) 2869-1088. </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6" w:right="6"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4"/>
        </w:rPr>
        <w:t>N</w:t>
      </w:r>
      <w:r>
        <w:rPr>
          <w:rFonts w:ascii="Times New Roman;Times;Serif" w:hAnsi="Times New Roman;Times;Serif"/>
          <w:b/>
          <w:i w:val="false"/>
          <w:caps w:val="false"/>
          <w:smallCaps w:val="false"/>
          <w:sz w:val="20"/>
        </w:rPr>
        <w:t>EW</w:t>
      </w:r>
      <w:r>
        <w:rPr>
          <w:rFonts w:ascii="Times New Roman;Times;Serif" w:hAnsi="Times New Roman;Times;Serif"/>
          <w:b/>
          <w:i w:val="false"/>
          <w:caps w:val="false"/>
          <w:smallCaps w:val="false"/>
          <w:sz w:val="24"/>
        </w:rPr>
        <w:t>G</w:t>
      </w:r>
      <w:r>
        <w:rPr>
          <w:rFonts w:ascii="Times New Roman;Times;Serif" w:hAnsi="Times New Roman;Times;Serif"/>
          <w:b/>
          <w:i w:val="false"/>
          <w:caps w:val="false"/>
          <w:smallCaps w:val="false"/>
          <w:sz w:val="20"/>
        </w:rPr>
        <w:t>EN</w:t>
      </w:r>
      <w:r>
        <w:rPr>
          <w:rFonts w:ascii="Times New Roman;Times;Serif" w:hAnsi="Times New Roman;Times;Serif"/>
          <w:b/>
          <w:i w:val="false"/>
          <w:caps w:val="false"/>
          <w:smallCaps w:val="false"/>
          <w:sz w:val="24"/>
        </w:rPr>
        <w:t>I</w:t>
      </w:r>
      <w:r>
        <w:rPr>
          <w:rFonts w:ascii="Times New Roman;Times;Serif" w:hAnsi="Times New Roman;Times;Serif"/>
          <w:b/>
          <w:i w:val="false"/>
          <w:caps w:val="false"/>
          <w:smallCaps w:val="false"/>
          <w:sz w:val="20"/>
        </w:rPr>
        <w:t xml:space="preserve">VF </w:t>
      </w:r>
      <w:r>
        <w:rPr>
          <w:rFonts w:ascii="Times New Roman;Times;Serif" w:hAnsi="Times New Roman;Times;Serif"/>
          <w:b/>
          <w:i w:val="false"/>
          <w:caps w:val="false"/>
          <w:smallCaps w:val="false"/>
          <w:sz w:val="24"/>
        </w:rPr>
        <w:t>G</w:t>
      </w:r>
      <w:r>
        <w:rPr>
          <w:rFonts w:ascii="Times New Roman;Times;Serif" w:hAnsi="Times New Roman;Times;Serif"/>
          <w:b/>
          <w:i w:val="false"/>
          <w:caps w:val="false"/>
          <w:smallCaps w:val="false"/>
          <w:sz w:val="20"/>
        </w:rPr>
        <w:t xml:space="preserve">ROUP </w:t>
      </w:r>
      <w:r>
        <w:rPr>
          <w:rFonts w:ascii="Times New Roman;Times;Serif" w:hAnsi="Times New Roman;Times;Serif"/>
          <w:b/>
          <w:i w:val="false"/>
          <w:caps w:val="false"/>
          <w:smallCaps w:val="false"/>
          <w:sz w:val="24"/>
        </w:rPr>
        <w:t>L</w:t>
      </w:r>
      <w:r>
        <w:rPr>
          <w:rFonts w:ascii="Times New Roman;Times;Serif" w:hAnsi="Times New Roman;Times;Serif"/>
          <w:b/>
          <w:i w:val="false"/>
          <w:caps w:val="false"/>
          <w:smallCaps w:val="false"/>
          <w:sz w:val="20"/>
        </w:rPr>
        <w:t>IMITED</w:t>
      </w:r>
    </w:p>
    <w:p>
      <w:pPr>
        <w:pStyle w:val="TextBody"/>
        <w:bidi w:val="0"/>
        <w:spacing w:before="0" w:after="0"/>
        <w:ind w:left="6" w:right="6" w:hanging="0"/>
        <w:jc w:val="center"/>
        <w:rPr>
          <w:caps w:val="false"/>
          <w:smallCaps w:val="false"/>
        </w:rPr>
      </w:pPr>
      <w:r>
        <w:rPr>
          <w:caps w:val="false"/>
          <w:smallCaps w:val="false"/>
        </w:rPr>
        <w:t> </w:t>
      </w:r>
    </w:p>
    <w:p>
      <w:pPr>
        <w:pStyle w:val="TextBody"/>
        <w:bidi w:val="0"/>
        <w:spacing w:before="0" w:after="0"/>
        <w:ind w:left="7" w:right="7"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SENIOR CONVERTIBLE NOTE</w:t>
      </w:r>
    </w:p>
    <w:p>
      <w:pPr>
        <w:pStyle w:val="TextBody"/>
        <w:bidi w:val="0"/>
        <w:spacing w:before="0" w:after="0"/>
        <w:ind w:left="7" w:right="7" w:hanging="0"/>
        <w:jc w:val="center"/>
        <w:rPr>
          <w:caps w:val="false"/>
          <w:smallCaps w:val="false"/>
        </w:rPr>
      </w:pPr>
      <w:r>
        <w:rPr>
          <w:caps w:val="false"/>
          <w:smallCaps w:val="false"/>
        </w:rPr>
        <w:t> </w:t>
      </w:r>
    </w:p>
    <w:tbl>
      <w:tblPr>
        <w:tblW w:w="7705" w:type="dxa"/>
        <w:jc w:val="left"/>
        <w:tblInd w:w="0" w:type="dxa"/>
        <w:tblLayout w:type="fixed"/>
        <w:tblCellMar>
          <w:top w:w="0" w:type="dxa"/>
          <w:left w:w="0" w:type="dxa"/>
          <w:bottom w:w="0" w:type="dxa"/>
          <w:right w:w="0" w:type="dxa"/>
        </w:tblCellMar>
      </w:tblPr>
      <w:tblGrid>
        <w:gridCol w:w="4535"/>
        <w:gridCol w:w="3170"/>
      </w:tblGrid>
      <w:tr>
        <w:trPr/>
        <w:tc>
          <w:tcPr>
            <w:tcW w:w="4535" w:type="dxa"/>
            <w:tcBorders/>
            <w:vAlign w:val="center"/>
          </w:tcPr>
          <w:p>
            <w:pPr>
              <w:pStyle w:val="TableContents"/>
              <w:bidi w:val="0"/>
              <w:spacing w:before="0" w:after="283"/>
              <w:jc w:val="left"/>
              <w:rPr/>
            </w:pPr>
            <w:r>
              <w:rPr/>
              <w:t>Issuance Dates: June 3, 2025 and July 16, 2025</w:t>
            </w:r>
          </w:p>
        </w:tc>
        <w:tc>
          <w:tcPr>
            <w:tcW w:w="3170" w:type="dxa"/>
            <w:tcBorders/>
            <w:vAlign w:val="center"/>
          </w:tcPr>
          <w:p>
            <w:pPr>
              <w:pStyle w:val="TableContents"/>
              <w:bidi w:val="0"/>
              <w:spacing w:before="0" w:after="283"/>
              <w:jc w:val="left"/>
              <w:rPr/>
            </w:pPr>
            <w:r>
              <w:rPr/>
              <w:t xml:space="preserve">Original Principal Amount: U.S. </w:t>
              <w:br/>
              <w:t>$7,105,468.75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Date: August 14,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VALUE RECEIVED,</w:t>
      </w:r>
      <w:r>
        <w:rPr>
          <w:rFonts w:ascii="Times New Roman;Times;Serif" w:hAnsi="Times New Roman;Times;Serif"/>
          <w:b w:val="false"/>
          <w:i w:val="false"/>
          <w:caps w:val="false"/>
          <w:smallCaps w:val="false"/>
          <w:sz w:val="20"/>
        </w:rPr>
        <w:t xml:space="preserve"> NewGenIvf Group Limited, a business company incorporated under the laws of the British Virgin Islands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promises to pay to the order of [HOLDER] or its registered assigns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the amount set forth above as the Original Principal Amount (as reduced pursuant to the terms hereof pursuant to redemption, conversion or otherwise, the “</w:t>
      </w:r>
      <w:r>
        <w:rPr>
          <w:rFonts w:ascii="Times New Roman;Times;Serif" w:hAnsi="Times New Roman;Times;Serif"/>
          <w:b/>
          <w:i w:val="false"/>
          <w:caps w:val="false"/>
          <w:smallCaps w:val="false"/>
          <w:sz w:val="20"/>
        </w:rPr>
        <w:t>Principal</w:t>
      </w:r>
      <w:r>
        <w:rPr>
          <w:rFonts w:ascii="Times New Roman;Times;Serif" w:hAnsi="Times New Roman;Times;Serif"/>
          <w:b w:val="false"/>
          <w:i w:val="false"/>
          <w:caps w:val="false"/>
          <w:smallCaps w:val="false"/>
          <w:sz w:val="20"/>
        </w:rPr>
        <w:t>”) when due, whether upon the Maturity Date, or upon acceleration, redemption or otherwise (in each case in accordance with the terms hereof), and, upon the occurrence and continuance of an Event of Default (as defined below), to pay interest (“</w:t>
      </w:r>
      <w:r>
        <w:rPr>
          <w:rFonts w:ascii="Times New Roman;Times;Serif" w:hAnsi="Times New Roman;Times;Serif"/>
          <w:b/>
          <w:i w:val="false"/>
          <w:caps w:val="false"/>
          <w:smallCaps w:val="false"/>
          <w:sz w:val="20"/>
        </w:rPr>
        <w:t>Default Interest</w:t>
      </w:r>
      <w:r>
        <w:rPr>
          <w:rFonts w:ascii="Times New Roman;Times;Serif" w:hAnsi="Times New Roman;Times;Serif"/>
          <w:b w:val="false"/>
          <w:i w:val="false"/>
          <w:caps w:val="false"/>
          <w:smallCaps w:val="false"/>
          <w:sz w:val="20"/>
        </w:rPr>
        <w:t>”) on any outstanding Principal at the Default Rate until the same becomes due and payable, whether upon the Maturity Date or upon acceleration, conversion, redemption or otherwise (in each case in accordance with the terms hereof). This Senior Convertible Note (including all Senior Convertible Notes issued in exchange, transfer or replacement hereof, this “</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is one of an issue of Senior Convertible Notes issued pursuant to that certain Amendment and Exchange Agreement (the “</w:t>
      </w:r>
      <w:r>
        <w:rPr>
          <w:rFonts w:ascii="Times New Roman;Times;Serif" w:hAnsi="Times New Roman;Times;Serif"/>
          <w:b/>
          <w:i w:val="false"/>
          <w:caps w:val="false"/>
          <w:smallCaps w:val="false"/>
          <w:sz w:val="20"/>
        </w:rPr>
        <w:t>Exchange Agreement</w:t>
      </w:r>
      <w:r>
        <w:rPr>
          <w:rFonts w:ascii="Times New Roman;Times;Serif" w:hAnsi="Times New Roman;Times;Serif"/>
          <w:b w:val="false"/>
          <w:i w:val="false"/>
          <w:caps w:val="false"/>
          <w:smallCaps w:val="false"/>
          <w:sz w:val="20"/>
        </w:rPr>
        <w:t>”), dated as of August 11, 2026 (the “</w:t>
      </w:r>
      <w:r>
        <w:rPr>
          <w:rFonts w:ascii="Times New Roman;Times;Serif" w:hAnsi="Times New Roman;Times;Serif"/>
          <w:b/>
          <w:i w:val="false"/>
          <w:caps w:val="false"/>
          <w:smallCaps w:val="false"/>
          <w:sz w:val="20"/>
        </w:rPr>
        <w:t>Exchange Date</w:t>
      </w:r>
      <w:r>
        <w:rPr>
          <w:rFonts w:ascii="Times New Roman;Times;Serif" w:hAnsi="Times New Roman;Times;Serif"/>
          <w:b w:val="false"/>
          <w:i w:val="false"/>
          <w:caps w:val="false"/>
          <w:smallCaps w:val="false"/>
          <w:sz w:val="20"/>
        </w:rPr>
        <w:t>”), by and between the Company and the Holder, in exchange in part for (i) that certain senior convertible note of the Company, dated as of July 16, 2025 (the “</w:t>
      </w:r>
      <w:r>
        <w:rPr>
          <w:rFonts w:ascii="Times New Roman;Times;Serif" w:hAnsi="Times New Roman;Times;Serif"/>
          <w:b/>
          <w:i w:val="false"/>
          <w:caps w:val="false"/>
          <w:smallCaps w:val="false"/>
          <w:sz w:val="20"/>
        </w:rPr>
        <w:t>July 2025 Note Issuance Date</w:t>
      </w:r>
      <w:r>
        <w:rPr>
          <w:rFonts w:ascii="Times New Roman;Times;Serif" w:hAnsi="Times New Roman;Times;Serif"/>
          <w:b w:val="false"/>
          <w:i w:val="false"/>
          <w:caps w:val="false"/>
          <w:smallCaps w:val="false"/>
          <w:sz w:val="20"/>
        </w:rPr>
        <w:t>”), in the aggregate original principal amount of $2,000,000 (as amended, modified or waived prior to the date hereof, the “</w:t>
      </w:r>
      <w:r>
        <w:rPr>
          <w:rFonts w:ascii="Times New Roman;Times;Serif" w:hAnsi="Times New Roman;Times;Serif"/>
          <w:b/>
          <w:i w:val="false"/>
          <w:caps w:val="false"/>
          <w:smallCaps w:val="false"/>
          <w:sz w:val="20"/>
        </w:rPr>
        <w:t>July 2025 Note</w:t>
      </w:r>
      <w:r>
        <w:rPr>
          <w:rFonts w:ascii="Times New Roman;Times;Serif" w:hAnsi="Times New Roman;Times;Serif"/>
          <w:b w:val="false"/>
          <w:i w:val="false"/>
          <w:caps w:val="false"/>
          <w:smallCaps w:val="false"/>
          <w:sz w:val="20"/>
        </w:rPr>
        <w:t>”) and related Warrants (as defined in the July 2025 Note) and (ii) that certain senior convertible note of the Company, dated as of June 3, 2025 (the “</w:t>
      </w:r>
      <w:r>
        <w:rPr>
          <w:rFonts w:ascii="Times New Roman;Times;Serif" w:hAnsi="Times New Roman;Times;Serif"/>
          <w:b/>
          <w:i w:val="false"/>
          <w:caps w:val="false"/>
          <w:smallCaps w:val="false"/>
          <w:sz w:val="20"/>
        </w:rPr>
        <w:t>June 2025 Note Issuance Date</w:t>
      </w:r>
      <w:r>
        <w:rPr>
          <w:rFonts w:ascii="Times New Roman;Times;Serif" w:hAnsi="Times New Roman;Times;Serif"/>
          <w:b w:val="false"/>
          <w:i w:val="false"/>
          <w:caps w:val="false"/>
          <w:smallCaps w:val="false"/>
          <w:sz w:val="20"/>
        </w:rPr>
        <w:t>”, and together with the July 2025 Note Issuance Date, the “</w:t>
      </w:r>
      <w:r>
        <w:rPr>
          <w:rFonts w:ascii="Times New Roman;Times;Serif" w:hAnsi="Times New Roman;Times;Serif"/>
          <w:b/>
          <w:i w:val="false"/>
          <w:caps w:val="false"/>
          <w:smallCaps w:val="false"/>
          <w:sz w:val="20"/>
        </w:rPr>
        <w:t>Issuance Dates</w:t>
      </w:r>
      <w:r>
        <w:rPr>
          <w:rFonts w:ascii="Times New Roman;Times;Serif" w:hAnsi="Times New Roman;Times;Serif"/>
          <w:b w:val="false"/>
          <w:i w:val="false"/>
          <w:caps w:val="false"/>
          <w:smallCaps w:val="false"/>
          <w:sz w:val="20"/>
        </w:rPr>
        <w:t>” and each, an “</w:t>
      </w:r>
      <w:r>
        <w:rPr>
          <w:rFonts w:ascii="Times New Roman;Times;Serif" w:hAnsi="Times New Roman;Times;Serif"/>
          <w:b/>
          <w:i w:val="false"/>
          <w:caps w:val="false"/>
          <w:smallCaps w:val="false"/>
          <w:sz w:val="20"/>
        </w:rPr>
        <w:t>Issuance Date</w:t>
      </w:r>
      <w:r>
        <w:rPr>
          <w:rFonts w:ascii="Times New Roman;Times;Serif" w:hAnsi="Times New Roman;Times;Serif"/>
          <w:b w:val="false"/>
          <w:i w:val="false"/>
          <w:caps w:val="false"/>
          <w:smallCaps w:val="false"/>
          <w:sz w:val="20"/>
        </w:rPr>
        <w:t>”), in the aggregate original principal amount of $3,200,000 (as amended, modified or waived prior to the date hereof, the “</w:t>
      </w:r>
      <w:r>
        <w:rPr>
          <w:rFonts w:ascii="Times New Roman;Times;Serif" w:hAnsi="Times New Roman;Times;Serif"/>
          <w:b/>
          <w:i w:val="false"/>
          <w:caps w:val="false"/>
          <w:smallCaps w:val="false"/>
          <w:sz w:val="20"/>
        </w:rPr>
        <w:t>June 2025 Note</w:t>
      </w:r>
      <w:r>
        <w:rPr>
          <w:rFonts w:ascii="Times New Roman;Times;Serif" w:hAnsi="Times New Roman;Times;Serif"/>
          <w:b w:val="false"/>
          <w:i w:val="false"/>
          <w:caps w:val="false"/>
          <w:smallCaps w:val="false"/>
          <w:sz w:val="20"/>
        </w:rPr>
        <w:t>”, and together with the July 2025 Note, the “</w:t>
      </w:r>
      <w:r>
        <w:rPr>
          <w:rFonts w:ascii="Times New Roman;Times;Serif" w:hAnsi="Times New Roman;Times;Serif"/>
          <w:b/>
          <w:i w:val="false"/>
          <w:caps w:val="false"/>
          <w:smallCaps w:val="false"/>
          <w:sz w:val="20"/>
        </w:rPr>
        <w:t>Exchanged Notes</w:t>
      </w:r>
      <w:r>
        <w:rPr>
          <w:rFonts w:ascii="Times New Roman;Times;Serif" w:hAnsi="Times New Roman;Times;Serif"/>
          <w:b w:val="false"/>
          <w:i w:val="false"/>
          <w:caps w:val="false"/>
          <w:smallCaps w:val="false"/>
          <w:sz w:val="20"/>
        </w:rPr>
        <w:t>”) (collectively,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and such other Senior Convertible Notes, the “</w:t>
      </w:r>
      <w:r>
        <w:rPr>
          <w:rFonts w:ascii="Times New Roman;Times;Serif" w:hAnsi="Times New Roman;Times;Serif"/>
          <w:b/>
          <w:i w:val="false"/>
          <w:caps w:val="false"/>
          <w:smallCaps w:val="false"/>
          <w:sz w:val="20"/>
        </w:rPr>
        <w:t>Other Notes</w:t>
      </w:r>
      <w:r>
        <w:rPr>
          <w:rFonts w:ascii="Times New Roman;Times;Serif" w:hAnsi="Times New Roman;Times;Serif"/>
          <w:b w:val="false"/>
          <w:i w:val="false"/>
          <w:caps w:val="false"/>
          <w:smallCaps w:val="false"/>
          <w:sz w:val="20"/>
        </w:rPr>
        <w:t>”). Certain capitalized terms used herein are defined in Section 32.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PAYMENTS OF PRINCIPAL</w:t>
      </w:r>
      <w:r>
        <w:rPr>
          <w:rFonts w:ascii="Times New Roman;Times;Serif" w:hAnsi="Times New Roman;Times;Serif"/>
          <w:b w:val="false"/>
          <w:i w:val="false"/>
          <w:caps w:val="false"/>
          <w:smallCaps w:val="false"/>
          <w:sz w:val="20"/>
        </w:rPr>
        <w:t>. On the Maturity Date, the Company shall pay to the Holder an amount in cash representing all outstanding Principal, accrued and unpaid Default Interest and accrued and unpaid Late Charges (as defined in Section 25(c)) on such Principal and Default Interest. Other than as specifically permitted by this Note, the Company may not prepay any portion of the outstanding Principal, accrued and unpaid Default Interest or accrued and unpaid Late Charges on Principal and Default Interest,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DEFAULT INTEREST; DEFAULT INTEREST RATE</w:t>
      </w:r>
      <w:r>
        <w:rPr>
          <w:rFonts w:ascii="Times New Roman;Times;Serif" w:hAnsi="Times New Roman;Times;Serif"/>
          <w:b w:val="false"/>
          <w:i w:val="false"/>
          <w:caps w:val="false"/>
          <w:smallCaps w:val="false"/>
          <w:sz w:val="20"/>
        </w:rPr>
        <w:t>. This Note was issued with OID at the applicable IRS Applicable Federal Rate as of the Exchange Date for short term debt. No interest shall accrue hereunder unless and until an Event of Default has occurred. From and after the occurrence and during the continuance of any Event of Default, Default Interest on the outstanding Principal shall accrue hereunder at the Default Rate and shall be computed on the basis of a 360-day year and twelve 30-day months, shall compound each calendar month and shall be payable in arrears on the first Trading Day of each Fiscal Quarter in which Default Interest accrues hereunder (each, an “</w:t>
      </w:r>
      <w:r>
        <w:rPr>
          <w:rFonts w:ascii="Times New Roman;Times;Serif" w:hAnsi="Times New Roman;Times;Serif"/>
          <w:b/>
          <w:i w:val="false"/>
          <w:caps w:val="false"/>
          <w:smallCaps w:val="false"/>
          <w:sz w:val="20"/>
        </w:rPr>
        <w:t>Interest Date</w:t>
      </w:r>
      <w:r>
        <w:rPr>
          <w:rFonts w:ascii="Times New Roman;Times;Serif" w:hAnsi="Times New Roman;Times;Serif"/>
          <w:b w:val="false"/>
          <w:i w:val="false"/>
          <w:caps w:val="false"/>
          <w:smallCaps w:val="false"/>
          <w:sz w:val="20"/>
        </w:rPr>
        <w:t>”). Accrued and unpaid Default Interest, if any, shall also be payable by way of inclusion of such Default Interest in the Conversion Amount (as defined below) on each Conversion Date (as defined below) in accordance with Section 3(b) or upon any redemption in accordance with Section 13 or any required payment upon any Bankruptcy Event of Default (as defined below). In the event that such Event of Default is subsequently cured (and no other Event of Default then exists (including, without limitation, for the Company’s failure to pay such Default Interest at the Default Rate on the applicable Interest Date)), Default Interest shall cease to accrue hereunder as of the calendar day immediately following the date of such cure; provided that the Default Interest as calculated and unpaid during the continuance of such Event of Default shall continue to apply to the extent relating to the days after the occurrence of such Event of Default through and including the date of such cure of such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CONVERSION OF NOTES</w:t>
      </w:r>
      <w:r>
        <w:rPr>
          <w:rFonts w:ascii="Times New Roman;Times;Serif" w:hAnsi="Times New Roman;Times;Serif"/>
          <w:b w:val="false"/>
          <w:i w:val="false"/>
          <w:caps w:val="false"/>
          <w:smallCaps w:val="false"/>
          <w:sz w:val="20"/>
        </w:rPr>
        <w:t>. At any time after the Issuance Date, this Note shall be convertible into validly issued, fully paid and non-assessable Ordinary Shares (as defined below), on the terms and conditions set forth in this Section 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Conversion Right</w:t>
      </w:r>
      <w:r>
        <w:rPr>
          <w:rFonts w:ascii="Times New Roman;Times;Serif" w:hAnsi="Times New Roman;Times;Serif"/>
          <w:b w:val="false"/>
          <w:i w:val="false"/>
          <w:caps w:val="false"/>
          <w:smallCaps w:val="false"/>
          <w:sz w:val="20"/>
        </w:rPr>
        <w:t>. Subject to the provisions of Section 3(d), at any time or times on or after the Issuance Date, the Holder shall be entitled to convert any portion of the outstanding and unpaid Conversion Amount (as defined below) into validly issued, fully paid and non-assessable Ordinary Shares in accordance with Section 3(c), at the Conversion Rate (as defined below). The Company shall not issue any fraction of an Ordinary Share upon any conversion. If the issuance would result in the issuance of a fraction of an Ordinary Share, the Company shall round such fraction of an Ordinary Share up to the nearest whole share. The Company shall pay any and all transfer, stamp, issuance and similar taxes, costs and expenses (including, without limitation, fees and expenses of the Transfer Agent (as defined below)) that may be payable with respect to the issuance and delivery of Ordinary Shares upon conversion of any Conversion Amount.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Conversion Rate</w:t>
      </w:r>
      <w:r>
        <w:rPr>
          <w:rFonts w:ascii="Times New Roman;Times;Serif" w:hAnsi="Times New Roman;Times;Serif"/>
          <w:b w:val="false"/>
          <w:i w:val="false"/>
          <w:caps w:val="false"/>
          <w:smallCaps w:val="false"/>
          <w:sz w:val="20"/>
        </w:rPr>
        <w:t>. The number of Ordinary Shares issuable upon conversion of any Conversion Amount pursuant to Section 3(a) shall be determined by dividing (x) such Conversion Amount by (y) the Conversion Price (as defined below) (the “</w:t>
      </w:r>
      <w:r>
        <w:rPr>
          <w:rFonts w:ascii="Times New Roman;Times;Serif" w:hAnsi="Times New Roman;Times;Serif"/>
          <w:b/>
          <w:i w:val="false"/>
          <w:caps w:val="false"/>
          <w:smallCaps w:val="false"/>
          <w:sz w:val="20"/>
        </w:rPr>
        <w:t>Conversion Rate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Conversion Amount</w:t>
      </w:r>
      <w:r>
        <w:rPr>
          <w:rFonts w:ascii="Times New Roman;Times;Serif" w:hAnsi="Times New Roman;Times;Serif"/>
          <w:b w:val="false"/>
          <w:i w:val="false"/>
          <w:caps w:val="false"/>
          <w:smallCaps w:val="false"/>
          <w:sz w:val="20"/>
        </w:rPr>
        <w:t>” means the sum of (A) the portion of the Principal of this Note to be converted, redeemed or otherwise with respect to which this determination is being made, (B) accrued and unpaid Default Interest with respect to such Principal of this Note, (C) accrued and unpaid Late Charges with respect to such Principal of this Note and Default Interest, and (D) any other unpaid amounts pursuant to the Transaction Documents (as defined in the Existing Securities Purchase Agreements) and/or Exchange Documents (as defined in the Exchange Agreement), as applicable, if any.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i w:val="false"/>
          <w:caps w:val="false"/>
          <w:smallCaps w:val="false"/>
          <w:sz w:val="20"/>
        </w:rPr>
        <w:t>Conversion Price</w:t>
      </w:r>
      <w:r>
        <w:rPr>
          <w:rFonts w:ascii="Times New Roman;Times;Serif" w:hAnsi="Times New Roman;Times;Serif"/>
          <w:b w:val="false"/>
          <w:i w:val="false"/>
          <w:caps w:val="false"/>
          <w:smallCaps w:val="false"/>
          <w:sz w:val="20"/>
        </w:rPr>
        <w:t>” means, as of any Conversion Date or other date of determination, $0.5517, subject to adjustment as provided herein.</w:t>
      </w:r>
    </w:p>
    <w:p>
      <w:pPr>
        <w:pStyle w:val="TextBody"/>
        <w:bidi w:val="0"/>
        <w:spacing w:before="0" w:after="0"/>
        <w:ind w:left="1080" w:right="0" w:hanging="0"/>
        <w:jc w:val="both"/>
        <w:rPr>
          <w:caps w:val="false"/>
          <w:smallCaps w:val="false"/>
        </w:rPr>
      </w:pPr>
      <w:r>
        <w:rPr>
          <w:caps w:val="false"/>
          <w:smallCaps w:val="false"/>
        </w:rPr>
        <w:t> </w:t>
      </w:r>
    </w:p>
    <w:tbl>
      <w:tblPr>
        <w:tblW w:w="2838" w:type="dxa"/>
        <w:jc w:val="left"/>
        <w:tblInd w:w="0" w:type="dxa"/>
        <w:tblLayout w:type="fixed"/>
        <w:tblCellMar>
          <w:top w:w="0" w:type="dxa"/>
          <w:left w:w="0" w:type="dxa"/>
          <w:bottom w:w="0" w:type="dxa"/>
          <w:right w:w="0" w:type="dxa"/>
        </w:tblCellMar>
      </w:tblPr>
      <w:tblGrid>
        <w:gridCol w:w="38"/>
        <w:gridCol w:w="275"/>
        <w:gridCol w:w="252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2525" w:type="dxa"/>
            <w:tcBorders/>
            <w:vAlign w:val="center"/>
          </w:tcPr>
          <w:p>
            <w:pPr>
              <w:pStyle w:val="TableContents"/>
              <w:bidi w:val="0"/>
              <w:spacing w:before="0" w:after="283"/>
              <w:jc w:val="both"/>
              <w:rPr/>
            </w:pPr>
            <w:r>
              <w:rPr>
                <w:u w:val="single"/>
              </w:rPr>
              <w:t>Mechanics of Conversion</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Optional Conversion</w:t>
      </w:r>
      <w:r>
        <w:rPr>
          <w:rFonts w:ascii="Times New Roman;Times;Serif" w:hAnsi="Times New Roman;Times;Serif"/>
          <w:b w:val="false"/>
          <w:i w:val="false"/>
          <w:caps w:val="false"/>
          <w:smallCaps w:val="false"/>
          <w:sz w:val="20"/>
        </w:rPr>
        <w:t>. To convert any Conversion Amount into Ordinary Shares on any date (a “</w:t>
      </w:r>
      <w:r>
        <w:rPr>
          <w:rFonts w:ascii="Times New Roman;Times;Serif" w:hAnsi="Times New Roman;Times;Serif"/>
          <w:b/>
          <w:i w:val="false"/>
          <w:caps w:val="false"/>
          <w:smallCaps w:val="false"/>
          <w:sz w:val="20"/>
        </w:rPr>
        <w:t>Conversion Date</w:t>
      </w:r>
      <w:r>
        <w:rPr>
          <w:rFonts w:ascii="Times New Roman;Times;Serif" w:hAnsi="Times New Roman;Times;Serif"/>
          <w:b w:val="false"/>
          <w:i w:val="false"/>
          <w:caps w:val="false"/>
          <w:smallCaps w:val="false"/>
          <w:sz w:val="20"/>
        </w:rPr>
        <w:t xml:space="preserve">”), the Holder shall deliver (whether via electronic mail or otherwise), for receipt on or prior to 11:59 p.m., New York time, on such date, a copy of an executed notice of conversion in the form attached hereto as </w:t>
      </w:r>
      <w:r>
        <w:rPr>
          <w:rFonts w:ascii="Times New Roman;Times;Serif" w:hAnsi="Times New Roman;Times;Serif"/>
          <w:b w:val="false"/>
          <w:i w:val="false"/>
          <w:caps w:val="false"/>
          <w:smallCaps w:val="false"/>
          <w:sz w:val="20"/>
          <w:u w:val="single"/>
        </w:rPr>
        <w:t>Exhibit I</w:t>
      </w:r>
      <w:r>
        <w:rPr>
          <w:rFonts w:ascii="Times New Roman;Times;Serif" w:hAnsi="Times New Roman;Times;Serif"/>
          <w:b w:val="false"/>
          <w:i w:val="false"/>
          <w:caps w:val="false"/>
          <w:smallCaps w:val="false"/>
          <w:sz w:val="20"/>
        </w:rPr>
        <w:t xml:space="preserve"> (each, a “</w:t>
      </w:r>
      <w:r>
        <w:rPr>
          <w:rFonts w:ascii="Times New Roman;Times;Serif" w:hAnsi="Times New Roman;Times;Serif"/>
          <w:b/>
          <w:i w:val="false"/>
          <w:caps w:val="false"/>
          <w:smallCaps w:val="false"/>
          <w:sz w:val="20"/>
        </w:rPr>
        <w:t>Conversion Notice</w:t>
      </w:r>
      <w:r>
        <w:rPr>
          <w:rFonts w:ascii="Times New Roman;Times;Serif" w:hAnsi="Times New Roman;Times;Serif"/>
          <w:b w:val="false"/>
          <w:i w:val="false"/>
          <w:caps w:val="false"/>
          <w:smallCaps w:val="false"/>
          <w:sz w:val="20"/>
        </w:rPr>
        <w:t>”) to the Company. If required by Section 3(c)(iii), within one (1) Trading Day following a conversion of this Note as aforesaid, the Holder shall surrender this Note to a nationally recognized overnight delivery service for delivery to the Company (or an indemnification undertaking with respect to this Note in the case of its loss, theft or destruction as contemplated by Section 19(b)). On or before the first (1st) Trading Day following the date on which the Company has received a Conversion Notice (or such earlier date as required pursuant to the 1934 Act or other applicable law, rule or regulation for the settlement of a trade initiated on the applicable Conversion Date of such Ordinary Shares issuable pursuant to such Conversion Notice) (the “</w:t>
      </w:r>
      <w:r>
        <w:rPr>
          <w:rFonts w:ascii="Times New Roman;Times;Serif" w:hAnsi="Times New Roman;Times;Serif"/>
          <w:b/>
          <w:i w:val="false"/>
          <w:caps w:val="false"/>
          <w:smallCaps w:val="false"/>
          <w:sz w:val="20"/>
        </w:rPr>
        <w:t>Share Delivery Deadline</w:t>
      </w:r>
      <w:r>
        <w:rPr>
          <w:rFonts w:ascii="Times New Roman;Times;Serif" w:hAnsi="Times New Roman;Times;Serif"/>
          <w:b w:val="false"/>
          <w:i w:val="false"/>
          <w:caps w:val="false"/>
          <w:smallCaps w:val="false"/>
          <w:sz w:val="20"/>
        </w:rPr>
        <w:t>”), the Company shall (1) provided that the Company’s transfer agent (the “</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 is participating in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Fast Automated Securities Transfer Program (“</w:t>
      </w:r>
      <w:r>
        <w:rPr>
          <w:rFonts w:ascii="Times New Roman;Times;Serif" w:hAnsi="Times New Roman;Times;Serif"/>
          <w:b/>
          <w:i w:val="false"/>
          <w:caps w:val="false"/>
          <w:smallCaps w:val="false"/>
          <w:sz w:val="20"/>
        </w:rPr>
        <w:t>FAST</w:t>
      </w:r>
      <w:r>
        <w:rPr>
          <w:rFonts w:ascii="Times New Roman;Times;Serif" w:hAnsi="Times New Roman;Times;Serif"/>
          <w:b w:val="false"/>
          <w:i w:val="false"/>
          <w:caps w:val="false"/>
          <w:smallCaps w:val="false"/>
          <w:sz w:val="20"/>
        </w:rPr>
        <w:t>”), credit such aggregate number of Ordinary Shares to which the Holder shall be entitled pursuant to such conversion to the Holder’s or its designee’s balance account with DTC through its Deposit/Withdrawal at Custodian system or (2) if the Transfer Agent is not participating in FAST, upon the request of the Holder, issue and deliver (via reputable overnight courier) to the address as specified in the Conversion Notice, a certificate, registered in the name of the Holder or its designee, for the number of Ordinary Shares to which the Holder shall be entitled pursuant to such conversion. If this Note is physically surrendered for conversion pursuant to Section 3(c)(iii) and the outstanding Principal of this Note is greater than the Principal portion of the Conversion Amount being converted, then the Company shall as soon as practicable and in no event later than one (1) Business Day after receipt of this Note and at its own expense, issue and deliver to the Holder (or its designee) a new Note (in accordance with Section 19(d)) representing the outstanding Principal not converted. The Person or Persons entitled to receive the Ordinary Shares issuable upon a conversion of this Note shall be treated for all purposes as the record holder or holders of such Ordinary Shares on the Conversion Date; provided, that the Holder shall be deemed to have waived any voting rights of any such Ordinary Shares that may arise during the period commencing on such Conversion Date, through, and including, such applicable Share Delivery Deadline (each, a “</w:t>
      </w:r>
      <w:r>
        <w:rPr>
          <w:rFonts w:ascii="Times New Roman;Times;Serif" w:hAnsi="Times New Roman;Times;Serif"/>
          <w:b/>
          <w:i w:val="false"/>
          <w:caps w:val="false"/>
          <w:smallCaps w:val="false"/>
          <w:sz w:val="20"/>
        </w:rPr>
        <w:t>Conversion Period</w:t>
      </w:r>
      <w:r>
        <w:rPr>
          <w:rFonts w:ascii="Times New Roman;Times;Serif" w:hAnsi="Times New Roman;Times;Serif"/>
          <w:b w:val="false"/>
          <w:i w:val="false"/>
          <w:caps w:val="false"/>
          <w:smallCaps w:val="false"/>
          <w:sz w:val="20"/>
        </w:rPr>
        <w:t>”), as necessary, such that the aggregate voting rights of any Ordinary Shares beneficially owned by the Holder and/or any Attribution Parties, collectively, on any such applicable date of determination shall not exceed the Maximum Percentage (as defined below) as a result of any such conversion of this Note. Notwithstanding anything to the contrary contained in this Note or the Registration Rights Agreement, after the effective date of the Registration Statement (as defined in the Registration Rights Agreement) and prior to the Holder’s receipt of the notice of a Grace Period (as defined in the Registration Rights Agreement), the Company shall cause the Transfer Agent to deliver unlegended Ordinary Shares to the Holder (or its designee) in connection with any sale of Registrable Securities (as defined in the Registration Rights Agreement) with respect to which the Holder has entered into a contract for sale, and delivered a copy of the prospectus included as part of the particular Registration Statement to the extent applicable, and for which the Holder has not yet settled.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center"/>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Company’s Failure to Timely Convert</w:t>
      </w:r>
      <w:r>
        <w:rPr>
          <w:rFonts w:ascii="Times New Roman;Times;Serif" w:hAnsi="Times New Roman;Times;Serif"/>
          <w:b w:val="false"/>
          <w:i w:val="false"/>
          <w:caps w:val="false"/>
          <w:smallCaps w:val="false"/>
          <w:sz w:val="20"/>
        </w:rPr>
        <w:t>. If the Company shall fail, for any reason or for no reason, on or prior to the applicable Share Delivery Deadline, either (I) if the Transfer Agent is not participating in FAST, to issue and deliver to the Holder (or its designee) a certificate for the number of Ordinary Shares to which the Holder is entitled and register such Ordinary Shares on the Company’s share register or, if the Transfer Agent is participating in FAST, to credit the balance account of the Holder or the Holder’s designee with DTC for such number of Ordinary Shares to which the Holder is entitled upon the Holder’s conversion of this Note (as the case may be) or (II) if, following the earlier of (x) the Effectiveness Deadline (as defined in the Registration Rights Agreement) and (y) the Effective Date (as defined in the Registration Rights Agreement) of the initial Registration Statement, the Registration Statement covering the resale of the Ordinary Shares that are the subject of the Conversion Notice (the “</w:t>
      </w:r>
      <w:r>
        <w:rPr>
          <w:rFonts w:ascii="Times New Roman;Times;Serif" w:hAnsi="Times New Roman;Times;Serif"/>
          <w:b/>
          <w:i w:val="false"/>
          <w:caps w:val="false"/>
          <w:smallCaps w:val="false"/>
          <w:sz w:val="20"/>
        </w:rPr>
        <w:t>Unavailable Conversion Shares</w:t>
      </w:r>
      <w:r>
        <w:rPr>
          <w:rFonts w:ascii="Times New Roman;Times;Serif" w:hAnsi="Times New Roman;Times;Serif"/>
          <w:b w:val="false"/>
          <w:i w:val="false"/>
          <w:caps w:val="false"/>
          <w:smallCaps w:val="false"/>
          <w:sz w:val="20"/>
        </w:rPr>
        <w:t>”) is not available for the resale of such Unavailable Conversion Shares and the Company fails to promptly, but in no event later than as required pursuant to the Registration Rights Agreement (x) so notify the Holder and (y) deliver the Ordinary Shares electronically without any restrictive legend by crediting such aggregate number of Ordinary Shares to which the Holder is entitled pursuant to such conversion to the Holder’s or its designee’s balance account with DTC through its Deposit/Withdrawal At Custodian system (the event described in the immediately foregoing clause (II) is hereinafter referred as a “</w:t>
      </w:r>
      <w:r>
        <w:rPr>
          <w:rFonts w:ascii="Times New Roman;Times;Serif" w:hAnsi="Times New Roman;Times;Serif"/>
          <w:b/>
          <w:i w:val="false"/>
          <w:caps w:val="false"/>
          <w:smallCaps w:val="false"/>
          <w:sz w:val="20"/>
        </w:rPr>
        <w:t>Notice Failure</w:t>
      </w:r>
      <w:r>
        <w:rPr>
          <w:rFonts w:ascii="Times New Roman;Times;Serif" w:hAnsi="Times New Roman;Times;Serif"/>
          <w:b w:val="false"/>
          <w:i w:val="false"/>
          <w:caps w:val="false"/>
          <w:smallCaps w:val="false"/>
          <w:sz w:val="20"/>
        </w:rPr>
        <w:t>” and together with the event described in clause (I) above, a “</w:t>
      </w:r>
      <w:r>
        <w:rPr>
          <w:rFonts w:ascii="Times New Roman;Times;Serif" w:hAnsi="Times New Roman;Times;Serif"/>
          <w:b/>
          <w:i w:val="false"/>
          <w:caps w:val="false"/>
          <w:smallCaps w:val="false"/>
          <w:sz w:val="20"/>
        </w:rPr>
        <w:t>Conversion Failure</w:t>
      </w:r>
      <w:r>
        <w:rPr>
          <w:rFonts w:ascii="Times New Roman;Times;Serif" w:hAnsi="Times New Roman;Times;Serif"/>
          <w:b w:val="false"/>
          <w:i w:val="false"/>
          <w:caps w:val="false"/>
          <w:smallCaps w:val="false"/>
          <w:sz w:val="20"/>
        </w:rPr>
        <w:t>”), then, in addition to all other remedies available to the Holder, (1) the Company shall pay in cash to the Holder on each day after such Share Delivery Deadline that the issuance of such Ordinary Shares is not timely effected an amount equal to one percent (1.0%) of the product of (A) the sum of the number of Ordinary Shares not issued to the Holder on or prior to the Share Delivery Deadline and to which the Holder is entitled, multiplied by (B) any trading price of the Ordinary Shares selected by the Holder in writing as in effect at any time during the period beginning on the applicable Conversion Date and ending on the applicable Share Delivery Deadline and (2) the Holder, upon written notice to the Company, may void its Conversion Notice with respect to, and retain or have returned (as the case may be) any portion of this Note that has not been converted pursuant to such Conversion Notice, provided that the voiding of a Conversion Notice shall not affect the Company’s obligations to make any payments which have accrued prior to the date of such notice pursuant to this Section 3(c)(ii) or otherwise. In addition to the foregoing, if on or prior to the applicable Share Delivery Deadline either (A) if the Transfer Agent is not participating in FAST, the Company shall fail to issue and deliver to the Holder (or its designee) a certificate and register such Ordinary Shares on the Company’s share register or, if the Transfer Agent is participating in FAST, the Transfer Agent shall fail to credit the balance account of the Holder or the Holder’s designee with DTC for the number of Ordinary Shares to which the Holder is entitled upon the Holder’s conversion hereunder or pursuant to the Company’s obligation pursuant to clause (II) below or (B) a Notice Failure occurs, and if on or after such Share Delivery Deadline the Holder acquires (in an open market transaction, stock loan or otherwise) Ordinary Shares corresponding to all or any portion of the number of Ordinary Shares issuable upon such conversion that the Holder is entitled to receive from the Company and has not received from the Company in connection with such Conversion Failure or Notice Failure, as applicable (a “</w:t>
      </w:r>
      <w:r>
        <w:rPr>
          <w:rFonts w:ascii="Times New Roman;Times;Serif" w:hAnsi="Times New Roman;Times;Serif"/>
          <w:b/>
          <w:i w:val="false"/>
          <w:caps w:val="false"/>
          <w:smallCaps w:val="false"/>
          <w:sz w:val="20"/>
        </w:rPr>
        <w:t>Buy-In</w:t>
      </w:r>
      <w:r>
        <w:rPr>
          <w:rFonts w:ascii="Times New Roman;Times;Serif" w:hAnsi="Times New Roman;Times;Serif"/>
          <w:b w:val="false"/>
          <w:i w:val="false"/>
          <w:caps w:val="false"/>
          <w:smallCaps w:val="false"/>
          <w:sz w:val="20"/>
        </w:rPr>
        <w:t>”), then, in addition to all other remedies available to the Holder, the Company shall, within one (1) Business Day after receipt of the Holder’s request and in the Holder’s discretion, either: (I) pay cash to the Holder in an amount equal to the Holder’s total purchase price (including brokerage commissions, stock loan costs and other out-of-pocket expenses, if any) for the Ordinary Shares so acquired (including, without limitation, by any other Person in respect, or on behalf, of the Holder) (the “</w:t>
      </w:r>
      <w:r>
        <w:rPr>
          <w:rFonts w:ascii="Times New Roman;Times;Serif" w:hAnsi="Times New Roman;Times;Serif"/>
          <w:b/>
          <w:i w:val="false"/>
          <w:caps w:val="false"/>
          <w:smallCaps w:val="false"/>
          <w:sz w:val="20"/>
        </w:rPr>
        <w:t>Buy-In Price</w:t>
      </w:r>
      <w:r>
        <w:rPr>
          <w:rFonts w:ascii="Times New Roman;Times;Serif" w:hAnsi="Times New Roman;Times;Serif"/>
          <w:b w:val="false"/>
          <w:i w:val="false"/>
          <w:caps w:val="false"/>
          <w:smallCaps w:val="false"/>
          <w:sz w:val="20"/>
        </w:rPr>
        <w:t>”), at which point the Company’s obligation to so issue and deliver such certificate (and to issue such Ordinary Shares) or credit the balance account of such Holder or such Holder’s designee, as applicable, with DTC for the number of Ordinary Shares to which the Holder is entitled upon the Holder’s conversion hereunder (as the case may be) (and to issue such Ordinary Shares) shall terminate, or (II) promptly honor its obligation to so issue and deliver to the Holder a certificate or certificates representing such Ordinary Shares or credit the balance account of such Holder or such Holder’s designee, as applicable, with DTC for the number of Ordinary Shares to which the Holder is entitled upon the Holder’s conversion hereunder (as the case may be) and pay cash to the Holder in an amount equal to the excess (if any) of the Buy-In Price over the product of (x) such number of Ordinary Shares multiplied by (y) the lowest Closing Sale Price of the Ordinary Shares on any Trading Day during the period commencing on the date of the applicable Conversion Notice and ending on the date of such issuance and payment under this clause (II) (the “</w:t>
      </w:r>
      <w:r>
        <w:rPr>
          <w:rFonts w:ascii="Times New Roman;Times;Serif" w:hAnsi="Times New Roman;Times;Serif"/>
          <w:b/>
          <w:i w:val="false"/>
          <w:caps w:val="false"/>
          <w:smallCaps w:val="false"/>
          <w:sz w:val="20"/>
        </w:rPr>
        <w:t>Buy-In Payment Amount</w:t>
      </w:r>
      <w:r>
        <w:rPr>
          <w:rFonts w:ascii="Times New Roman;Times;Serif" w:hAnsi="Times New Roman;Times;Serif"/>
          <w:b w:val="false"/>
          <w:i w:val="false"/>
          <w:caps w:val="false"/>
          <w:smallCaps w:val="false"/>
          <w:sz w:val="20"/>
        </w:rPr>
        <w:t>”).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Ordinary Shares (or to electronically deliver such Ordinary Shares) upon the conversion of this Note as required pursuant to the terms hereof.</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jc w:val="center"/>
        <w:rPr/>
      </w:pPr>
      <w:r>
        <w:rPr/>
        <w:t>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Registration; Book-Entry</w:t>
      </w:r>
      <w:r>
        <w:rPr>
          <w:rFonts w:ascii="Times New Roman;Times;Serif" w:hAnsi="Times New Roman;Times;Serif"/>
          <w:b w:val="false"/>
          <w:i w:val="false"/>
          <w:caps w:val="false"/>
          <w:smallCaps w:val="false"/>
          <w:sz w:val="20"/>
        </w:rPr>
        <w:t>. The Company shall maintain a register (the “</w:t>
      </w:r>
      <w:r>
        <w:rPr>
          <w:rFonts w:ascii="Times New Roman;Times;Serif" w:hAnsi="Times New Roman;Times;Serif"/>
          <w:b/>
          <w:i w:val="false"/>
          <w:caps w:val="false"/>
          <w:smallCaps w:val="false"/>
          <w:sz w:val="20"/>
        </w:rPr>
        <w:t>Register</w:t>
      </w:r>
      <w:r>
        <w:rPr>
          <w:rFonts w:ascii="Times New Roman;Times;Serif" w:hAnsi="Times New Roman;Times;Serif"/>
          <w:b w:val="false"/>
          <w:i w:val="false"/>
          <w:caps w:val="false"/>
          <w:smallCaps w:val="false"/>
          <w:sz w:val="20"/>
        </w:rPr>
        <w:t>”) for the recordation of the names and addresses of the holders of each Note and the principal amount of the Notes held by such holders (the “</w:t>
      </w:r>
      <w:r>
        <w:rPr>
          <w:rFonts w:ascii="Times New Roman;Times;Serif" w:hAnsi="Times New Roman;Times;Serif"/>
          <w:b/>
          <w:i w:val="false"/>
          <w:caps w:val="false"/>
          <w:smallCaps w:val="false"/>
          <w:sz w:val="20"/>
        </w:rPr>
        <w:t>Registered Notes</w:t>
      </w:r>
      <w:r>
        <w:rPr>
          <w:rFonts w:ascii="Times New Roman;Times;Serif" w:hAnsi="Times New Roman;Times;Serif"/>
          <w:b w:val="false"/>
          <w:i w:val="false"/>
          <w:caps w:val="false"/>
          <w:smallCaps w:val="false"/>
          <w:sz w:val="20"/>
        </w:rPr>
        <w:t>”). The entries in the Register shall be conclusive and binding for all purposes absent manifest error. The Company and the holders of the Notes shall treat each Person whose name is recorded in the Register as the owner of a Note for all purposes (including, without limitation, the right to receive payments of Principal and Default Interest hereunder) notwithstanding notice to the contrary. A Registered Note may be assigned, transferred or sold in whole or in part only by registration of such assignment or sale on the Register. Upon its receipt of a written request to assign, transfer or sell all or part of any Registered Note by the holder thereof, the Company shall record the information contained therein in the Register and issue one or more new Registered Notes in the same aggregate principal amount as the principal amount of the surrendered Registered Note to the designated assignee or transferee pursuant to Section 19, provided that if the Company does not so record an assignment, transfer or sale (as the case may be) of all or part of any Registered Note within two (2) Business Days of such a request, then the Register shall be automatically deemed updated to reflect such assignment, transfer or sale (as the case may be). Notwithstanding anything to the contrary set forth in this Section 3, following conversion of any portion of this Note in accordance with the terms hereof, the Holder shall not be required to physically surrender this Note to the Company unless (A) the full Conversion Amount represented by this Note is being converted (in which event this Note shall be delivered to the Company following conversion thereof as contemplated by Section 3(c)(i)) or (B) the Holder has provided the Company with prior written notice (which notice may be included in a Conversion Notice) requesting reissuance of this Note upon physical surrender of this Note. The Holder and the Company shall maintain records showing the Principal, Default Interest and Late Charges converted and/or paid (as the case may be) and the dates of such conversions, and/or payments (as the case may be) or shall use such other method, reasonably satisfactory to the Holder and the Company, so as not to require physical surrender of this Note upon conversion. If the Company does not update the Register to record such Principal, Default Interest and Late Charges converted and/or paid (as the case may be) and the dates of such conversions, and/or payments (as the case may be) within two (2) Business Days of such occurrence, then the Register shall be automatically deemed updated to reflect such occurrence.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Pro Rata Conversion; Disputes</w:t>
      </w:r>
      <w:r>
        <w:rPr>
          <w:rFonts w:ascii="Times New Roman;Times;Serif" w:hAnsi="Times New Roman;Times;Serif"/>
          <w:b w:val="false"/>
          <w:i w:val="false"/>
          <w:caps w:val="false"/>
          <w:smallCaps w:val="false"/>
          <w:sz w:val="20"/>
        </w:rPr>
        <w:t>. In the event that the Company receives a Conversion Notice from more than one holder of Notes for the same Conversion Date and the Company can convert some, but not all, of such portions of the Notes submitted for conversion, the Company, subject to Section 3(d), shall convert from each holder of Notes electing to have Notes converted on such date a pro rata amount of such holder’s portion of its Notes submitted for conversion based on the principal amount of Notes submitted for conversion on such date by such holder relative to the aggregate principal amount of all Notes submitted for conversion on such date. In the event of a dispute as to the number of Ordinary Shares issuable to the Holder in connection with a conversion of this Note, the Company shall issue to the Holder the number of Ordinary Shares not in dispute and resolve such dispute in accordance with Section 24.</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jc w:val="center"/>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Limitations on Conversions</w:t>
      </w:r>
      <w:r>
        <w:rPr>
          <w:rFonts w:ascii="Times New Roman;Times;Serif" w:hAnsi="Times New Roman;Times;Serif"/>
          <w:b w:val="false"/>
          <w:i w:val="false"/>
          <w:caps w:val="false"/>
          <w:smallCaps w:val="false"/>
          <w:sz w:val="20"/>
        </w:rPr>
        <w:t>. The Company shall not effect the conversion of any portion of this Note, and the Holder shall not have the right to convert any portion of this Note pursuant to the terms and conditions of this Note and any such conversion shall be null and void and treated as if never made, to the extent that after giving effect to such conversion, the Holder together with the other Attribution Parties collectively would beneficially own in excess of 9.99% (the “</w:t>
      </w:r>
      <w:r>
        <w:rPr>
          <w:rFonts w:ascii="Times New Roman;Times;Serif" w:hAnsi="Times New Roman;Times;Serif"/>
          <w:b/>
          <w:i w:val="false"/>
          <w:caps w:val="false"/>
          <w:smallCaps w:val="false"/>
          <w:sz w:val="20"/>
        </w:rPr>
        <w:t>Maximum Percentage</w:t>
      </w:r>
      <w:r>
        <w:rPr>
          <w:rFonts w:ascii="Times New Roman;Times;Serif" w:hAnsi="Times New Roman;Times;Serif"/>
          <w:b w:val="false"/>
          <w:i w:val="false"/>
          <w:caps w:val="false"/>
          <w:smallCaps w:val="false"/>
          <w:sz w:val="20"/>
        </w:rPr>
        <w:t>”) of the Ordinary Shares outstanding immediately after giving effect to such conversion. For purposes of the foregoing sentence, the aggregate number of Ordinary Shares beneficially owned by the Holder and the other Attribution Parties shall include the number of Ordinary Shares held by the Holder and all other Attribution Parties plus the number of Ordinary Shares issuable upon conversion of this Note with respect to which the determination of such sentence is being made, but shall exclude Ordinary Shares which would be issuable upon (A) conversion of the remaining, nonconverted portion of this Note beneficially owned by the Holder or any of the other Attribution Parties and (B) exercise or conversion of the unexercised or nonconverted portion of any other securities of the Company (including, without limitation, any convertible notes or convertible preferred shares or warrants) beneficially owned by the Holder or any other Attribution Party subject to a limitation on conversion or exercise analogous to the limitation contained in this Section 3(d). For purposes of this Section 3(d), beneficial ownership shall be calculated in accordance with Section 13(d) of the 1934 Act. For purposes of determining the number of outstanding Ordinary Shares the Holder may acquire upon the conversion of this Note without exceeding the Maximum Percentage, the Holder may rely on the number of outstanding Ordinary Shares as reflected in (x) the Company’s most recent Annual Report on Form 20-F, Report of Foreign Private Issuer on Form 6-K or other public filing with the SEC, as the case may be, (y) a more recent public announcement by the Company or (z) any other written notice by the Company or the Transfer Agent, if any, setting forth the number of Ordinary Shares outstanding (the “</w:t>
      </w:r>
      <w:r>
        <w:rPr>
          <w:rFonts w:ascii="Times New Roman;Times;Serif" w:hAnsi="Times New Roman;Times;Serif"/>
          <w:b/>
          <w:i w:val="false"/>
          <w:caps w:val="false"/>
          <w:smallCaps w:val="false"/>
          <w:sz w:val="20"/>
        </w:rPr>
        <w:t>Reported Outstanding Share Number</w:t>
      </w:r>
      <w:r>
        <w:rPr>
          <w:rFonts w:ascii="Times New Roman;Times;Serif" w:hAnsi="Times New Roman;Times;Serif"/>
          <w:b w:val="false"/>
          <w:i w:val="false"/>
          <w:caps w:val="false"/>
          <w:smallCaps w:val="false"/>
          <w:sz w:val="20"/>
        </w:rPr>
        <w:t>”). If the Company receives a Conversion Notice from the Holder at a time when the actual number of outstanding Ordinary Shares is less than the Reported Outstanding Share Number, the Company shall notify the Holder in writing of the number of Ordinary Shares then outstanding and, to the extent that such Conversion Notice would otherwise cause the Holder’s beneficial ownership, as determined pursuant to this Section 3(d), to exceed the Maximum Percentage, the Holder must notify the Company of a reduced number of Ordinary Shares to be purchased pursuant to such Conversion Notice. For any reason at any time, upon the written or oral request of the Holder, the Company shall within one (1) Business Day confirm orally and in writing or by electronic mail to the Holder the number of Ordinary Shares then outstanding. In any case, the number of outstanding Ordinary Shares shall be determined after giving effect to the conversion or exercise of securities of the Company, including this Note, by the Holder and any other Attribution Party since the date as of which the Reported Outstanding Share Number was reported. In the event that the issuance of Ordinary Shares to the Holder upon conversion of this Note results in the Holder and the other Attribution Parties being deemed to beneficially own, in the aggregate, more than the Maximum Percentage of the number of outstanding Ordinary Shares (as determined under Section 13(d) of the 1934 Act), the number of shares so issued by which the Holder’s and the other Attribution Parties’ aggregate beneficial ownership exceeds the Maximum Percentage (the “</w:t>
      </w:r>
      <w:r>
        <w:rPr>
          <w:rFonts w:ascii="Times New Roman;Times;Serif" w:hAnsi="Times New Roman;Times;Serif"/>
          <w:b/>
          <w:i w:val="false"/>
          <w:caps w:val="false"/>
          <w:smallCaps w:val="false"/>
          <w:sz w:val="20"/>
        </w:rPr>
        <w:t>Excess Shares</w:t>
      </w:r>
      <w:r>
        <w:rPr>
          <w:rFonts w:ascii="Times New Roman;Times;Serif" w:hAnsi="Times New Roman;Times;Serif"/>
          <w:b w:val="false"/>
          <w:i w:val="false"/>
          <w:caps w:val="false"/>
          <w:smallCaps w:val="false"/>
          <w:sz w:val="20"/>
        </w:rPr>
        <w:t>”) shall be deemed null and void and shall be cancelled ab initio, and the Holder shall not have the power to vote or to transfer the Excess Shares. Upon delivery of a written notice to the Company, the Holder may from time to time increase (with such increase not effective until the sixty-first (61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day after delivery of such notice) or decrease the Maximum Percentage to any other percentage not in excess of 9.99% as specified in such notice; provided that (i) any such increase in the Maximum Percentage will not be effective until the sixty-first (61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day after such notice is delivered to the Company and (ii) any such increase or decrease will apply only to the Holder and the other Attribution Parties and not to any other holder of Notes that is not an Attribution Party of the Holder. For purposes of clarity, the Ordinary Shares issuable pursuant to the terms of this Note in excess of the Maximum Percentage shall not be deemed to be beneficially owned by the Holder for any purpose including for purposes of Section 13(d) or Rule 16a-1(a)(1) of the 1934 Act. No prior inability to convert this Note pursuant to this paragraph shall have any effect on the applicability of the provisions of this paragraph with respect to any subsequent determination of convertibility. The provisions of this paragraph shall be construed and implemented in a manner otherwise than in strict conformity with the terms of this Section 3(d) to the extent necessary to correct this paragraph (or any portion of this paragraph) which may be defective or inconsistent with the intended beneficial ownership limitation contained in this Section 3(d) or to make changes or supplements necessary or desirable to properly give effect to such limitation. The limitation contained in this paragraph may not be waived, modified or amended and shall apply to a successor holder of this Note.</w:t>
      </w:r>
    </w:p>
    <w:p>
      <w:pPr>
        <w:pStyle w:val="TextBody"/>
        <w:bidi w:val="0"/>
        <w:spacing w:before="0" w:after="0"/>
        <w:ind w:left="705" w:right="0" w:hanging="0"/>
        <w:jc w:val="both"/>
        <w:rPr>
          <w:caps w:val="false"/>
          <w:smallCaps w:val="false"/>
        </w:rPr>
      </w:pPr>
      <w:r>
        <w:rPr>
          <w:caps w:val="false"/>
          <w:smallCaps w:val="false"/>
        </w:rPr>
        <w:t> </w:t>
      </w:r>
    </w:p>
    <w:p>
      <w:pPr>
        <w:pStyle w:val="TextBody"/>
        <w:bidi w:val="0"/>
        <w:spacing w:before="0" w:after="0"/>
        <w:ind w:left="705"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jc w:val="center"/>
        <w:rPr/>
      </w:pPr>
      <w:r>
        <w:rPr/>
        <w:t> </w:t>
      </w:r>
    </w:p>
    <w:p>
      <w:pPr>
        <w:pStyle w:val="TextBody"/>
        <w:bidi w:val="0"/>
        <w:spacing w:before="0" w:after="0"/>
        <w:ind w:left="705" w:right="0" w:hanging="0"/>
        <w:jc w:val="both"/>
        <w:rPr>
          <w:caps w:val="false"/>
          <w:smallCaps w:val="false"/>
        </w:rPr>
      </w:pPr>
      <w:r>
        <w:rPr>
          <w:caps w:val="false"/>
          <w:smallCaps w:val="false"/>
        </w:rPr>
        <w:t> </w:t>
      </w:r>
    </w:p>
    <w:tbl>
      <w:tblPr>
        <w:tblW w:w="3273" w:type="dxa"/>
        <w:jc w:val="left"/>
        <w:tblInd w:w="0" w:type="dxa"/>
        <w:tblLayout w:type="fixed"/>
        <w:tblCellMar>
          <w:top w:w="0" w:type="dxa"/>
          <w:left w:w="0" w:type="dxa"/>
          <w:bottom w:w="0" w:type="dxa"/>
          <w:right w:w="0" w:type="dxa"/>
        </w:tblCellMar>
      </w:tblPr>
      <w:tblGrid>
        <w:gridCol w:w="38"/>
        <w:gridCol w:w="275"/>
        <w:gridCol w:w="296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(e)</w:t>
            </w:r>
          </w:p>
        </w:tc>
        <w:tc>
          <w:tcPr>
            <w:tcW w:w="2960" w:type="dxa"/>
            <w:tcBorders/>
            <w:vAlign w:val="center"/>
          </w:tcPr>
          <w:p>
            <w:pPr>
              <w:pStyle w:val="TableContents"/>
              <w:bidi w:val="0"/>
              <w:spacing w:before="0" w:after="283"/>
              <w:jc w:val="both"/>
              <w:rPr/>
            </w:pPr>
            <w:r>
              <w:rPr>
                <w:u w:val="single"/>
              </w:rPr>
              <w:t>Right of Alternate Conversion</w:t>
            </w:r>
            <w:r>
              <w:rPr/>
              <w:t>.</w:t>
            </w:r>
          </w:p>
        </w:tc>
      </w:tr>
    </w:tbl>
    <w:p>
      <w:pPr>
        <w:pStyle w:val="TextBody"/>
        <w:bidi w:val="0"/>
        <w:spacing w:before="0" w:after="0"/>
        <w:jc w:val="left"/>
        <w:rPr>
          <w:caps w:val="false"/>
          <w:smallCaps w:val="false"/>
        </w:rPr>
      </w:pPr>
      <w:r>
        <w:rPr>
          <w:caps w:val="false"/>
          <w:smallCaps w:val="false"/>
        </w:rPr>
        <w:t> </w:t>
      </w:r>
    </w:p>
    <w:tbl>
      <w:tblPr>
        <w:tblW w:w="1113" w:type="dxa"/>
        <w:jc w:val="left"/>
        <w:tblInd w:w="0" w:type="dxa"/>
        <w:tblLayout w:type="fixed"/>
        <w:tblCellMar>
          <w:top w:w="0" w:type="dxa"/>
          <w:left w:w="0" w:type="dxa"/>
          <w:bottom w:w="0" w:type="dxa"/>
          <w:right w:w="0" w:type="dxa"/>
        </w:tblCellMar>
      </w:tblPr>
      <w:tblGrid>
        <w:gridCol w:w="38"/>
        <w:gridCol w:w="230"/>
        <w:gridCol w:w="8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845" w:type="dxa"/>
            <w:tcBorders/>
            <w:vAlign w:val="center"/>
          </w:tcPr>
          <w:p>
            <w:pPr>
              <w:pStyle w:val="TableContents"/>
              <w:bidi w:val="0"/>
              <w:spacing w:before="0" w:after="283"/>
              <w:jc w:val="both"/>
              <w:rPr/>
            </w:pPr>
            <w:r>
              <w:rPr>
                <w:u w:val="single"/>
              </w:rPr>
              <w:t>General</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Alternate Optional Conversion.</w:t>
      </w:r>
      <w:r>
        <w:rPr>
          <w:rFonts w:ascii="Times New Roman;Times;Serif" w:hAnsi="Times New Roman;Times;Serif"/>
          <w:b w:val="false"/>
          <w:i w:val="false"/>
          <w:caps w:val="false"/>
          <w:smallCaps w:val="false"/>
          <w:sz w:val="20"/>
        </w:rPr>
        <w:t xml:space="preserve"> Subject to Section 3(d), at any time the Holder may, at the Holder’s option, convert (each, an “</w:t>
      </w:r>
      <w:r>
        <w:rPr>
          <w:rFonts w:ascii="Times New Roman;Times;Serif" w:hAnsi="Times New Roman;Times;Serif"/>
          <w:b/>
          <w:i w:val="false"/>
          <w:caps w:val="false"/>
          <w:smallCaps w:val="false"/>
          <w:sz w:val="20"/>
        </w:rPr>
        <w:t>Alternate Optional Conversion</w:t>
      </w:r>
      <w:r>
        <w:rPr>
          <w:rFonts w:ascii="Times New Roman;Times;Serif" w:hAnsi="Times New Roman;Times;Serif"/>
          <w:b w:val="false"/>
          <w:i w:val="false"/>
          <w:caps w:val="false"/>
          <w:smallCaps w:val="false"/>
          <w:sz w:val="20"/>
        </w:rPr>
        <w:t>”, and the date of such Alternate Optional Conversion, each, an “</w:t>
      </w:r>
      <w:r>
        <w:rPr>
          <w:rFonts w:ascii="Times New Roman;Times;Serif" w:hAnsi="Times New Roman;Times;Serif"/>
          <w:b/>
          <w:i w:val="false"/>
          <w:caps w:val="false"/>
          <w:smallCaps w:val="false"/>
          <w:sz w:val="20"/>
        </w:rPr>
        <w:t>Alternate Optional Conversion Date</w:t>
      </w:r>
      <w:r>
        <w:rPr>
          <w:rFonts w:ascii="Times New Roman;Times;Serif" w:hAnsi="Times New Roman;Times;Serif"/>
          <w:b w:val="false"/>
          <w:i w:val="false"/>
          <w:caps w:val="false"/>
          <w:smallCaps w:val="false"/>
          <w:sz w:val="20"/>
        </w:rPr>
        <w:t>”) all, or any part of, the Conversion Amount (such portion of the Conversion Amount subject to such Alternate Optional Conversion, the “</w:t>
      </w:r>
      <w:r>
        <w:rPr>
          <w:rFonts w:ascii="Times New Roman;Times;Serif" w:hAnsi="Times New Roman;Times;Serif"/>
          <w:b/>
          <w:i w:val="false"/>
          <w:caps w:val="false"/>
          <w:smallCaps w:val="false"/>
          <w:sz w:val="20"/>
        </w:rPr>
        <w:t>Alternate Optional Conversion Amount</w:t>
      </w:r>
      <w:r>
        <w:rPr>
          <w:rFonts w:ascii="Times New Roman;Times;Serif" w:hAnsi="Times New Roman;Times;Serif"/>
          <w:b w:val="false"/>
          <w:i w:val="false"/>
          <w:caps w:val="false"/>
          <w:smallCaps w:val="false"/>
          <w:sz w:val="20"/>
        </w:rPr>
        <w:t>”) into Ordinary Shares at the Alternate Conversion Price.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Alternate Conversion Upon an Event of Default.</w:t>
      </w:r>
      <w:r>
        <w:rPr>
          <w:rFonts w:ascii="Times New Roman;Times;Serif" w:hAnsi="Times New Roman;Times;Serif"/>
          <w:b w:val="false"/>
          <w:i w:val="false"/>
          <w:caps w:val="false"/>
          <w:smallCaps w:val="false"/>
          <w:sz w:val="20"/>
        </w:rPr>
        <w:t xml:space="preserve"> Subject to Section 3(d), at any time after the occurrence of an Event of Default (regardless of whether such Event of Default has been cured, or if the Company has delivered an Event of Default Notice (as defined below) to the Holder or if the Holder has delivered an Event of Default Redemption Notice (as defined below) to the Company or otherwise notified the Company that an Event of Default has occurred), the Holder may, at the Holder’s option, convert (each, an “</w:t>
      </w:r>
      <w:r>
        <w:rPr>
          <w:rFonts w:ascii="Times New Roman;Times;Serif" w:hAnsi="Times New Roman;Times;Serif"/>
          <w:b/>
          <w:i w:val="false"/>
          <w:caps w:val="false"/>
          <w:smallCaps w:val="false"/>
          <w:sz w:val="20"/>
        </w:rPr>
        <w:t>Alternate Event of Default Conversion</w:t>
      </w:r>
      <w:r>
        <w:rPr>
          <w:rFonts w:ascii="Times New Roman;Times;Serif" w:hAnsi="Times New Roman;Times;Serif"/>
          <w:b w:val="false"/>
          <w:i w:val="false"/>
          <w:caps w:val="false"/>
          <w:smallCaps w:val="false"/>
          <w:sz w:val="20"/>
        </w:rPr>
        <w:t>” and together with each Alternate Optional Conversion, each, an “</w:t>
      </w:r>
      <w:r>
        <w:rPr>
          <w:rFonts w:ascii="Times New Roman;Times;Serif" w:hAnsi="Times New Roman;Times;Serif"/>
          <w:b/>
          <w:i w:val="false"/>
          <w:caps w:val="false"/>
          <w:smallCaps w:val="false"/>
          <w:sz w:val="20"/>
        </w:rPr>
        <w:t>Alternate Conversion</w:t>
      </w:r>
      <w:r>
        <w:rPr>
          <w:rFonts w:ascii="Times New Roman;Times;Serif" w:hAnsi="Times New Roman;Times;Serif"/>
          <w:b w:val="false"/>
          <w:i w:val="false"/>
          <w:caps w:val="false"/>
          <w:smallCaps w:val="false"/>
          <w:sz w:val="20"/>
        </w:rPr>
        <w:t>”, and the date of such Alternate Event of Default Conversion, each, an “</w:t>
      </w:r>
      <w:r>
        <w:rPr>
          <w:rFonts w:ascii="Times New Roman;Times;Serif" w:hAnsi="Times New Roman;Times;Serif"/>
          <w:b/>
          <w:i w:val="false"/>
          <w:caps w:val="false"/>
          <w:smallCaps w:val="false"/>
          <w:sz w:val="20"/>
        </w:rPr>
        <w:t>Alternate Event of Default Conversion Date</w:t>
      </w:r>
      <w:r>
        <w:rPr>
          <w:rFonts w:ascii="Times New Roman;Times;Serif" w:hAnsi="Times New Roman;Times;Serif"/>
          <w:b w:val="false"/>
          <w:i w:val="false"/>
          <w:caps w:val="false"/>
          <w:smallCaps w:val="false"/>
          <w:sz w:val="20"/>
        </w:rPr>
        <w:t>”, and together with each Alternate Optional Conversion Date, each, an “</w:t>
      </w:r>
      <w:r>
        <w:rPr>
          <w:rFonts w:ascii="Times New Roman;Times;Serif" w:hAnsi="Times New Roman;Times;Serif"/>
          <w:b/>
          <w:i w:val="false"/>
          <w:caps w:val="false"/>
          <w:smallCaps w:val="false"/>
          <w:sz w:val="20"/>
        </w:rPr>
        <w:t>Alternate Conversion Date</w:t>
      </w:r>
      <w:r>
        <w:rPr>
          <w:rFonts w:ascii="Times New Roman;Times;Serif" w:hAnsi="Times New Roman;Times;Serif"/>
          <w:b w:val="false"/>
          <w:i w:val="false"/>
          <w:caps w:val="false"/>
          <w:smallCaps w:val="false"/>
          <w:sz w:val="20"/>
        </w:rPr>
        <w:t>”) all, or any part of, the Conversion Amount (such portion of the Conversion Amount subject to such Alternate Conversion, the “</w:t>
      </w:r>
      <w:r>
        <w:rPr>
          <w:rFonts w:ascii="Times New Roman;Times;Serif" w:hAnsi="Times New Roman;Times;Serif"/>
          <w:b/>
          <w:i w:val="false"/>
          <w:caps w:val="false"/>
          <w:smallCaps w:val="false"/>
          <w:sz w:val="20"/>
        </w:rPr>
        <w:t>Alternate Event of Default Conversion Amount</w:t>
      </w:r>
      <w:r>
        <w:rPr>
          <w:rFonts w:ascii="Times New Roman;Times;Serif" w:hAnsi="Times New Roman;Times;Serif"/>
          <w:b w:val="false"/>
          <w:i w:val="false"/>
          <w:caps w:val="false"/>
          <w:smallCaps w:val="false"/>
          <w:sz w:val="20"/>
        </w:rPr>
        <w:t>” and together with each Alternate Optional Conversion Amount, each, an “</w:t>
      </w:r>
      <w:r>
        <w:rPr>
          <w:rFonts w:ascii="Times New Roman;Times;Serif" w:hAnsi="Times New Roman;Times;Serif"/>
          <w:b/>
          <w:i w:val="false"/>
          <w:caps w:val="false"/>
          <w:smallCaps w:val="false"/>
          <w:sz w:val="20"/>
        </w:rPr>
        <w:t>Alternate Conversion Amount</w:t>
      </w:r>
      <w:r>
        <w:rPr>
          <w:rFonts w:ascii="Times New Roman;Times;Serif" w:hAnsi="Times New Roman;Times;Serif"/>
          <w:b w:val="false"/>
          <w:i w:val="false"/>
          <w:caps w:val="false"/>
          <w:smallCaps w:val="false"/>
          <w:sz w:val="20"/>
        </w:rPr>
        <w:t>”) into Ordinary Shares at the Alternate Conversion Price.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Mechanics of Alternate Conversion</w:t>
      </w:r>
      <w:r>
        <w:rPr>
          <w:rFonts w:ascii="Times New Roman;Times;Serif" w:hAnsi="Times New Roman;Times;Serif"/>
          <w:b w:val="false"/>
          <w:i w:val="false"/>
          <w:caps w:val="false"/>
          <w:smallCaps w:val="false"/>
          <w:sz w:val="20"/>
        </w:rPr>
        <w:t>. On any Alternate Conversion Date, the Holder may voluntarily convert any Alternate Conversion Amount pursuant to Section 3(c) (with “Alternate Conversion Price” replacing “Conversion Price” for all purposes hereunder with respect to such Alternate Conversion and, solely with respect to the calculation of the number of Ordinary Shares issuable upon conversion of any Conversion Amount in an Alternate Event of Default Conversion, with “Redemption Premium of the Conversion Amount” replacing “Conversion Amount” in clause (x) of the definition of Conversion Rate above with respect to such Alternate Event of Default Conversion) by designating in the Conversion Notice delivered pursuant to this Section 3(e) of this Note that the Holder is electing to use the Alternate Conversion Price for such conversion; provided that in the event of the Conversion Floor Price Condition, on the applicable Alternate Conversion Date the Company shall also deliver to the Holder the applicable Alternate Conversion Floor Amount (or, at the option of the Company, effect a Conversion Floor Price Deferral with respect thereto). Notwithstanding anything to the contrary in this Section 3(e), but subject to Section 3(d), until the Company delivers Ordinary Shares representing the applicable Alternate Conversion Amount to the Holder, such Alternate Conversion Amount may be converted by the Holder into Ordinary Shares pursuant to Section 3(c) without regard to this Section 3(e). In the event of an Alternate Conversion of any portion of this Note under this Section 3(e),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3(e), together with the Alternate Conversion Price used in such Alternate Conversion, as applicable, is intended by the parties to be, and shall be deemed, a reasonable estimate of, the Holder’s actual loss of its investment opportunity and not as a penalty.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jc w:val="center"/>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RIGHTS UPON EVENT OF DEFAULT</w:t>
      </w:r>
      <w:r>
        <w:rPr>
          <w:rFonts w:ascii="Times New Roman;Times;Serif" w:hAnsi="Times New Roman;Times;Serif"/>
          <w:b w:val="false"/>
          <w:i w:val="false"/>
          <w:caps w:val="false"/>
          <w:smallCaps w:val="false"/>
          <w:sz w:val="20"/>
        </w:rPr>
        <w:t>.</w:t>
      </w:r>
    </w:p>
    <w:p>
      <w:pPr>
        <w:pStyle w:val="TextBody"/>
        <w:bidi w:val="0"/>
        <w:spacing w:before="0" w:after="0"/>
        <w:ind w:left="705"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Each of the following events shall constitute an “</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and each of the events in clauses (ix), (x) and (xi) shall constitute a “</w:t>
      </w:r>
      <w:r>
        <w:rPr>
          <w:rFonts w:ascii="Times New Roman;Times;Serif" w:hAnsi="Times New Roman;Times;Serif"/>
          <w:b/>
          <w:i w:val="false"/>
          <w:caps w:val="false"/>
          <w:smallCaps w:val="false"/>
          <w:sz w:val="20"/>
        </w:rPr>
        <w:t>Bankruptcy Event of Default</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failure of the applicable Registration Statement to be filed with the SEC on or prior to the date that is five (5) days after the applicable Filing Deadline (as defined in the Registration Rights Agreement) or the failure of the applicable Registration Statement to be declared effective by the SEC on or prior to the date that is five (5) days after the applicable Effectiveness Deadline;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while the applicable Registration Statement is required to be maintained effective pursuant to the terms of the Registration Rights Agreement, the effectiveness of the applicable Registration Statement lapses for any reason (including, without limitation, the issuance of a stop order) or such Registration Statement (or the prospectus contained therein) is unavailable to any holder of Registrable Securities for sale of all of such holder’s Registrable Securities in accordance with the terms of the Registration Rights Agreement, and such lapse or unavailability continues for a period of ten (10) consecutive days or for more than an aggregate of thirty (30) days in any 365-day period (excluding days during an Allowable Grace Period (as defined in the Registration Rights Agreement));</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suspension (or threatened suspension) from trading or the failure (or threatened failure) of the Ordinary Shares to be trading or listed (as applicable) on an Eligible Market for a period of five (5) consecutive Trading Days;</w:t>
      </w:r>
    </w:p>
    <w:p>
      <w:pPr>
        <w:pStyle w:val="TextBody"/>
        <w:bidi w:val="0"/>
        <w:spacing w:before="0" w:after="0"/>
        <w:ind w:left="1425" w:right="0" w:firstLine="1080"/>
        <w:jc w:val="righ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Company’s (A) failure to cure a Conversion Failure by delivery of the required number of Ordinary Shares within five (5) Trading Days after the applicable Conversion Date or (B) notice, written or oral, to any holder of the Notes, including, without limitation, by way of public announcement or through any of its agents, at any time, of its intention not to comply, as required, with a request for conversion of any Notes into Ordinary Shares that is requested in accordance with the provisions of the Notes, other than pursuant to Section 3(d);</w:t>
      </w:r>
    </w:p>
    <w:p>
      <w:pPr>
        <w:pStyle w:val="TextBody"/>
        <w:bidi w:val="0"/>
        <w:spacing w:before="0" w:after="0"/>
        <w:ind w:left="1425" w:right="0" w:firstLine="1080"/>
        <w:jc w:val="righ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except to the extent the Company is in compliance with Section 12(b) below, at any time following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consecutive day that the Holder’s Authorized Share Allocation (as defined in Section 12(a) below) is less than 125% of the number of Ordinary Shares that the Holder would be entitled to receive upon a conversion of the full Conversion Amount of this Note (without regard to any limitations on conversion set forth in Section 3(d) or otherwise);</w:t>
      </w:r>
    </w:p>
    <w:p>
      <w:pPr>
        <w:pStyle w:val="TextBody"/>
        <w:bidi w:val="0"/>
        <w:spacing w:before="0" w:after="0"/>
        <w:ind w:left="1425" w:right="0" w:firstLine="1080"/>
        <w:jc w:val="righ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Company’s or any Subsidiary’s failure to pay to the Holder any amount of Principal, Default Interest, Late Charges or other amounts when and as due under this Note (including, without limitation, the Company’s or any Subsidiary’s failure to pay any redemption payments or amounts hereunder), or any other Transaction Document, and/or any other Exchange Document, as applicable, or any other agreement, document, certificate or other instrument delivered in connection with the transactions contemplated hereby and thereby, except, in the case of a failure to pay Default Interest and Late Charges when and as due, in which case only if such failure remains uncured for a period of at least five (5) Trading Days;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jc w:val="center"/>
        <w:rPr/>
      </w:pPr>
      <w:r>
        <w:rPr/>
        <w:t>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Company fails to remove any restrictive legend on any certificate or any Ordinary Shares issued to the Holder upon conversion or exercise (as the case may be) of any Securities (as defined in the Existing Securities Purchase Agreements) acquired by the Holder under the Existing Securities Purchase Agreements (including this Note) as and when required by such Securities or the Existing Securities Purchase Agreements, unless otherwise then prohibited by applicable federal securities laws, and any such failure remains uncured for at least five (5) days;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occurrence of any default under, redemption of or acceleration prior to maturity of at least an aggregate of $150,000 of Indebtedness (as defined in the Existing Securities Purchase Agreements) of the Company or any of its Subsidiaries, other than with respect to any Other Notes;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bankruptcy, insolvency, reorganization or liquidation proceedings or other proceedings for the relief of debtors shall be instituted by or against the Company or any Subsidiary and, if instituted against the Company or any Subsidiary by a third party, shall not be dismissed within thirty (30) days of their initiation;</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the commencement by the Company or any Subsidiary of a voluntary case or proceeding under any applicable federal, state or foreign bankruptcy, insolvency, reorganization or other similar law or of any other case or proceeding to be adjudicated a bankrupt or insolvent, or the consent by it to the entry of a decree, order, judgment or other similar document in respect of the Company or any Subsidiary in an involuntary case or proceeding under any applicable federal, state or foreign bankruptcy, insolvency, reorganization or other similar law or to the commencement of any bankruptcy or insolvency case or proceeding against it, or the filing by it of a petition or answer or consent seeking reorganization or relief under any applicable federal, state or foreign law, or the consent by it to the filing of such petition or to the appointment of or taking possession by a custodian, receiver, liquidator, assignee, trustee, sequestrator or other similar official of the Company or any Subsidiary or of any substantial part of its property, or the making by it of an assignment for the benefit of creditors, or the execution of a composition of debts, or the occurrence of any other similar federal, state or foreign proceeding, or the admission by it in writing of its inability to pay its debts generally as they become due, the taking of corporate action by the Company or any Subsidiary in furtherance of any such action or the taking of any action by any Person to commence a Uniform Commercial Code foreclosure sale or any other similar action under federal, state or foreign law;</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the entry by a court of (i) a decree, order, judgment or other similar document in respect of the Company or any Subsidiary of a voluntary or involuntary case or proceeding under any applicable federal, state or foreign bankruptcy, insolvency, reorganization or other similar law or (ii) a decree, order, judgment or other similar document adjudging the Company or any Subsidiary as bankrupt or insolvent, or approving as properly filed a petition seeking liquidation, reorganization, arrangement, adjustment or composition of or in respect of the Company or any Subsidiary under any applicable federal, state or foreign law or (iii) a decree, order, judgment or other similar document appointing a custodian, receiver, liquidator, assignee, trustee, sequestrator or other similar official of the Company or any Subsidiary or of any substantial part of its property, or ordering the winding up or liquidation of its affairs, and the continuance of any such decree, order, judgment or other similar document or any such other decree, order, judgment or other similar document unstayed and in effect for a period of thirty (30) consecutive days;</w:t>
      </w:r>
    </w:p>
    <w:p>
      <w:pPr>
        <w:pStyle w:val="TextBody"/>
        <w:bidi w:val="0"/>
        <w:spacing w:before="0" w:after="0"/>
        <w:ind w:left="1425" w:right="0" w:firstLine="1080"/>
        <w:jc w:val="righ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a final judgment or judgments for the payment of money aggregating in excess of $150,000 are rendered against the Company and/or any of its Subsidiaries and which judgments are not, within thirty (30) days after the entry thereof, bonded, discharged, settled or stayed pending appeal, or are not discharged within thirty (30) days after the expiration of such stay; provided, however, any judgment which is covered by insurance or an indemnity from a credit worthy party shall not be included in calculating the $150,000 amount set forth above so long as the Company provides the Holder a written statement from such insurer or indemnity provider (which written statement shall be reasonably satisfactory to the Holder) to the effect that such judgment is covered by insurance or an indemnity and the Company or such Subsidiary (as the case may be) will receive the proceeds of such insurance or indemnity within thirty (30) days of the issuance of such judgment;</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jc w:val="center"/>
        <w:rPr/>
      </w:pPr>
      <w:r>
        <w:rPr/>
        <w:t>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the Company and/or any Subsidiary, individually or in the aggregate, either (i) fails to pay, when due, or within any applicable grace period, any payment with respect to any Indebtedness in excess of $150,000 due to any third party (other than, with respect to unsecured Indebtedness only, payments contested by the Company and/or such Subsidiary (as the case may be) in good faith by proper proceedings and with respect to which adequate reserves have been set aside for the payment thereof in accordance with GAAP) or is otherwise in breach or violation of any agreement for monies owed or owing in an amount in excess of $150,000, which breach or violation permits the other party thereto to declare a default or otherwise accelerate amounts due thereunder, or (ii) suffer to exist any other circumstance or event that would, with or without the passage of time or the giving of notice, result in a default or event of default under any agreement binding the Company or any Subsidiary, which default or event of default would or is likely to have a material adverse effect on the business, assets, operations (including results thereof), liabilities, properties, condition (including financial condition) or prospects of the Company or any of its Subsidiaries, individually or in the aggregate;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other than as specifically set forth in another clause of this Section 4(a), the Company or any Subsidiary breaches any representation or warranty, in any material respect (other than representations or warranties subject to material adverse effect or materiality, which may not be breached in any respect) or any covenant or other term or condition of any Transaction Document and/or Exchange Document, as applicable, except, in the case of a breach of a covenant or other term or condition that is curable, only if such breach remains uncured for a period of five (5) consecutive Trading Days;</w:t>
      </w:r>
    </w:p>
    <w:p>
      <w:pPr>
        <w:pStyle w:val="TextBody"/>
        <w:bidi w:val="0"/>
        <w:spacing w:before="0" w:after="0"/>
        <w:ind w:left="1425" w:right="0" w:firstLine="1080"/>
        <w:jc w:val="righ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a false or inaccurate certification (including a false or inaccurate deemed certification) by the Company that either (A) the Equity Conditions are satisfied, (B) there has been no Equity Conditions Failure, or (C) as to whether any Event of Default has occurred;</w:t>
      </w:r>
    </w:p>
    <w:p>
      <w:pPr>
        <w:pStyle w:val="TextBody"/>
        <w:bidi w:val="0"/>
        <w:spacing w:before="0" w:after="0"/>
        <w:ind w:left="1425" w:right="0" w:firstLine="1080"/>
        <w:jc w:val="righ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any breach or failure in any respect by the Company or any Subsidiary to comply with any provision of Section 15 of this Note;</w:t>
      </w:r>
    </w:p>
    <w:p>
      <w:pPr>
        <w:pStyle w:val="TextBody"/>
        <w:bidi w:val="0"/>
        <w:spacing w:before="0" w:after="0"/>
        <w:ind w:left="1425" w:right="0" w:firstLine="1080"/>
        <w:jc w:val="righ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any Material Adverse Effect (as defined in the Existing Securities Purchase Agreements) occurs; or</w:t>
      </w:r>
    </w:p>
    <w:p>
      <w:pPr>
        <w:pStyle w:val="TextBody"/>
        <w:bidi w:val="0"/>
        <w:spacing w:before="0" w:after="0"/>
        <w:ind w:left="1425" w:right="0" w:firstLine="1080"/>
        <w:jc w:val="righ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any Event of Default (as defined in the Other Notes) occurs with respect to any Other Notes.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jc w:val="center"/>
        <w:rPr/>
      </w:pPr>
      <w:r>
        <w:rPr/>
        <w:t>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Notice of an Event of Default; Redemption Right</w:t>
      </w:r>
      <w:r>
        <w:rPr>
          <w:rFonts w:ascii="Times New Roman;Times;Serif" w:hAnsi="Times New Roman;Times;Serif"/>
          <w:b w:val="false"/>
          <w:i w:val="false"/>
          <w:caps w:val="false"/>
          <w:smallCaps w:val="false"/>
          <w:sz w:val="20"/>
        </w:rPr>
        <w:t>. Upon the occurrence of an Event of Default with respect to this Note or any Other Note, the Company shall within two (2) Business Days deliver written notice thereof via electronic mail and overnight courier (with next day delivery specified) (an “</w:t>
      </w:r>
      <w:r>
        <w:rPr>
          <w:rFonts w:ascii="Times New Roman;Times;Serif" w:hAnsi="Times New Roman;Times;Serif"/>
          <w:b/>
          <w:i w:val="false"/>
          <w:caps w:val="false"/>
          <w:smallCaps w:val="false"/>
          <w:sz w:val="20"/>
        </w:rPr>
        <w:t>Event of Default Notice</w:t>
      </w:r>
      <w:r>
        <w:rPr>
          <w:rFonts w:ascii="Times New Roman;Times;Serif" w:hAnsi="Times New Roman;Times;Serif"/>
          <w:b w:val="false"/>
          <w:i w:val="false"/>
          <w:caps w:val="false"/>
          <w:smallCaps w:val="false"/>
          <w:sz w:val="20"/>
        </w:rPr>
        <w:t>”) to the Holder. At any time after the earlier of the Holder’s receipt of an Event of Default Notice and the Holder becoming aware of an Event of Default, the Holder may require the Company to redeem (regardless of whether such Event of Default has been cured) all or any portion of this Note by delivering written notice thereof (the “</w:t>
      </w:r>
      <w:r>
        <w:rPr>
          <w:rFonts w:ascii="Times New Roman;Times;Serif" w:hAnsi="Times New Roman;Times;Serif"/>
          <w:b/>
          <w:i w:val="false"/>
          <w:caps w:val="false"/>
          <w:smallCaps w:val="false"/>
          <w:sz w:val="20"/>
        </w:rPr>
        <w:t>Event of Default Redemption Notice</w:t>
      </w:r>
      <w:r>
        <w:rPr>
          <w:rFonts w:ascii="Times New Roman;Times;Serif" w:hAnsi="Times New Roman;Times;Serif"/>
          <w:b w:val="false"/>
          <w:i w:val="false"/>
          <w:caps w:val="false"/>
          <w:smallCaps w:val="false"/>
          <w:sz w:val="20"/>
        </w:rPr>
        <w:t>”) to the Company, which Event of Default Redemption Notice shall indicate the portion of this Note the Holder is electing to redeem. Each portion of this Note subject to redemption by the Company pursuant to this Section 4(b) shall be redeemed by the Company at a price equal to the greater of (i) the product of (A) the Conversion Amount to be redeemed multiplied by (B) the Redemption Premium and (ii) the product of (X) the quotient of (a) the Conversion Amount to be redeemed divided by (b) the Alternate Conversion Price then in effect at such time as the Holder delivers an Event of Default Redemption Notice multiplied by (Y) the product of (1) the Redemption Premium multiplied by (2) the greatest Closing Sale Price of the Ordinary Shares on any Trading Day during the period commencing on the date immediately preceding such Event of Default and ending on the date the Company makes the entire payment required to be made under this Section 4(b) (the “</w:t>
      </w:r>
      <w:r>
        <w:rPr>
          <w:rFonts w:ascii="Times New Roman;Times;Serif" w:hAnsi="Times New Roman;Times;Serif"/>
          <w:b/>
          <w:i w:val="false"/>
          <w:caps w:val="false"/>
          <w:smallCaps w:val="false"/>
          <w:sz w:val="20"/>
        </w:rPr>
        <w:t>Event of Default Redemption Price</w:t>
      </w:r>
      <w:r>
        <w:rPr>
          <w:rFonts w:ascii="Times New Roman;Times;Serif" w:hAnsi="Times New Roman;Times;Serif"/>
          <w:b w:val="false"/>
          <w:i w:val="false"/>
          <w:caps w:val="false"/>
          <w:smallCaps w:val="false"/>
          <w:sz w:val="20"/>
        </w:rPr>
        <w:t>”). Redemptions required by this Section 4(b) shall be made in accordance with the provisions of Section 13. To the extent redemptions required by this Section 4(b) are deemed or determined by a court of competent jurisdiction to be prepayments of this Note by the Company, such redemptions shall be deemed to be voluntary prepayments. Notwithstanding anything to the contrary in this Section 3(e), but subject to Section 3(d), until the Event of Default Redemption Price (together with any Late Charges thereon) is paid in full, the Conversion Amount submitted for redemption under this Section 4(b) (together with any Late Charges thereon) may be converted, in whole or in part, by the Holder into Ordinary Shares pursuant to the terms of this Note. In the event of the Company’s redemption of any portion of this Note under this Section 4(b),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4(b) is intended by the parties to be, and shall be deemed, a reasonable estimate of the Holder’s actual loss of its investment opportunity and not as a penalty. Any redemption upon an Event of Default shall not constitute an election of remedies by the Holder, and all other rights and remedies of the Holder shall be preserved.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Mandatory Redemption upon Bankruptcy Event of Default</w:t>
      </w:r>
      <w:r>
        <w:rPr>
          <w:rFonts w:ascii="Times New Roman;Times;Serif" w:hAnsi="Times New Roman;Times;Serif"/>
          <w:b w:val="false"/>
          <w:i w:val="false"/>
          <w:caps w:val="false"/>
          <w:smallCaps w:val="false"/>
          <w:sz w:val="20"/>
        </w:rPr>
        <w:t>. Notwithstanding anything to the contrary herein, and notwithstanding any conversion that is then required or in process, upon any Bankruptcy Event of Default, whether occurring prior to or following the Maturity Date, the Company shall immediately pay to the Holder an amount in cash representing (i) all outstanding Principal, accrued and unpaid Default Interest and accrued and unpaid Late Charges on such Principal and Default Interest, multiplied by (ii) the Redemption Premium, in addition to any and all other amounts due hereunder, without the requirement for any notice or demand or other action by the Holder or any other person or entity, provided that the Holder may, in its sole discretion, waive such right to receive payment upon a Bankruptcy Event of Default, in whole or in part, and any such waiver shall not affect any other rights of the Holder hereunder, including any other rights in respect of such Bankruptcy Event of Default, any right to conversion, and any right to payment of the Event of Default Redemption Price or any other Redemption Price, as applicable.</w:t>
      </w:r>
    </w:p>
    <w:p>
      <w:pPr>
        <w:pStyle w:val="TextBody"/>
        <w:bidi w:val="0"/>
        <w:spacing w:before="0" w:after="0"/>
        <w:ind w:left="705" w:right="0" w:hanging="0"/>
        <w:jc w:val="both"/>
        <w:rPr>
          <w:caps w:val="false"/>
          <w:smallCaps w:val="false"/>
        </w:rPr>
      </w:pPr>
      <w:r>
        <w:rPr>
          <w:caps w:val="false"/>
          <w:smallCaps w:val="false"/>
        </w:rPr>
        <w:t> </w:t>
      </w:r>
    </w:p>
    <w:p>
      <w:pPr>
        <w:pStyle w:val="TextBody"/>
        <w:bidi w:val="0"/>
        <w:spacing w:before="0" w:after="0"/>
        <w:ind w:left="705"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jc w:val="center"/>
        <w:rPr/>
      </w:pPr>
      <w:r>
        <w:rPr/>
        <w:t> </w:t>
      </w:r>
    </w:p>
    <w:p>
      <w:pPr>
        <w:pStyle w:val="TextBody"/>
        <w:bidi w:val="0"/>
        <w:spacing w:before="0" w:after="0"/>
        <w:ind w:left="705" w:right="0" w:hanging="0"/>
        <w:jc w:val="both"/>
        <w:rPr>
          <w:caps w:val="false"/>
          <w:smallCaps w:val="false"/>
        </w:rPr>
      </w:pPr>
      <w:r>
        <w:rPr>
          <w:caps w:val="false"/>
          <w:smallCaps w:val="false"/>
        </w:rPr>
        <w:t> </w:t>
      </w:r>
    </w:p>
    <w:p>
      <w:pPr>
        <w:pStyle w:val="TextBody"/>
        <w:bidi w:val="0"/>
        <w:spacing w:before="0" w:after="0"/>
        <w:ind w:left="705"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RIGHTS UPON FUNDAMENTAL TRANSACTION</w:t>
      </w:r>
      <w:r>
        <w:rPr>
          <w:rFonts w:ascii="Times New Roman;Times;Serif" w:hAnsi="Times New Roman;Times;Serif"/>
          <w:b w:val="false"/>
          <w:i w:val="false"/>
          <w:caps w:val="false"/>
          <w:smallCaps w:val="false"/>
          <w:sz w:val="20"/>
        </w:rPr>
        <w:t>.</w:t>
      </w:r>
    </w:p>
    <w:p>
      <w:pPr>
        <w:pStyle w:val="TextBody"/>
        <w:bidi w:val="0"/>
        <w:spacing w:before="0" w:after="0"/>
        <w:ind w:left="705"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Assumption</w:t>
      </w:r>
      <w:r>
        <w:rPr>
          <w:rFonts w:ascii="Times New Roman;Times;Serif" w:hAnsi="Times New Roman;Times;Serif"/>
          <w:b w:val="false"/>
          <w:i w:val="false"/>
          <w:caps w:val="false"/>
          <w:smallCaps w:val="false"/>
          <w:sz w:val="20"/>
        </w:rPr>
        <w:t>. The Company shall not enter into or be party to a Fundamental Transaction unless (i) the Successor Entity assumes in writing all of the obligations of the Company under this Note, the other Transaction Documents and/or the other Exchange Documents, as applicable, in accordance with the provisions of this Section 5(a) pursuant to written agreements in form and substance satisfactory to the Holder and approved by the Holder prior to such Fundamental Transaction, including agreements to deliver to each holder of Notes in exchange for such Notes a security of the Successor Entity evidenced by a written instrument substantially similar in form and substance to the Notes, including, without limitation, having a principal amount and interest rate equal to the principal amounts then outstanding and the interest rates of the Notes held by such holder, having similar conversion rights as the Notes and having similar ranking and security to the Notes, and satisfactory to the Holder and (ii) the Successor Entity (including its Parent Entity) is a publicly traded corporation whose common equity is quoted on or listed for trading on an Eligible Market. Upon the occurrence of any Fundamental Transaction, the Successor Entity shall succeed to, and be substituted for (so that from and after the date of such Fundamental Transaction, the provisions of this Note, the other Transaction Documents and/or the other Exchange Documents, as applicable, referring to the “Company” shall refer instead to the Successor Entity), and may exercise every right and power of the Company and shall assume all of the obligations of the Company under this Note, the other Transaction Documents and/or the other Exchange Documents, as applicable, with the same effect as if such Successor Entity had been named as the Company herein. Upon consummation of a Fundamental Transaction, the Successor Entity shall deliver to the Holder confirmation that there shall be issued upon conversion or redemption of this Note at any time after the consummation of such Fundamental Transaction, in lieu of the Ordinary Shares (or other securities, cash, assets or other property (except such items still issuable under Sections 6 and 16, which shall continue to be receivable thereafter)) issuable upon the conversion or redemption of the Notes prior to such Fundamental Transaction, such shares of the publicly traded common equity (or their equivalent) of the Successor Entity (including its Parent Entity) which the Holder would have been entitled to receive upon the happening of such Fundamental Transaction had this Note been converted immediately prior to such Fundamental Transaction (without regard to any limitations on the conversion of this Note), as adjusted in accordance with the provisions of this Note. Notwithstanding the foregoing, the Holder may elect, at its sole option, by delivery of written notice to the Company to waive this Section 5(a) to permit the Fundamental Transaction without the assumption of this Note. The provisions of this Section 5 shall apply similarly and equally to successive Fundamental Transactions and shall be applied without regard to any limitations on the conversion of this Note.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Notice of a Change of Control; Redemption Right</w:t>
      </w:r>
      <w:r>
        <w:rPr>
          <w:rFonts w:ascii="Times New Roman;Times;Serif" w:hAnsi="Times New Roman;Times;Serif"/>
          <w:b w:val="false"/>
          <w:i w:val="false"/>
          <w:caps w:val="false"/>
          <w:smallCaps w:val="false"/>
          <w:sz w:val="20"/>
        </w:rPr>
        <w:t>. No sooner than twenty (20) Trading Days nor later than ten (10) Trading Days prior to the consummation of a Change of Control (the “</w:t>
      </w:r>
      <w:r>
        <w:rPr>
          <w:rFonts w:ascii="Times New Roman;Times;Serif" w:hAnsi="Times New Roman;Times;Serif"/>
          <w:b/>
          <w:i w:val="false"/>
          <w:caps w:val="false"/>
          <w:smallCaps w:val="false"/>
          <w:sz w:val="20"/>
        </w:rPr>
        <w:t>Change of Control Date</w:t>
      </w:r>
      <w:r>
        <w:rPr>
          <w:rFonts w:ascii="Times New Roman;Times;Serif" w:hAnsi="Times New Roman;Times;Serif"/>
          <w:b w:val="false"/>
          <w:i w:val="false"/>
          <w:caps w:val="false"/>
          <w:smallCaps w:val="false"/>
          <w:sz w:val="20"/>
        </w:rPr>
        <w:t>”), but not prior to the public announcement of such Change of Control, the Company shall deliver written notice thereof via electronic mail and overnight courier to the Holder (a “</w:t>
      </w:r>
      <w:r>
        <w:rPr>
          <w:rFonts w:ascii="Times New Roman;Times;Serif" w:hAnsi="Times New Roman;Times;Serif"/>
          <w:b/>
          <w:i w:val="false"/>
          <w:caps w:val="false"/>
          <w:smallCaps w:val="false"/>
          <w:sz w:val="20"/>
        </w:rPr>
        <w:t>Change of Control Notice</w:t>
      </w:r>
      <w:r>
        <w:rPr>
          <w:rFonts w:ascii="Times New Roman;Times;Serif" w:hAnsi="Times New Roman;Times;Serif"/>
          <w:b w:val="false"/>
          <w:i w:val="false"/>
          <w:caps w:val="false"/>
          <w:smallCaps w:val="false"/>
          <w:sz w:val="20"/>
        </w:rPr>
        <w:t>”). At any time during the period beginning after the Holder’s receipt of a Change of Control Notice or the Holder becoming aware of a Change of Control if a Change of Control Notice is not delivered to the Holder in accordance with the immediately preceding sentence (as applicable) and ending on twenty (20) Trading Days after the later of (A) the date of consummation of such Change of Control or (B) the date of receipt of such Change of Control Notice or (C) the date of the announcement of such Change of Control, the Holder may require the Company to redeem all or any portion of this Note by delivering written notice thereof (“</w:t>
      </w:r>
      <w:r>
        <w:rPr>
          <w:rFonts w:ascii="Times New Roman;Times;Serif" w:hAnsi="Times New Roman;Times;Serif"/>
          <w:b/>
          <w:i w:val="false"/>
          <w:caps w:val="false"/>
          <w:smallCaps w:val="false"/>
          <w:sz w:val="20"/>
        </w:rPr>
        <w:t>Change of Control Redemption Notice</w:t>
      </w:r>
      <w:r>
        <w:rPr>
          <w:rFonts w:ascii="Times New Roman;Times;Serif" w:hAnsi="Times New Roman;Times;Serif"/>
          <w:b w:val="false"/>
          <w:i w:val="false"/>
          <w:caps w:val="false"/>
          <w:smallCaps w:val="false"/>
          <w:sz w:val="20"/>
        </w:rPr>
        <w:t>”) to the Company, which Change of Control Redemption Notice shall indicate the Conversion Amount the Holder is electing to redeem. The portion of this Note subject to redemption pursuant to this Section 5 shall be redeemed by the Company in cash at a price equal to the greatest of (i) the product of (w) the Change of Control Redemption Premium multiplied by (y) the Conversion Amount being redeemed, (ii) the product of (x) the Change of Control Redemption Premium multiplied by (y) the product of (A) the Conversion Amount being redeemed multiplied by (B) the quotient determined by dividing (I) the greatest Closing Sale Price of the Ordinary Shares during the period beginning on the date immediately preceding the earlier to occur of (1) the consummation of the applicable Change of Control and (2) the public announcement of such Change of Control and ending on the date the Holder delivers the Change of Control Redemption Notice by (II) the Conversion Price then in effect and (iii) the product of (y) the Change of Control Redemption Premium multiplied by (z) the product of (A) the Conversion Amount being redeemed multiplied by (B) the quotient of (I) the aggregate cash consideration and the aggregate cash value of any non-cash consideration per Ordinary Share to be paid to the holders of the Ordinary Shares upon consummation of such Change of Control (any such non-cash consideration constituting publicly-traded securities shall be valued at the highest of the Closing Sale Price of such securities as of the Trading Day immediately prior to the consummation of such Change of Control, the Closing Sale Price of such securities on the Trading Day immediately following the public announcement of such proposed Change of Control and the Closing Sale Price of such securities on the Trading Day immediately prior to the public announcement of such proposed Change of Control) divided by (II) the Conversion Price then in effect (the “</w:t>
      </w:r>
      <w:r>
        <w:rPr>
          <w:rFonts w:ascii="Times New Roman;Times;Serif" w:hAnsi="Times New Roman;Times;Serif"/>
          <w:b/>
          <w:i w:val="false"/>
          <w:caps w:val="false"/>
          <w:smallCaps w:val="false"/>
          <w:sz w:val="20"/>
        </w:rPr>
        <w:t>Change of Control Redemption Price</w:t>
      </w:r>
      <w:r>
        <w:rPr>
          <w:rFonts w:ascii="Times New Roman;Times;Serif" w:hAnsi="Times New Roman;Times;Serif"/>
          <w:b w:val="false"/>
          <w:i w:val="false"/>
          <w:caps w:val="false"/>
          <w:smallCaps w:val="false"/>
          <w:sz w:val="20"/>
        </w:rPr>
        <w:t>”). Redemptions required by this Section 5 shall be made in accordance with the provisions of Section 13 and shall have priority to payments to shareholders in connection with such Change of Control. To the extent redemptions required by this Section 5(b) are deemed or determined by a court of competent jurisdiction to be prepayments of this Note by the Company, such redemptions shall be deemed to be voluntary prepayments. Notwithstanding anything to the contrary in this Section 5, but subject to Section 3(d), until the Change of Control Redemption Price (together with any Late Charges thereon) is paid in full, the Conversion Amount submitted for redemption under this Section 5(b) (together with any Late Charges thereon) may be converted, in whole or in part, by the Holder into Ordinary Shares pursuant to Section 3. In the event of the Company’s redemption of any portion of this Note under this Section 5(b),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5(b) is intended by the parties to be, and shall be deemed, a reasonable estimate of the Holder’s actual loss of its investment opportunity and not as a penalty.</w:t>
      </w:r>
    </w:p>
    <w:p>
      <w:pPr>
        <w:pStyle w:val="TextBody"/>
        <w:bidi w:val="0"/>
        <w:spacing w:before="0" w:after="0"/>
        <w:ind w:left="705" w:right="0" w:hanging="0"/>
        <w:jc w:val="both"/>
        <w:rPr>
          <w:caps w:val="false"/>
          <w:smallCaps w:val="false"/>
        </w:rPr>
      </w:pPr>
      <w:r>
        <w:rPr>
          <w:caps w:val="false"/>
          <w:smallCaps w:val="false"/>
        </w:rPr>
        <w:t> </w:t>
      </w:r>
    </w:p>
    <w:p>
      <w:pPr>
        <w:pStyle w:val="TextBody"/>
        <w:bidi w:val="0"/>
        <w:spacing w:before="0" w:after="0"/>
        <w:ind w:left="705"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jc w:val="center"/>
        <w:rPr/>
      </w:pPr>
      <w:r>
        <w:rPr/>
        <w:t> </w:t>
      </w:r>
    </w:p>
    <w:p>
      <w:pPr>
        <w:pStyle w:val="TextBody"/>
        <w:bidi w:val="0"/>
        <w:spacing w:before="0" w:after="0"/>
        <w:ind w:left="705"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Change of Control Mandatory Conversion Election</w:t>
      </w:r>
      <w:r>
        <w:rPr>
          <w:rFonts w:ascii="Times New Roman;Times;Serif" w:hAnsi="Times New Roman;Times;Serif"/>
          <w:b w:val="false"/>
          <w:i w:val="false"/>
          <w:caps w:val="false"/>
          <w:smallCaps w:val="false"/>
          <w:sz w:val="20"/>
        </w:rPr>
        <w:t>. Notwithstanding the foregoing, subject to Section 3(d) above, solely to the extent no Equity Conditions Failure exists, if the Company has received a Change of Control Redemption Notice by the Holder, the Company may elect (each, a “</w:t>
      </w:r>
      <w:r>
        <w:rPr>
          <w:rFonts w:ascii="Times New Roman;Times;Serif" w:hAnsi="Times New Roman;Times;Serif"/>
          <w:b/>
          <w:i w:val="false"/>
          <w:caps w:val="false"/>
          <w:smallCaps w:val="false"/>
          <w:sz w:val="20"/>
        </w:rPr>
        <w:t>Change of Control Mandatory Conversion Election</w:t>
      </w:r>
      <w:r>
        <w:rPr>
          <w:rFonts w:ascii="Times New Roman;Times;Serif" w:hAnsi="Times New Roman;Times;Serif"/>
          <w:b w:val="false"/>
          <w:i w:val="false"/>
          <w:caps w:val="false"/>
          <w:smallCaps w:val="false"/>
          <w:sz w:val="20"/>
        </w:rPr>
        <w:t>”) by delivery of a written notice (each, a “</w:t>
      </w:r>
      <w:r>
        <w:rPr>
          <w:rFonts w:ascii="Times New Roman;Times;Serif" w:hAnsi="Times New Roman;Times;Serif"/>
          <w:b/>
          <w:i w:val="false"/>
          <w:caps w:val="false"/>
          <w:smallCaps w:val="false"/>
          <w:sz w:val="20"/>
        </w:rPr>
        <w:t>Change of Control Mandatory Conversion Election Notice</w:t>
      </w:r>
      <w:r>
        <w:rPr>
          <w:rFonts w:ascii="Times New Roman;Times;Serif" w:hAnsi="Times New Roman;Times;Serif"/>
          <w:b w:val="false"/>
          <w:i w:val="false"/>
          <w:caps w:val="false"/>
          <w:smallCaps w:val="false"/>
          <w:sz w:val="20"/>
        </w:rPr>
        <w:t>”, and such date, each a “</w:t>
      </w:r>
      <w:r>
        <w:rPr>
          <w:rFonts w:ascii="Times New Roman;Times;Serif" w:hAnsi="Times New Roman;Times;Serif"/>
          <w:b/>
          <w:i w:val="false"/>
          <w:caps w:val="false"/>
          <w:smallCaps w:val="false"/>
          <w:sz w:val="20"/>
        </w:rPr>
        <w:t>Change of Control Mandatory Conversion Election Notice Date</w:t>
      </w:r>
      <w:r>
        <w:rPr>
          <w:rFonts w:ascii="Times New Roman;Times;Serif" w:hAnsi="Times New Roman;Times;Serif"/>
          <w:b w:val="false"/>
          <w:i w:val="false"/>
          <w:caps w:val="false"/>
          <w:smallCaps w:val="false"/>
          <w:sz w:val="20"/>
        </w:rPr>
        <w:t>”) to the Holder within two (2) Trading Days of the Company’s receipt of such Change of Control Redemption Notice, in lieu of paying 25% of the applicable Change of Control Redemption Price (such applicable amount, each, a “</w:t>
      </w:r>
      <w:r>
        <w:rPr>
          <w:rFonts w:ascii="Times New Roman;Times;Serif" w:hAnsi="Times New Roman;Times;Serif"/>
          <w:b/>
          <w:i w:val="false"/>
          <w:caps w:val="false"/>
          <w:smallCaps w:val="false"/>
          <w:sz w:val="20"/>
        </w:rPr>
        <w:t>Change of Control Mandatory Conversion Amount</w:t>
      </w:r>
      <w:r>
        <w:rPr>
          <w:rFonts w:ascii="Times New Roman;Times;Serif" w:hAnsi="Times New Roman;Times;Serif"/>
          <w:b w:val="false"/>
          <w:i w:val="false"/>
          <w:caps w:val="false"/>
          <w:smallCaps w:val="false"/>
          <w:sz w:val="20"/>
        </w:rPr>
        <w:t>”) to the Holder in cash, the Company may require such Change of Control Mandatory Conversion Amount to be converted (each, a “</w:t>
      </w:r>
      <w:r>
        <w:rPr>
          <w:rFonts w:ascii="Times New Roman;Times;Serif" w:hAnsi="Times New Roman;Times;Serif"/>
          <w:b/>
          <w:i w:val="false"/>
          <w:caps w:val="false"/>
          <w:smallCaps w:val="false"/>
          <w:sz w:val="20"/>
        </w:rPr>
        <w:t>Change of Control Mandatory Conversion</w:t>
      </w:r>
      <w:r>
        <w:rPr>
          <w:rFonts w:ascii="Times New Roman;Times;Serif" w:hAnsi="Times New Roman;Times;Serif"/>
          <w:b w:val="false"/>
          <w:i w:val="false"/>
          <w:caps w:val="false"/>
          <w:smallCaps w:val="false"/>
          <w:sz w:val="20"/>
        </w:rPr>
        <w:t>”) into Ordinary Shares at the Alternate Conversion Price in effect as of the Trading Day immediately preceding the applicable Change of Control Date (the “</w:t>
      </w:r>
      <w:r>
        <w:rPr>
          <w:rFonts w:ascii="Times New Roman;Times;Serif" w:hAnsi="Times New Roman;Times;Serif"/>
          <w:b/>
          <w:i w:val="false"/>
          <w:caps w:val="false"/>
          <w:smallCaps w:val="false"/>
          <w:sz w:val="20"/>
        </w:rPr>
        <w:t>Change of Control Mandatory Conversion Measuring Date</w:t>
      </w:r>
      <w:r>
        <w:rPr>
          <w:rFonts w:ascii="Times New Roman;Times;Serif" w:hAnsi="Times New Roman;Times;Serif"/>
          <w:b w:val="false"/>
          <w:i w:val="false"/>
          <w:caps w:val="false"/>
          <w:smallCaps w:val="false"/>
          <w:sz w:val="20"/>
        </w:rPr>
        <w:t xml:space="preserve">”) (with such conversion of such Change of Control Mandatory Conversion Amount consummated pursuant to Section 3(c) (with “Alternate Conversion Price” replacing “Conversion Price” for all purposes hereunder with respect to such conversion) as if the Holder delivered a Conversion Notice with respect to an Alternate Conversion of such Change of Control Mandatory Conversion Amount to the Company on such Change of Control Mandatory Conversion Measuring Date); provided, that if at any time during the period commencing on such applicable Change of Control Mandatory Conversion Election Notice Date through, and including such applicable Change of Control Date, an Equity Conditions Failure occurs (which is not waived in writing by the Holder), the applicable Change of Control Mandatory Conversion Election Notice shall be automatically deemed null and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no Change of Control Mandatory Conversion shall occur with respect to such Change of Control Mandatory Conversion Amount and such Change of Control Mandatory Conversion Amount shall be satisfied by the Company on such Change of Control Date in cash in accordance with Section 5(b) above. The Company may only submit one Change of Control Mandatory Conversion Election Notice to the Holder with respect to any given Change of Control. Upon the delivery to the Holder of the Ordinary Shares with respect to a Change of Control Mandatory Conversion pursuant to this Section 5(c) and Section 3(c) above (but subject to compliance with Section 3(d) above), such applicable Change of Control Redemption Price shall be automatically deemed reduced by such Change of Control Mandatory Conversion Amount with respect thereto.</w:t>
      </w:r>
    </w:p>
    <w:p>
      <w:pPr>
        <w:pStyle w:val="TextBody"/>
        <w:bidi w:val="0"/>
        <w:spacing w:before="0" w:after="0"/>
        <w:ind w:left="705"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RIGHTS UPON ISSUANCE OF PURCHASE RIGHTS AND OTHER CORPORATE EVENTS</w:t>
      </w:r>
      <w:r>
        <w:rPr>
          <w:rFonts w:ascii="Times New Roman;Times;Serif" w:hAnsi="Times New Roman;Times;Serif"/>
          <w:b w:val="false"/>
          <w:i w:val="false"/>
          <w:caps w:val="false"/>
          <w:smallCaps w:val="false"/>
          <w:sz w:val="20"/>
        </w:rPr>
        <w:t>.</w:t>
      </w:r>
    </w:p>
    <w:p>
      <w:pPr>
        <w:pStyle w:val="TextBody"/>
        <w:bidi w:val="0"/>
        <w:spacing w:before="0" w:after="0"/>
        <w:ind w:left="705"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In addition to any adjustments pursuant to Section 7 and 16 below, if at any time the Company grants, issues or sells any Options, Convertible Securities or rights to purchase shares, warrants, securities or other property pro rata to all or substantially all of the record holders of any class of Ordinary Shares (the “</w:t>
      </w:r>
      <w:r>
        <w:rPr>
          <w:rFonts w:ascii="Times New Roman;Times;Serif" w:hAnsi="Times New Roman;Times;Serif"/>
          <w:b/>
          <w:i w:val="false"/>
          <w:caps w:val="false"/>
          <w:smallCaps w:val="false"/>
          <w:sz w:val="20"/>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Ordinary Shares acquirable upon complete conversion of this Note (without taking into account any limitations or restrictions on the convertibility of this Note and assuming for such purpose that the Note was converted at the Alternate Conversion Price as of the applicable record date) immediately prior to the date on which a record is taken for the grant, issuance or sale of such Purchase Rights, or, if no such record is taken, the date as of which the record holders of Ordinary Shares are to be determined for the grant, issue or sale of such Purchase Rights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Ordinary Shares as a result of such Purchase Right (and beneficial ownership) to the extent of any such excess) and such Purchase Right to such extent shall be held in abeyance (and, if such Purchase Right has an expiration date, maturity date or other similar provision, such term shall be extended by such number of days held in abeyance, if applicable)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(and, if such Purchase Right has an expiration date, maturity date or other similar provision, such term shall be extended by such number of days held in abeyance, if applicable)) to the same extent as if there had been no such limitation).</w:t>
      </w:r>
    </w:p>
    <w:p>
      <w:pPr>
        <w:pStyle w:val="TextBody"/>
        <w:bidi w:val="0"/>
        <w:spacing w:before="0" w:after="0"/>
        <w:ind w:left="705" w:right="0" w:hanging="0"/>
        <w:jc w:val="both"/>
        <w:rPr>
          <w:caps w:val="false"/>
          <w:smallCaps w:val="false"/>
        </w:rPr>
      </w:pPr>
      <w:r>
        <w:rPr>
          <w:caps w:val="false"/>
          <w:smallCaps w:val="false"/>
        </w:rPr>
        <w:t> </w:t>
      </w:r>
    </w:p>
    <w:p>
      <w:pPr>
        <w:pStyle w:val="TextBody"/>
        <w:bidi w:val="0"/>
        <w:spacing w:before="0" w:after="0"/>
        <w:ind w:left="705"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jc w:val="center"/>
        <w:rPr/>
      </w:pPr>
      <w:r>
        <w:rPr/>
        <w:t> </w:t>
      </w:r>
    </w:p>
    <w:p>
      <w:pPr>
        <w:pStyle w:val="TextBody"/>
        <w:bidi w:val="0"/>
        <w:spacing w:before="0" w:after="0"/>
        <w:ind w:left="705"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Other Corporate Events</w:t>
      </w:r>
      <w:r>
        <w:rPr>
          <w:rFonts w:ascii="Times New Roman;Times;Serif" w:hAnsi="Times New Roman;Times;Serif"/>
          <w:b w:val="false"/>
          <w:i w:val="false"/>
          <w:caps w:val="false"/>
          <w:smallCaps w:val="false"/>
          <w:sz w:val="20"/>
        </w:rPr>
        <w:t>. In addition to and not in substitution for any other rights hereunder, prior to the consummation of any Fundamental Transaction pursuant to which holders of Ordinary Shares are entitled to receive securities or other assets with respect to or in exchange for Ordinary Shares (a “</w:t>
      </w:r>
      <w:r>
        <w:rPr>
          <w:rFonts w:ascii="Times New Roman;Times;Serif" w:hAnsi="Times New Roman;Times;Serif"/>
          <w:b/>
          <w:i w:val="false"/>
          <w:caps w:val="false"/>
          <w:smallCaps w:val="false"/>
          <w:sz w:val="20"/>
        </w:rPr>
        <w:t>Corporate Event</w:t>
      </w:r>
      <w:r>
        <w:rPr>
          <w:rFonts w:ascii="Times New Roman;Times;Serif" w:hAnsi="Times New Roman;Times;Serif"/>
          <w:b w:val="false"/>
          <w:i w:val="false"/>
          <w:caps w:val="false"/>
          <w:smallCaps w:val="false"/>
          <w:sz w:val="20"/>
        </w:rPr>
        <w:t>”), the Company shall make appropriate provision to ensure that the Holder will thereafter have the right to receive upon a conversion of this Note, at the Holder’s option (i) in addition to the Ordinary Shares receivable upon such conversion, such securities or other assets (the “</w:t>
      </w:r>
      <w:r>
        <w:rPr>
          <w:rFonts w:ascii="Times New Roman;Times;Serif" w:hAnsi="Times New Roman;Times;Serif"/>
          <w:b/>
          <w:i w:val="false"/>
          <w:caps w:val="false"/>
          <w:smallCaps w:val="false"/>
          <w:sz w:val="20"/>
        </w:rPr>
        <w:t>Corporate Event Consideration</w:t>
      </w:r>
      <w:r>
        <w:rPr>
          <w:rFonts w:ascii="Times New Roman;Times;Serif" w:hAnsi="Times New Roman;Times;Serif"/>
          <w:b w:val="false"/>
          <w:i w:val="false"/>
          <w:caps w:val="false"/>
          <w:smallCaps w:val="false"/>
          <w:sz w:val="20"/>
        </w:rPr>
        <w:t>”) to which the Holder would have been entitled with respect to such Ordinary Shares had such Ordinary Shares been held by the Holder upon the consummation of such Corporate Event (without taking into account any limitations or restrictions on the convertibility of this Note) or (ii) in lieu of the Ordinary Shares otherwise receivable upon such conversion, such securities or other assets received by the holders of Ordinary Shares in connection with the consummation of such Corporate Event in such amounts as the Holder would have been entitled to receive had this Note initially been issued with conversion rights for the form of such consideration (as opposed to Ordinary Shares) at a conversion rate for such consideration commensurate with the Conversion Rate. Provision made pursuant to the preceding sentence shall be in a form and substance satisfactory to the Holder. The provisions of this Section 6 shall apply similarly and equally to successive Corporate Events and shall be applied without regard to any limitations on the conversion or redemption of this Note.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RIGHTS UPON ISSUANCE OF OTHER SECURITIES</w:t>
      </w:r>
      <w:r>
        <w:rPr>
          <w:rFonts w:ascii="Times New Roman;Times;Serif" w:hAnsi="Times New Roman;Times;Serif"/>
          <w:b w:val="false"/>
          <w:i w:val="false"/>
          <w:caps w:val="false"/>
          <w:smallCaps w:val="false"/>
          <w:sz w:val="20"/>
        </w:rPr>
        <w:t>.</w:t>
      </w:r>
    </w:p>
    <w:p>
      <w:pPr>
        <w:pStyle w:val="TextBody"/>
        <w:bidi w:val="0"/>
        <w:spacing w:before="0" w:after="0"/>
        <w:ind w:left="705"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1073"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Adjustment of Conversion Price upon Subdivision or Combination of Ordinary Shares</w:t>
      </w:r>
      <w:r>
        <w:rPr>
          <w:rFonts w:ascii="Times New Roman;Times;Serif" w:hAnsi="Times New Roman;Times;Serif"/>
          <w:b w:val="false"/>
          <w:i w:val="false"/>
          <w:caps w:val="false"/>
          <w:smallCaps w:val="false"/>
          <w:sz w:val="20"/>
        </w:rPr>
        <w:t>. Without limiting any provision of Section 6 or Section 16, if the Company at any time on or after the Exchange Date subdivides (by any share split, share dividend, share combination, recapitalization or other similar transaction) one or more classes of its outstanding Ordinary Shares into a greater number of shares, the Conversion Price in effect immediately prior to such subdivision will be proportionately reduced. Without limiting any provision of Section 6 or Section 16, if the Company at any time on or after the Exchange Date combines (by any share split, share dividend, share combination, recapitalization or other similar transaction) one or more classes of its outstanding Ordinary Shares into a smaller number of shares, the Conversion Price in effect immediately prior to such combination will be proportionately increased. Any adjustment pursuant to this Section 7(b) shall become effective immediately after the effective date of such subdivision or combination. If any event requiring an adjustment under this Section 7(b) occurs during the period that a Conversion Price is calculated hereunder, then the calculation of such Conversion Price shall be adjusted appropriately to reflect such event. (c)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1073"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Share Combination Event Adjustments</w:t>
      </w:r>
      <w:r>
        <w:rPr>
          <w:rFonts w:ascii="Times New Roman;Times;Serif" w:hAnsi="Times New Roman;Times;Serif"/>
          <w:b w:val="false"/>
          <w:i w:val="false"/>
          <w:caps w:val="false"/>
          <w:smallCaps w:val="false"/>
          <w:sz w:val="20"/>
        </w:rPr>
        <w:t>. If at any time and from time to time on or after the Exchange Date there occurs any share split, share dividend, share combination recapitalization or other similar transaction involving the Ordinary Shares (each, a “</w:t>
      </w:r>
      <w:r>
        <w:rPr>
          <w:rFonts w:ascii="Times New Roman;Times;Serif" w:hAnsi="Times New Roman;Times;Serif"/>
          <w:b/>
          <w:i w:val="false"/>
          <w:caps w:val="false"/>
          <w:smallCaps w:val="false"/>
          <w:sz w:val="20"/>
        </w:rPr>
        <w:t>Share Combination Event</w:t>
      </w:r>
      <w:r>
        <w:rPr>
          <w:rFonts w:ascii="Times New Roman;Times;Serif" w:hAnsi="Times New Roman;Times;Serif"/>
          <w:b w:val="false"/>
          <w:i w:val="false"/>
          <w:caps w:val="false"/>
          <w:smallCaps w:val="false"/>
          <w:sz w:val="20"/>
        </w:rPr>
        <w:t>”, and such date thereof, the “</w:t>
      </w:r>
      <w:r>
        <w:rPr>
          <w:rFonts w:ascii="Times New Roman;Times;Serif" w:hAnsi="Times New Roman;Times;Serif"/>
          <w:b/>
          <w:i w:val="false"/>
          <w:caps w:val="false"/>
          <w:smallCaps w:val="false"/>
          <w:sz w:val="20"/>
        </w:rPr>
        <w:t>Share Combination Event Date</w:t>
      </w:r>
      <w:r>
        <w:rPr>
          <w:rFonts w:ascii="Times New Roman;Times;Serif" w:hAnsi="Times New Roman;Times;Serif"/>
          <w:b w:val="false"/>
          <w:i w:val="false"/>
          <w:caps w:val="false"/>
          <w:smallCaps w:val="false"/>
          <w:sz w:val="20"/>
        </w:rPr>
        <w:t>”) and the Event Market Price is less than the Conversion Price then in effect (after giving effect to the adjustment in Section 7(b) above), then on the sixteenth (16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Trading Day immediately following such Share Combination Event Date, the Conversion Price then in effect on such sixteenth (16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Trading Day (after giving effect to the adjustment in Section 7(b) above) shall be reduced (but in no event increased) to the Event Market Price. For the avoidance of doubt, if the adjustment in the immediately preceding sentence would otherwise result in an increase in the Conversion Price hereunder, no adjustment shall be made.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Other Events</w:t>
      </w:r>
      <w:r>
        <w:rPr>
          <w:rFonts w:ascii="Times New Roman;Times;Serif" w:hAnsi="Times New Roman;Times;Serif"/>
          <w:b w:val="false"/>
          <w:i w:val="false"/>
          <w:caps w:val="false"/>
          <w:smallCaps w:val="false"/>
          <w:sz w:val="20"/>
        </w:rPr>
        <w:t>. In the event that the Company (or any Subsidiary) shall take any action to which the provisions hereof are not strictly applicable, or, if applicable, would not operate to protect the Holder from dilution or if any event occurs of the type contemplated by the provisions of this Section 7 but not expressly provided for by such provisions (including, without limitation, the granting of share appreciation rights, phantom share rights or other rights with equity features), then the Company’s board of directors shall in good faith determine and implement an appropriate adjustment in the Conversion Price so as to protect the rights of the Holder, provided that no such adjustment pursuant to this Section 7(d) will increase the Conversion Price as otherwise determined pursuant to this Section 7, provided further that if the Holder does not accept such adjustments as appropriately protecting its interests hereunder against such dilution, then the Company’s board of directors and the Holder shall agree, in good faith, upon an independent investment bank of nationally recognized standing to make such appropriate adjustments, whose determination shall be final and binding absent manifest error and whose fees and expenses shall be borne by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7 shall be made by rounding to the nearest cent or the nearest 1/100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a share, as applicable. The number of Ordinary Shares outstanding at any given time shall not include shares owned or held by or for the account of the Company, and the disposition of any such shares shall be considered an issue or sale of Ordinary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Subject to the rules and regulations of the Principal Market, the Company may at any time during the term of this Note reduce the then current Conversion Price of each of the Notes to any amount and for any period of time deemed appropriate by the board of directors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REDEMPTIONS AT THE COMPANY’S ELECTION.</w:t>
      </w:r>
    </w:p>
    <w:p>
      <w:pPr>
        <w:pStyle w:val="TextBody"/>
        <w:bidi w:val="0"/>
        <w:spacing w:before="0" w:after="0"/>
        <w:ind w:left="705"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Company Optional Redemption</w:t>
      </w:r>
      <w:r>
        <w:rPr>
          <w:rFonts w:ascii="Times New Roman;Times;Serif" w:hAnsi="Times New Roman;Times;Serif"/>
          <w:b w:val="false"/>
          <w:i w:val="false"/>
          <w:caps w:val="false"/>
          <w:smallCaps w:val="false"/>
          <w:sz w:val="20"/>
        </w:rPr>
        <w:t>. At any time the Company shall have the right to redeem all, but not less than all, of the Conversion Amount then remaining under this Note (the “</w:t>
      </w:r>
      <w:r>
        <w:rPr>
          <w:rFonts w:ascii="Times New Roman;Times;Serif" w:hAnsi="Times New Roman;Times;Serif"/>
          <w:b/>
          <w:i w:val="false"/>
          <w:caps w:val="false"/>
          <w:smallCaps w:val="false"/>
          <w:sz w:val="20"/>
        </w:rPr>
        <w:t>Company Optional Redemption Amount</w:t>
      </w:r>
      <w:r>
        <w:rPr>
          <w:rFonts w:ascii="Times New Roman;Times;Serif" w:hAnsi="Times New Roman;Times;Serif"/>
          <w:b w:val="false"/>
          <w:i w:val="false"/>
          <w:caps w:val="false"/>
          <w:smallCaps w:val="false"/>
          <w:sz w:val="20"/>
        </w:rPr>
        <w:t>”) on the Company Optional Redemption Date (each as defined below) (a “</w:t>
      </w:r>
      <w:r>
        <w:rPr>
          <w:rFonts w:ascii="Times New Roman;Times;Serif" w:hAnsi="Times New Roman;Times;Serif"/>
          <w:b/>
          <w:i w:val="false"/>
          <w:caps w:val="false"/>
          <w:smallCaps w:val="false"/>
          <w:sz w:val="20"/>
        </w:rPr>
        <w:t>Company Optional Redemption</w:t>
      </w:r>
      <w:r>
        <w:rPr>
          <w:rFonts w:ascii="Times New Roman;Times;Serif" w:hAnsi="Times New Roman;Times;Serif"/>
          <w:b w:val="false"/>
          <w:i w:val="false"/>
          <w:caps w:val="false"/>
          <w:smallCaps w:val="false"/>
          <w:sz w:val="20"/>
        </w:rPr>
        <w:t>”). The portion of this Note subject to redemption pursuant to this Section 8(a) shall be redeemed by the Company in cash at a price (the “</w:t>
      </w:r>
      <w:r>
        <w:rPr>
          <w:rFonts w:ascii="Times New Roman;Times;Serif" w:hAnsi="Times New Roman;Times;Serif"/>
          <w:b/>
          <w:i w:val="false"/>
          <w:caps w:val="false"/>
          <w:smallCaps w:val="false"/>
          <w:sz w:val="20"/>
        </w:rPr>
        <w:t>Company Optional Redemption Price</w:t>
      </w:r>
      <w:r>
        <w:rPr>
          <w:rFonts w:ascii="Times New Roman;Times;Serif" w:hAnsi="Times New Roman;Times;Serif"/>
          <w:b w:val="false"/>
          <w:i w:val="false"/>
          <w:caps w:val="false"/>
          <w:smallCaps w:val="false"/>
          <w:sz w:val="20"/>
        </w:rPr>
        <w:t>”) equal to the greater of (i) 107% of the Conversion Amount being redeemed as of the Company Optional Redemption Date and (ii) the product of (1) the quotient of (A) the Conversion Amount being redeemed divided by (b) the Alternate Conversion Price then in effect as of the Company Optional Redemption Date multiplied by (2) the greatest Closing Sale Price of the Ordinary Shares on any Trading Day during the period commencing on the date immediately preceding such Company Optional Redemption Notice Date and ending on the Trading Day immediately prior to the date the Company makes the entire payment required to be made under this Section 8(a). The Company may exercise its right to require redemption under this Section 8(a) by delivering a written notice thereof by electronic mail and overnight courier to all, but not less than all, of the holders of Notes (the “</w:t>
      </w:r>
      <w:r>
        <w:rPr>
          <w:rFonts w:ascii="Times New Roman;Times;Serif" w:hAnsi="Times New Roman;Times;Serif"/>
          <w:b/>
          <w:i w:val="false"/>
          <w:caps w:val="false"/>
          <w:smallCaps w:val="false"/>
          <w:sz w:val="20"/>
        </w:rPr>
        <w:t>Company Optional Redemption Notice</w:t>
      </w:r>
      <w:r>
        <w:rPr>
          <w:rFonts w:ascii="Times New Roman;Times;Serif" w:hAnsi="Times New Roman;Times;Serif"/>
          <w:b w:val="false"/>
          <w:i w:val="false"/>
          <w:caps w:val="false"/>
          <w:smallCaps w:val="false"/>
          <w:sz w:val="20"/>
        </w:rPr>
        <w:t>” and the date all of the holders of Notes received such notice is referred to as the “</w:t>
      </w:r>
      <w:r>
        <w:rPr>
          <w:rFonts w:ascii="Times New Roman;Times;Serif" w:hAnsi="Times New Roman;Times;Serif"/>
          <w:b/>
          <w:i w:val="false"/>
          <w:caps w:val="false"/>
          <w:smallCaps w:val="false"/>
          <w:sz w:val="20"/>
        </w:rPr>
        <w:t>Company Optional Redemption Notice Date</w:t>
      </w:r>
      <w:r>
        <w:rPr>
          <w:rFonts w:ascii="Times New Roman;Times;Serif" w:hAnsi="Times New Roman;Times;Serif"/>
          <w:b w:val="false"/>
          <w:i w:val="false"/>
          <w:caps w:val="false"/>
          <w:smallCaps w:val="false"/>
          <w:sz w:val="20"/>
        </w:rPr>
        <w:t>”). The Company may deliver only one Company Optional Redemption Notice hereunder and such Company Optional Redemption Notice shall be irrevocable. The Company Optional Redemption Notice shall (x) state the date on which the Company Optional Redemption shall occur (the “</w:t>
      </w:r>
      <w:r>
        <w:rPr>
          <w:rFonts w:ascii="Times New Roman;Times;Serif" w:hAnsi="Times New Roman;Times;Serif"/>
          <w:b/>
          <w:i w:val="false"/>
          <w:caps w:val="false"/>
          <w:smallCaps w:val="false"/>
          <w:sz w:val="20"/>
        </w:rPr>
        <w:t>Company Optional Redemption Date</w:t>
      </w:r>
      <w:r>
        <w:rPr>
          <w:rFonts w:ascii="Times New Roman;Times;Serif" w:hAnsi="Times New Roman;Times;Serif"/>
          <w:b w:val="false"/>
          <w:i w:val="false"/>
          <w:caps w:val="false"/>
          <w:smallCaps w:val="false"/>
          <w:sz w:val="20"/>
        </w:rPr>
        <w:t>”) which date shall be fifteen (15) Trading Days following the Company Optional Redemption Notice Date, and (y) state the aggregate Conversion Amount of the Notes which is being redeemed in such Company Optional Redemption from the Holder and all of the other holders of the Notes pursuant to this Section 8(a) (and analogous provisions under the Other Notes) on the Company Optional Redemption Date. Notwithstanding anything herein to the contrary, at any time prior to the date the Company Optional Redemption Price is paid, in full, the Company Optional Redemption Amount may be converted, in whole or in part, by the Holder into Ordinary Shares pursuant to Section 3. All Conversion Amounts converted by the Holder after the Company Optional Redemption Notice Date shall reduce the Company Optional Redemption Amount of this Note required to be redeemed on the Company Optional Redemption Date. Redemptions made pursuant to this Section 8(a) shall be made in accordance with Section 13. In the event of the Company’s redemption of any portion of this Note under this Section 8(a),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8(a) is intended by the parties to be, and shall be deemed, a reasonable estimate of the Holder’s actual loss of its investment opportunity and not as a penalty. For the avoidance of doubt, the Company shall have no right to effect a Company Optional Redemption if any Event of Default has occurred and continuing, but any Event of Default shall have no effect upon the Holder’s right to convert this Note in its discretion.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Pro Rata Redemption Requirement</w:t>
      </w:r>
      <w:r>
        <w:rPr>
          <w:rFonts w:ascii="Times New Roman;Times;Serif" w:hAnsi="Times New Roman;Times;Serif"/>
          <w:b w:val="false"/>
          <w:i w:val="false"/>
          <w:caps w:val="false"/>
          <w:smallCaps w:val="false"/>
          <w:sz w:val="20"/>
        </w:rPr>
        <w:t>. If the Company elects to cause a Company Optional Redemption of this Note pursuant to Section 8(a), then it must simultaneously take the same action with respect to all of the Other Notes.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705"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705"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NONCIRCUMVENTION</w:t>
      </w:r>
      <w:r>
        <w:rPr>
          <w:rFonts w:ascii="Times New Roman;Times;Serif" w:hAnsi="Times New Roman;Times;Serif"/>
          <w:b w:val="false"/>
          <w:i w:val="false"/>
          <w:caps w:val="false"/>
          <w:smallCaps w:val="false"/>
          <w:sz w:val="20"/>
        </w:rPr>
        <w:t>. The Company hereby covenants and agrees that the Company will not, by amendment of its memorandum of association (as amended and as in effect on the date hereof, the “</w:t>
      </w:r>
      <w:r>
        <w:rPr>
          <w:rFonts w:ascii="Times New Roman;Times;Serif" w:hAnsi="Times New Roman;Times;Serif"/>
          <w:b/>
          <w:i w:val="false"/>
          <w:caps w:val="false"/>
          <w:smallCaps w:val="false"/>
          <w:sz w:val="20"/>
        </w:rPr>
        <w:t>Memorandum of Association</w:t>
      </w:r>
      <w:r>
        <w:rPr>
          <w:rFonts w:ascii="Times New Roman;Times;Serif" w:hAnsi="Times New Roman;Times;Serif"/>
          <w:b w:val="false"/>
          <w:i w:val="false"/>
          <w:caps w:val="false"/>
          <w:smallCaps w:val="false"/>
          <w:sz w:val="20"/>
        </w:rPr>
        <w:t>”) and articles of association (as amended and as in effect on the date hereof, the “</w:t>
      </w:r>
      <w:r>
        <w:rPr>
          <w:rFonts w:ascii="Times New Roman;Times;Serif" w:hAnsi="Times New Roman;Times;Serif"/>
          <w:b/>
          <w:i w:val="false"/>
          <w:caps w:val="false"/>
          <w:smallCaps w:val="false"/>
          <w:sz w:val="20"/>
        </w:rPr>
        <w:t>Articles of Association</w:t>
      </w:r>
      <w:r>
        <w:rPr>
          <w:rFonts w:ascii="Times New Roman;Times;Serif" w:hAnsi="Times New Roman;Times;Serif"/>
          <w:b w:val="false"/>
          <w:i w:val="false"/>
          <w:caps w:val="false"/>
          <w:smallCaps w:val="false"/>
          <w:sz w:val="20"/>
        </w:rPr>
        <w:t>”) or through any reorganization, transfer of assets, consolidation, merger, scheme of arrangement, dissolution, issue or sale of securities, or any other voluntary action, avoid or seek to avoid the observance or performance of any of the terms of this Note, and will at all times in good faith carry out all of the provisions of this Note and take all action as may be required to protect the rights of the Holder of this Note. Without limiting the generality of the foregoing or any other provision of this Note, the other Transaction Documents and/or the other Exchange Documents, as applicable, the Company (a) shall not increase the par value of any Ordinary Shares receivable upon conversion of this Note above the Conversion Price then in effect, and (b) shall take all such actions as may be necessary or appropriate in order that the Company may validly and legally issue fully paid and nonassessable Ordinary Shares upon the conversion of this Note. Notwithstanding anything herein to the contrary, if after the sixty (60) calendar day anniversary of the Issuance Date, the Holder is not permitted to convert this Note in full for any reason (other than pursuant to restrictions set forth in Section 3(d) hereof), the Company shall use its best efforts to promptly remedy such failure, including, without limitation, obtaining such consents or approvals as necessary to permit such conversion into Ordinary Shares.</w:t>
      </w:r>
    </w:p>
    <w:p>
      <w:pPr>
        <w:pStyle w:val="TextBody"/>
        <w:bidi w:val="0"/>
        <w:spacing w:before="0" w:after="0"/>
        <w:ind w:left="705"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RESERVATION OF AUTHORIZED SHARES</w:t>
      </w:r>
      <w:r>
        <w:rPr>
          <w:rFonts w:ascii="Times New Roman;Times;Serif" w:hAnsi="Times New Roman;Times;Serif"/>
          <w:b w:val="false"/>
          <w:i w:val="false"/>
          <w:caps w:val="false"/>
          <w:smallCaps w:val="false"/>
          <w:sz w:val="20"/>
        </w:rPr>
        <w:t>.</w:t>
      </w:r>
    </w:p>
    <w:p>
      <w:pPr>
        <w:pStyle w:val="TextBody"/>
        <w:bidi w:val="0"/>
        <w:spacing w:before="0" w:after="0"/>
        <w:ind w:left="705"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Reservation</w:t>
      </w:r>
      <w:r>
        <w:rPr>
          <w:rFonts w:ascii="Times New Roman;Times;Serif" w:hAnsi="Times New Roman;Times;Serif"/>
          <w:b w:val="false"/>
          <w:i w:val="false"/>
          <w:caps w:val="false"/>
          <w:smallCaps w:val="false"/>
          <w:sz w:val="20"/>
        </w:rPr>
        <w:t>. So long as any Notes remain outstanding, the Company shall at all times reserve at least 125% of the number of Ordinary Shares as shall from time to time be necessary to effect the conversion, including without limitation, Alternate Conversions, of all of the Notes then outstanding (without regard to any limitations on conversions and assuming such Notes remain outstanding until the Maturity Date) at the Floor Price then in effect (the “</w:t>
      </w:r>
      <w:r>
        <w:rPr>
          <w:rFonts w:ascii="Times New Roman;Times;Serif" w:hAnsi="Times New Roman;Times;Serif"/>
          <w:b/>
          <w:i w:val="false"/>
          <w:caps w:val="false"/>
          <w:smallCaps w:val="false"/>
          <w:sz w:val="20"/>
        </w:rPr>
        <w:t>Required Reserve Amount</w:t>
      </w:r>
      <w:r>
        <w:rPr>
          <w:rFonts w:ascii="Times New Roman;Times;Serif" w:hAnsi="Times New Roman;Times;Serif"/>
          <w:b w:val="false"/>
          <w:i w:val="false"/>
          <w:caps w:val="false"/>
          <w:smallCaps w:val="false"/>
          <w:sz w:val="20"/>
        </w:rPr>
        <w:t>”). The Required Reserve Amount (including, without limitation, each increase in the number of shares so reserved) shall be allocated pro rata among the holders of the Notes based on the original principal amount of the Notes held by each holder on the Exchange Date or increase in the number of reserved shares, as the case may be (the “</w:t>
      </w:r>
      <w:r>
        <w:rPr>
          <w:rFonts w:ascii="Times New Roman;Times;Serif" w:hAnsi="Times New Roman;Times;Serif"/>
          <w:b/>
          <w:i w:val="false"/>
          <w:caps w:val="false"/>
          <w:smallCaps w:val="false"/>
          <w:sz w:val="20"/>
        </w:rPr>
        <w:t>Authorized Share Allocation</w:t>
      </w:r>
      <w:r>
        <w:rPr>
          <w:rFonts w:ascii="Times New Roman;Times;Serif" w:hAnsi="Times New Roman;Times;Serif"/>
          <w:b w:val="false"/>
          <w:i w:val="false"/>
          <w:caps w:val="false"/>
          <w:smallCaps w:val="false"/>
          <w:sz w:val="20"/>
        </w:rPr>
        <w:t>”). In the event that a holder shall sell or otherwise transfer any of such holder’s Notes, each transferee shall be allocated a pro rata portion of such holder’s Authorized Share Allocation. Any Ordinary Shares reserved and allocated to any Person which ceases to hold any Notes shall be allocated to the remaining holders of Notes, pro rata based on the principal amount of the Notes then held by such holders.</w:t>
      </w:r>
    </w:p>
    <w:p>
      <w:pPr>
        <w:pStyle w:val="TextBody"/>
        <w:bidi w:val="0"/>
        <w:spacing w:before="0" w:after="0"/>
        <w:ind w:left="705"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Insufficient Authorized Shares</w:t>
      </w:r>
      <w:r>
        <w:rPr>
          <w:rFonts w:ascii="Times New Roman;Times;Serif" w:hAnsi="Times New Roman;Times;Serif"/>
          <w:b w:val="false"/>
          <w:i w:val="false"/>
          <w:caps w:val="false"/>
          <w:smallCaps w:val="false"/>
          <w:sz w:val="20"/>
        </w:rPr>
        <w:t>. If, notwithstanding Section 12(a), and not in limitation thereof, at any time while any of the Notes remain outstanding the Company does not have a sufficient number of authorized and unreserved Ordinary Shares to satisfy its obligation to reserve for issuance upon conversion of the Notes at least a number of Ordinary Shares equal to the Required Reserve Amount (an “</w:t>
      </w:r>
      <w:r>
        <w:rPr>
          <w:rFonts w:ascii="Times New Roman;Times;Serif" w:hAnsi="Times New Roman;Times;Serif"/>
          <w:b/>
          <w:i w:val="false"/>
          <w:caps w:val="false"/>
          <w:smallCaps w:val="false"/>
          <w:sz w:val="20"/>
        </w:rPr>
        <w:t>Authorized Share Failure</w:t>
      </w:r>
      <w:r>
        <w:rPr>
          <w:rFonts w:ascii="Times New Roman;Times;Serif" w:hAnsi="Times New Roman;Times;Serif"/>
          <w:b w:val="false"/>
          <w:i w:val="false"/>
          <w:caps w:val="false"/>
          <w:smallCaps w:val="false"/>
          <w:sz w:val="20"/>
        </w:rPr>
        <w:t>”), then the Company shall immediately take all action necessary to increase the Company’s authorized Ordinary Shares to an amount sufficient to allow the Company to reserve the Required Reserve Amount for the Notes then outstanding. Without limiting the generality of the foregoing sentence, as soon as practicable after the date of the occurrence of an Authorized Share Failure, but in no event later than sixty (60) days after the occurrence of such Authorized Share Failure, the Company shall hold a meeting of its shareholders for the approval of an increase in the number of authorized Ordinary Shares. In connection with such meeting, the Company shall provide each shareholder with a proxy statement and shall use its best efforts to solicit its shareholders’ approval of such increase in authorized Ordinary Shares and to cause its board of directors to recommend to the shareholders that they approve such proposal. In the event that the Company is prohibited from issuing Ordinary Shares pursuant to the terms of this Note due to the failure by the Company to have sufficient Ordinary Shares available out of the authorized but unissued Ordinary Shares (such unavailable number of Ordinary Shares, the “</w:t>
      </w:r>
      <w:r>
        <w:rPr>
          <w:rFonts w:ascii="Times New Roman;Times;Serif" w:hAnsi="Times New Roman;Times;Serif"/>
          <w:b/>
          <w:i w:val="false"/>
          <w:caps w:val="false"/>
          <w:smallCaps w:val="false"/>
          <w:sz w:val="20"/>
        </w:rPr>
        <w:t>Authorized Failure Shares</w:t>
      </w:r>
      <w:r>
        <w:rPr>
          <w:rFonts w:ascii="Times New Roman;Times;Serif" w:hAnsi="Times New Roman;Times;Serif"/>
          <w:b w:val="false"/>
          <w:i w:val="false"/>
          <w:caps w:val="false"/>
          <w:smallCaps w:val="false"/>
          <w:sz w:val="20"/>
        </w:rPr>
        <w:t>”), in lieu of delivering such Authorized Failure Shares to the Holder, the Company shall pay cash in exchange for the redemption of such portion of the Conversion Amount convertible into such Authorized Failure Shares at a price equal to the sum of (i) the product of (x) such number of Authorized Failure Shares and (y) the greatest Closing Sale Price of the Ordinary Shares on any Trading Day during the period commencing on the date the Holder delivers the applicable Conversion Notice with respect to such Authorized Failure Shares to the Company and ending on the date of such issuance and payment under this Section 12(a); and (ii) to the extent the Holder purchases (in an open market transaction or otherwise) Ordinary Shares to deliver in satisfaction of a sale by the Holder of Authorized Failure Shares, any brokerage commissions and other out-of-pocket expenses, if any, of the Holder incurred in connection therewith. Nothing contained in Section 12(a) or this Section 12(b) shall limit any obligations of the Company under any provision of the Existing Securities Purchase Agreements and/or the Exchange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REDEMPTIONS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Mechanics</w:t>
      </w:r>
      <w:r>
        <w:rPr>
          <w:rFonts w:ascii="Times New Roman;Times;Serif" w:hAnsi="Times New Roman;Times;Serif"/>
          <w:b w:val="false"/>
          <w:i w:val="false"/>
          <w:caps w:val="false"/>
          <w:smallCaps w:val="false"/>
          <w:sz w:val="20"/>
        </w:rPr>
        <w:t>. The Company shall deliver the applicable Event of Default Redemption Price to the Holder in cash within five (5) Business Days after the Company’s receipt of the Holder’s Event of Default Redemption Notice. If the Holder has submitted a Change of Control Redemption Notice in accordance with Section 5(b), the Company shall deliver the applicable Change of Control Redemption Price to the Holder in cash concurrently with the consummation of such Change of Control if such notice is received prior to the consummation of such Change of Control and within five (5) Business Days after the Company’s receipt of such notice otherwise. The Company shall deliver the applicable Company Optional Redemption Price to the Holder in cash on the applicable Company Optional Redemption Date. Notwithstanding anything herein to the contrary, in connection with any redemption hereunder at a time the Holder is entitled to receive a cash payment under any of the other Transaction Documents and/or Exchange Documents, as applicable, at the option of the Holder delivered in writing to the Company, the applicable Redemption Price hereunder shall be increased by the amount of such cash payment owed to the Holder under such other Transaction Document and/or Exchange Document, as applicable, and, upon payment in full or conversion in accordance herewith, shall satisfy the Company’s payment obligation under such other Transaction Document and/or Exchange Document, as applicable. In the event of a redemption of less than all of the Conversion Amount of this Note, the Company shall promptly cause to be issued and delivered to the Holder a new Note (in accordance with Section 19(d)) representing the outstanding Principal which has not been redeemed. In the event that the Company does not pay the applicable Redemption Price to the Holder within the time period required, at any time thereafter and until the Company pays such unpaid Redemption Price in full, the Holder shall have the option, in lieu of redemption, to require the Company to promptly return to the Holder all or any portion of this Note representing the Conversion Amount that was submitted for redemption and for which the applicable Redemption Price (together with any Late Charges thereon) has not been paid. Upon the Company’s receipt of such notice, (x) the applicable Redemption Notice shall be null and void with respect to such Conversion Amount, (y) the Company shall immediately return this Note, or issue a new Note (in accordance with Section 19(d)), to the Holder, and in each case the principal amount of this Note or such new Note (as the case may be) shall be increased by an amount equal to the difference between (1) the applicable Redemption Price (as the case may be, and as adjusted pursuant to this Section 13, if applicable) minus (2) the Principal portion of the Conversion Amount submitted for redemption and (z) the Conversion Price of this Note or such new Notes (as the case may be) shall be automatically adjusted with respect to each conversion effected thereafter by the Holder to the lowest of (A) the Conversion Price as in effect on the date on which the applicable Redemption Notice is voided, (B) 75% of the lowest Closing Bid Price of the Ordinary Shares during the period beginning on and including the date on which the applicable Redemption Notice is delivered to the Company and ending on and including the date on which the applicable Redemption Notice is voided and (C) 75% of the quotient of (I) the sum of the five (5) lowest VWAPs of the Ordinary Shares during the twenty (20) consecutive Trading Day period ending and including the applicable Conversion Date divided by (II) five (5) (it being understood and agreed that all such determinations shall be appropriately adjusted for any share dividend, share split, share combination or other similar transaction during such period). The Holder’s delivery of a notice voiding a Redemption Notice and exercise of its rights following such notice shall not affect the Company’s obligations to make any payments of Late Charges which have accrued prior to the date of such notice with respect to the Conversion Amount subject to such notice.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Redemption by Other Holders</w:t>
      </w:r>
      <w:r>
        <w:rPr>
          <w:rFonts w:ascii="Times New Roman;Times;Serif" w:hAnsi="Times New Roman;Times;Serif"/>
          <w:b w:val="false"/>
          <w:i w:val="false"/>
          <w:caps w:val="false"/>
          <w:smallCaps w:val="false"/>
          <w:sz w:val="20"/>
        </w:rPr>
        <w:t>. Upon the Company’s receipt of notice from any of the holders of the Other Notes for redemption or repayment as a result of an event or occurrence substantially similar to the events or occurrences described in Section 4(b) or Section 5(b) (each, an “</w:t>
      </w:r>
      <w:r>
        <w:rPr>
          <w:rFonts w:ascii="Times New Roman;Times;Serif" w:hAnsi="Times New Roman;Times;Serif"/>
          <w:b/>
          <w:i w:val="false"/>
          <w:caps w:val="false"/>
          <w:smallCaps w:val="false"/>
          <w:sz w:val="20"/>
        </w:rPr>
        <w:t>Other Redemption Notice</w:t>
      </w:r>
      <w:r>
        <w:rPr>
          <w:rFonts w:ascii="Times New Roman;Times;Serif" w:hAnsi="Times New Roman;Times;Serif"/>
          <w:b w:val="false"/>
          <w:i w:val="false"/>
          <w:caps w:val="false"/>
          <w:smallCaps w:val="false"/>
          <w:sz w:val="20"/>
        </w:rPr>
        <w:t>”), the Company shall immediately, but no later than one (1) Business Day of its receipt thereof, forward to the Holder by electronic mail a copy of such notice. If the Company receives a Redemption Notice and one or more Other Redemption Notices, during the seven (7) Business Day period beginning on and including the date which is two (2) Business Days prior to the Company’s receipt of the Holder’s applicable Redemption Notice and ending on and including the date which is two (2) Business Days after the Company’s receipt of the Holder’s applicable Redemption Notice and the Company is unable to redeem all principal, interest and other amounts designated in such Redemption Notice and such Other Redemption Notices received during such seven (7) Business Day period, then the Company shall redeem a pro rata amount from each holder of the Notes (including the Holder) based on the principal amount of the Notes submitted for redemption pursuant to such Redemption Notice and such Other Redemption Notices received by the Company during such seven (7) Business Day period.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VOTING RIGHTS</w:t>
      </w:r>
      <w:r>
        <w:rPr>
          <w:rFonts w:ascii="Times New Roman;Times;Serif" w:hAnsi="Times New Roman;Times;Serif"/>
          <w:b w:val="false"/>
          <w:i w:val="false"/>
          <w:caps w:val="false"/>
          <w:smallCaps w:val="false"/>
          <w:sz w:val="20"/>
        </w:rPr>
        <w:t>. The Holder shall have no voting rights as the holder of this Note, except as required by law (including, without limitation, the BVI Business Companies Act, 2004) and as expressly provided in this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COVENANTS</w:t>
      </w:r>
      <w:r>
        <w:rPr>
          <w:rFonts w:ascii="Times New Roman;Times;Serif" w:hAnsi="Times New Roman;Times;Serif"/>
          <w:b w:val="false"/>
          <w:i w:val="false"/>
          <w:caps w:val="false"/>
          <w:smallCaps w:val="false"/>
          <w:sz w:val="20"/>
        </w:rPr>
        <w:t>. Until all of the Notes have been converted, redeemed or otherwise satisfied in accordance with their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Rank</w:t>
      </w:r>
      <w:r>
        <w:rPr>
          <w:rFonts w:ascii="Times New Roman;Times;Serif" w:hAnsi="Times New Roman;Times;Serif"/>
          <w:b w:val="false"/>
          <w:i w:val="false"/>
          <w:caps w:val="false"/>
          <w:smallCaps w:val="false"/>
          <w:sz w:val="20"/>
        </w:rPr>
        <w:t xml:space="preserve">. All payments due under this Note (a) shall rank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all Other Notes and (b) shall be senior to all other Indebtedness of the Company and its Subsidiaries.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Incurrence of Indebtedness</w:t>
      </w:r>
      <w:r>
        <w:rPr>
          <w:rFonts w:ascii="Times New Roman;Times;Serif" w:hAnsi="Times New Roman;Times;Serif"/>
          <w:b w:val="false"/>
          <w:i w:val="false"/>
          <w:caps w:val="false"/>
          <w:smallCaps w:val="false"/>
          <w:sz w:val="20"/>
        </w:rPr>
        <w:t>. The Company shall not, and the Company shall cause each of its Subsidiaries to not, directly or indirectly, incur or guarantee, assume or suffer to exist any Indebtedness (other than (i) the Indebtedness evidenced by this Note and the Other Notes and (ii) other Permitted Indebtedness).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Existence of Liens</w:t>
      </w:r>
      <w:r>
        <w:rPr>
          <w:rFonts w:ascii="Times New Roman;Times;Serif" w:hAnsi="Times New Roman;Times;Serif"/>
          <w:b w:val="false"/>
          <w:i w:val="false"/>
          <w:caps w:val="false"/>
          <w:smallCaps w:val="false"/>
          <w:sz w:val="20"/>
        </w:rPr>
        <w:t>. The Company shall not, and the Company shall cause each of its Subsidiaries to not, directly or indirectly, allow or suffer to exist any mortgage, lien, pledge, charge, security interest or other encumbrance upon or in any property or assets (including accounts and contract rights) owned by the Company or any of its Subsidiaries (collectively, “</w:t>
      </w:r>
      <w:r>
        <w:rPr>
          <w:rFonts w:ascii="Times New Roman;Times;Serif" w:hAnsi="Times New Roman;Times;Serif"/>
          <w:b/>
          <w:i w:val="false"/>
          <w:caps w:val="false"/>
          <w:smallCaps w:val="false"/>
          <w:sz w:val="20"/>
        </w:rPr>
        <w:t>Liens</w:t>
      </w:r>
      <w:r>
        <w:rPr>
          <w:rFonts w:ascii="Times New Roman;Times;Serif" w:hAnsi="Times New Roman;Times;Serif"/>
          <w:b w:val="false"/>
          <w:i w:val="false"/>
          <w:caps w:val="false"/>
          <w:smallCaps w:val="false"/>
          <w:sz w:val="20"/>
        </w:rPr>
        <w:t>”) other than Permitted Liens.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Restricted Payments and Investments</w:t>
      </w:r>
      <w:r>
        <w:rPr>
          <w:rFonts w:ascii="Times New Roman;Times;Serif" w:hAnsi="Times New Roman;Times;Serif"/>
          <w:b w:val="false"/>
          <w:i w:val="false"/>
          <w:caps w:val="false"/>
          <w:smallCaps w:val="false"/>
          <w:sz w:val="20"/>
        </w:rPr>
        <w:t>. The Company shall not, and the Company shall cause each of its Subsidiaries to not, directly or indirectly, redeem, defease, repurchase, repay or make any payments in respect of, by the payment of cash or cash equivalents (in whole or in part, whether by way of open market purchases, tender offers, private transactions or otherwise), all or any portion of any Indebtedness (other than the Notes) whether by way of payment in respect of principal of (or premium, if any) or interest on, such Indebtedness or make any Investment, as applicable, if at the time such payment with respect to such Indebtedness and/or Investment, as applicable, is due or is otherwise made or, after giving effect to such payment, (i) an event constituting an Event of Default has occurred and is continuing or (ii) an event that with the passage of time and without being cured would constitute an Event of Default has occurred and is continuing.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Restriction on Redemption and Cash Dividends</w:t>
      </w:r>
      <w:r>
        <w:rPr>
          <w:rFonts w:ascii="Times New Roman;Times;Serif" w:hAnsi="Times New Roman;Times;Serif"/>
          <w:b w:val="false"/>
          <w:i w:val="false"/>
          <w:caps w:val="false"/>
          <w:smallCaps w:val="false"/>
          <w:sz w:val="20"/>
        </w:rPr>
        <w:t>. The Company shall not, and the Company shall cause each of its Subsidiaries to not, directly or indirectly, redeem, repurchase or declare or pay any cash dividend or distribution on any of its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Restriction on Transfer of Assets</w:t>
      </w:r>
      <w:r>
        <w:rPr>
          <w:rFonts w:ascii="Times New Roman;Times;Serif" w:hAnsi="Times New Roman;Times;Serif"/>
          <w:b w:val="false"/>
          <w:i w:val="false"/>
          <w:caps w:val="false"/>
          <w:smallCaps w:val="false"/>
          <w:sz w:val="20"/>
        </w:rPr>
        <w:t>. The Company shall not, and the Company shall cause each of its Subsidiaries to not, directly or indirectly, sell, lease, license, assign, transfer, spin-off, split-off, close, convey or otherwise dispose of any assets or rights of the Company or any Subsidiary owned or hereafter acquired whether in a single transaction or a series of related transactions (each, an “</w:t>
      </w:r>
      <w:r>
        <w:rPr>
          <w:rFonts w:ascii="Times New Roman;Times;Serif" w:hAnsi="Times New Roman;Times;Serif"/>
          <w:b/>
          <w:i w:val="false"/>
          <w:caps w:val="false"/>
          <w:smallCaps w:val="false"/>
          <w:sz w:val="20"/>
        </w:rPr>
        <w:t>Asset Sale</w:t>
      </w:r>
      <w:r>
        <w:rPr>
          <w:rFonts w:ascii="Times New Roman;Times;Serif" w:hAnsi="Times New Roman;Times;Serif"/>
          <w:b w:val="false"/>
          <w:i w:val="false"/>
          <w:caps w:val="false"/>
          <w:smallCaps w:val="false"/>
          <w:sz w:val="20"/>
        </w:rPr>
        <w:t>”), other than (i) sales, leases, licenses, assignments, transfers, conveyances and other dispositions of such assets or rights by the Company and its Subsidiaries in the ordinary course of business consistent with its past practice, (ii) sales of inventory and product in the ordinary course of business and (iii) Permitted Sales.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Maturity of Indebtedness</w:t>
      </w:r>
      <w:r>
        <w:rPr>
          <w:rFonts w:ascii="Times New Roman;Times;Serif" w:hAnsi="Times New Roman;Times;Serif"/>
          <w:b w:val="false"/>
          <w:i w:val="false"/>
          <w:caps w:val="false"/>
          <w:smallCaps w:val="false"/>
          <w:sz w:val="20"/>
        </w:rPr>
        <w:t>. The Company shall not, and the Company shall cause each of its Subsidiaries to not, directly or indirectly, permit any Indebtedness of the Company or any of its Subsidiaries to mature or accelerate prior to the Maturity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Change in Nature of Business</w:t>
      </w:r>
      <w:r>
        <w:rPr>
          <w:rFonts w:ascii="Times New Roman;Times;Serif" w:hAnsi="Times New Roman;Times;Serif"/>
          <w:b w:val="false"/>
          <w:i w:val="false"/>
          <w:caps w:val="false"/>
          <w:smallCaps w:val="false"/>
          <w:sz w:val="20"/>
        </w:rPr>
        <w:t>. The Company shall not, and the Company shall cause each of its Subsidiaries to not, directly or indirectly, engage in any material line of business substantially different from those lines of business conducted by or publicly contemplated to be conducted by the Company and each of its Subsidiaries on the Subscription Date or any business substantially related or incidental thereto, other than in the course of Announced Transactions. The Company shall not, and the Company shall cause each of its Subsidiaries to not, directly or indirectly, modify its or their corporate structure or purpose.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Preservation of Existence, Etc.</w:t>
      </w:r>
      <w:r>
        <w:rPr>
          <w:rFonts w:ascii="Times New Roman;Times;Serif" w:hAnsi="Times New Roman;Times;Serif"/>
          <w:b w:val="false"/>
          <w:i w:val="false"/>
          <w:caps w:val="false"/>
          <w:smallCaps w:val="false"/>
          <w:sz w:val="20"/>
        </w:rPr>
        <w:t xml:space="preserve"> The Company shall maintain and preserve, and cause each of its Subsidiaries to maintain and preserve, its existence, rights and privileges, and become or remain, and cause each of its Subsidiaries to become or remain, duly qualified and in good standing in each jurisdiction in which the character of the properties owned or leased by it or in which the transaction of its business makes such qualification necessary.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Maintenance of Properties, Etc.</w:t>
      </w:r>
      <w:r>
        <w:rPr>
          <w:rFonts w:ascii="Times New Roman;Times;Serif" w:hAnsi="Times New Roman;Times;Serif"/>
          <w:b w:val="false"/>
          <w:i w:val="false"/>
          <w:caps w:val="false"/>
          <w:smallCaps w:val="false"/>
          <w:sz w:val="20"/>
        </w:rPr>
        <w:t xml:space="preserve"> The Company shall maintain and preserve, and cause each of its Subsidiaries to maintain and preserve, all of its properties which are necessary or useful in the proper conduct of its business in good working order and condition, ordinary wear and tear excepted, and comply, and cause each of its Subsidiaries to comply, at all times with the material provisions of all leases to which it is a party as lessee or under which it occupies property, so as to prevent any loss or forfeiture thereof or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Maintenance of Intellectual Property</w:t>
      </w:r>
      <w:r>
        <w:rPr>
          <w:rFonts w:ascii="Times New Roman;Times;Serif" w:hAnsi="Times New Roman;Times;Serif"/>
          <w:b w:val="false"/>
          <w:i w:val="false"/>
          <w:caps w:val="false"/>
          <w:smallCaps w:val="false"/>
          <w:sz w:val="20"/>
        </w:rPr>
        <w:t>. The Company will, and will cause each of its Subsidiaries to, take all action necessary or advisable to maintain all of the Intellectual Property Rights (as defined in the Existing Securities Purchase Agreements) of the Company and/or any of its Subsidiaries that are necessary or material to the conduct of its business in full force and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Maintenance of Insurance</w:t>
      </w:r>
      <w:r>
        <w:rPr>
          <w:rFonts w:ascii="Times New Roman;Times;Serif" w:hAnsi="Times New Roman;Times;Serif"/>
          <w:b w:val="false"/>
          <w:i w:val="false"/>
          <w:caps w:val="false"/>
          <w:smallCaps w:val="false"/>
          <w:sz w:val="20"/>
        </w:rPr>
        <w:t>. The Company shall maintain, and cause each of its Subsidiaries to maintain, insurance with responsible and reputable insurance companies or associations (including, without limitation, comprehensive general liability, hazard, rent and business interruption insurance) with respect to its properties (including all real properties leased or owned by it) and business, in such amounts and covering such risks as is required by any governmental authority having jurisdiction with respect thereto or as is carried generally in accordance with sound business practice by companies in similar businesses similarly situated.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Transactions with Affiliates</w:t>
      </w:r>
      <w:r>
        <w:rPr>
          <w:rFonts w:ascii="Times New Roman;Times;Serif" w:hAnsi="Times New Roman;Times;Serif"/>
          <w:b w:val="false"/>
          <w:i w:val="false"/>
          <w:caps w:val="false"/>
          <w:smallCaps w:val="false"/>
          <w:sz w:val="20"/>
        </w:rPr>
        <w:t>. The Company shall not, nor shall it permit any of its Subsidiaries to, enter into, renew, extend or be a party to, any transaction or series of related transactions (including, without limitation, the purchase, sale, lease, transfer or exchange of property or assets of any kind or the rendering of services of any kind) with any affiliate, except transactions in the ordinary course of business in a manner and to an extent consistent with past practice and necessary or desirable for the prudent operation of its business, for fair consideration and on terms no less favorable to it or its Subsidiaries than would be obtainable in a comparable arm’s length transaction with a Person that is not an affiliate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Restricted Issuances</w:t>
      </w:r>
      <w:r>
        <w:rPr>
          <w:rFonts w:ascii="Times New Roman;Times;Serif" w:hAnsi="Times New Roman;Times;Serif"/>
          <w:b w:val="false"/>
          <w:i w:val="false"/>
          <w:caps w:val="false"/>
          <w:smallCaps w:val="false"/>
          <w:sz w:val="20"/>
        </w:rPr>
        <w:t>. The Company shall not, directly or indirectly, without the prior written consent of the holders of a majority in aggregate principal amount of the Notes then outstanding, (i) issue any Notes (other than as contemplated by the Exchange Agreement and the Notes) or (ii) issue any other securities that would cause a breach or default under the Notes.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Stay, Extension and Usury Laws</w:t>
      </w:r>
      <w:r>
        <w:rPr>
          <w:rFonts w:ascii="Times New Roman;Times;Serif" w:hAnsi="Times New Roman;Times;Serif"/>
          <w:b w:val="false"/>
          <w:i w:val="false"/>
          <w:caps w:val="false"/>
          <w:smallCaps w:val="false"/>
          <w:sz w:val="20"/>
        </w:rPr>
        <w:t>. To the extent that it may lawfully do so, the Company (A) agrees that it will not at any time insist upon, plead, or in any manner whatsoever claim or take the benefit or advantage of, any stay, extension or usury law (wherever or whenever enacted or in force) that may affect the covenants or the performance of this Note; and (B) expressly waives all benefits or advantages of any such law and agrees that it will not, by resort to any such law, hinder, delay or impede the execution of any power granted to the Holder by this Note, but will suffer and permit the execution of every such power as though no such law has been enacted.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The Company and its Subsidiaries shall pay when due all taxes, fees or other charges of any nature whatsoever (together with any related interest or penalties) now or hereafter imposed or assessed against the Company and its Subsidiaries or their respective assets or upon their ownership, possession, use, operation or disposition thereof or upon their rents, receipts or earnings arising therefrom (except where the failure to pay would not, individually or in the aggregate, have a material effect on the Company or any of its Subsidiaries). The Company and its Subsidiaries shall file on or before the due date therefor all personal property tax returns (except where the failure to file would not, individually or in the aggregate, have a material effect on the Company or any of its Subsidiaries). Notwithstanding the foregoing, the Company and its Subsidiaries may contest, in good faith and by appropriate proceedings, taxes for which they maintain adequate reserves therefor in accordance with GAAP.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Independent Investigation</w:t>
      </w:r>
      <w:r>
        <w:rPr>
          <w:rFonts w:ascii="Times New Roman;Times;Serif" w:hAnsi="Times New Roman;Times;Serif"/>
          <w:b w:val="false"/>
          <w:i w:val="false"/>
          <w:caps w:val="false"/>
          <w:smallCaps w:val="false"/>
          <w:sz w:val="20"/>
        </w:rPr>
        <w:t>. At the request of the Holder either (x) at any time when an Event of Default has occurred and is continuing, (y) upon the occurrence of an event that with the passage of time or giving of notice would constitute an Event of Default or (z) at any time the Holder reasonably believes an Event of Default may have occurred or be continuing, the Company shall hire an independent, reputable investment bank, timely selected by the Company and approved by the Holder to investigate as to whether any breach of this Note has occurred (the “</w:t>
      </w:r>
      <w:r>
        <w:rPr>
          <w:rFonts w:ascii="Times New Roman;Times;Serif" w:hAnsi="Times New Roman;Times;Serif"/>
          <w:b/>
          <w:i w:val="false"/>
          <w:caps w:val="false"/>
          <w:smallCaps w:val="false"/>
          <w:sz w:val="20"/>
        </w:rPr>
        <w:t>Independent Investigator</w:t>
      </w:r>
      <w:r>
        <w:rPr>
          <w:rFonts w:ascii="Times New Roman;Times;Serif" w:hAnsi="Times New Roman;Times;Serif"/>
          <w:b w:val="false"/>
          <w:i w:val="false"/>
          <w:caps w:val="false"/>
          <w:smallCaps w:val="false"/>
          <w:sz w:val="20"/>
        </w:rPr>
        <w:t>”), with such fees and expenses borne by the Company (except if no Event of Default then exists or with the passage of time could reasonably be expected to occur, such reasonable fees and expenses shall be borne by the Holder). If the Independent Investigator determines that such breach of this Note has occurred, the Independent Investigator shall notify the Company of such breach and the Company shall deliver written notice to each holder of a Note of such breach. In connection with such investigation, the Independent Investigator may, during normal business hours, inspect all contracts, books, records, personnel, offices and other facilities and properties of the Company and its Subsidiaries and, to the extent available to the Company after the Company uses reasonable efforts to obtain them, the records of its legal advisors and accountants (including the accountants’ work papers) and any books of account, records, reports and other papers not contractually required of the Company to be confidential or secret, or subject to attorney-client or other evidentiary privilege, and the Independent Investigator may make such copies and inspections thereof as the Independent Investigator may reasonably request. The Company shall furnish the Independent Investigator with such financial and operating data and other information with respect to the business and properties of the Company as the Independent Investigator may reasonably request. The Company shall permit the Independent Investigator to discuss the affairs, finances and accounts of the Company with, and to make proposals and furnish advice with respect thereto to, the Company’s officers, directors, key employees and independent public accountants or any of them (and by this provision the Company authorizes said accountants to discuss with such Independent Investigator the finances and affairs of the Company and any Subsidiaries), all at such reasonable times, upon reasonable notice, and as often as may be reasonably requested.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DISTRIBUTION OF ASSETS</w:t>
      </w:r>
      <w:r>
        <w:rPr>
          <w:rFonts w:ascii="Times New Roman;Times;Serif" w:hAnsi="Times New Roman;Times;Serif"/>
          <w:b w:val="false"/>
          <w:i w:val="false"/>
          <w:caps w:val="false"/>
          <w:smallCaps w:val="false"/>
          <w:sz w:val="20"/>
        </w:rPr>
        <w:t>. In addition to any adjustments pursuant to Sections 6 and 7, if the Company shall declare or make any dividend or other distributions of its assets (or rights to acquire its assets) to any or all holders of Ordinary Shares, by way of return of capital or otherwise (including without limitation, any distribution of cash, shares or other securities, property or options by way of a dividend, spin off, reclassification, corporate rearrangement, scheme of arrangement or other similar transaction) (the “</w:t>
      </w:r>
      <w:r>
        <w:rPr>
          <w:rFonts w:ascii="Times New Roman;Times;Serif" w:hAnsi="Times New Roman;Times;Serif"/>
          <w:b/>
          <w:i w:val="false"/>
          <w:caps w:val="false"/>
          <w:smallCaps w:val="false"/>
          <w:sz w:val="20"/>
        </w:rPr>
        <w:t>Distributions</w:t>
      </w:r>
      <w:r>
        <w:rPr>
          <w:rFonts w:ascii="Times New Roman;Times;Serif" w:hAnsi="Times New Roman;Times;Serif"/>
          <w:b w:val="false"/>
          <w:i w:val="false"/>
          <w:caps w:val="false"/>
          <w:smallCaps w:val="false"/>
          <w:sz w:val="20"/>
        </w:rPr>
        <w:t>”), then the Holder will be entitled to such Distributions as if the Holder had held the number of Ordinary Shares acquirable upon complete conversion of this Note (without taking into account any limitations or restrictions on the convertibility of this Note and assuming for such purpose that the Note was converted at the Alternate Conversion Price as of the applicable record date) immediately prior to the date on which a record is taken for such Distribution or, if no such record is taken, the date as of which the record holders of Ordinary Shares are to be determined for such Distributions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Ordinary Shares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AMENDING THE TERMS OF THIS NOTE</w:t>
      </w:r>
      <w:r>
        <w:rPr>
          <w:rFonts w:ascii="Times New Roman;Times;Serif" w:hAnsi="Times New Roman;Times;Serif"/>
          <w:b w:val="false"/>
          <w:i w:val="false"/>
          <w:caps w:val="false"/>
          <w:smallCaps w:val="false"/>
          <w:sz w:val="20"/>
        </w:rPr>
        <w:t>. Except for Section 3(d) and this Section 17, which may not be amended, modified or waived by the parties hereto, the prior written consent of the Holder shall be required for any change, waiver or amendment to this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This Note and any Ordinary Shares issued upon conversion of this Note may be offered, sold, assigned or transferred by the Holder without the consent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val="false"/>
          <w:i w:val="false"/>
          <w:caps w:val="false"/>
          <w:smallCaps w:val="false"/>
          <w:sz w:val="20"/>
          <w:u w:val="single"/>
        </w:rPr>
        <w:t>REISSUANCE OF THIS NOTE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If this Note is to be transferred, the Holder shall surrender this Note to the Company, whereupon the Company will forthwith issue and deliver upon the order of the Holder a new Note (in accordance with Section 19(d)), registered as the Holder may request, representing the outstanding Principal being transferred by the Holder and, if less than the entire outstanding Principal is being transferred, a new Note (in accordance with Section 19(d)) to the Holder representing the outstanding Principal not being transferred. The Holder and any assignee, by acceptance of this Note, acknowledge and agree that, by reason of the provisions of Section 3(c)(iii) following conversion or redemption of any portion of this Note, the outstanding Principal represented by this Note may be less than the Principal stated on the face of this Note.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Lost, Stolen or Mutilated Note</w:t>
      </w:r>
      <w:r>
        <w:rPr>
          <w:rFonts w:ascii="Times New Roman;Times;Serif" w:hAnsi="Times New Roman;Times;Serif"/>
          <w:b w:val="false"/>
          <w:i w:val="false"/>
          <w:caps w:val="false"/>
          <w:smallCaps w:val="false"/>
          <w:sz w:val="20"/>
        </w:rPr>
        <w:t>. Upon receipt by the Company of evidence reasonably satisfactory to the Company of the loss, theft, destruction or mutilation of this Note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Note, the Company shall execute and deliver to the Holder a new Note (in accordance with Section 19(d)) representing the outstanding Principal.</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Note Exchangeable for Different Denominations</w:t>
      </w:r>
      <w:r>
        <w:rPr>
          <w:rFonts w:ascii="Times New Roman;Times;Serif" w:hAnsi="Times New Roman;Times;Serif"/>
          <w:b w:val="false"/>
          <w:i w:val="false"/>
          <w:caps w:val="false"/>
          <w:smallCaps w:val="false"/>
          <w:sz w:val="20"/>
        </w:rPr>
        <w:t>. This Note is exchangeable, upon the surrender hereof by the Holder at the principal office of the Company, for a new Note or Notes (in accordance with Section 19(d) and in principal amounts of at least $1,000) representing in the aggregate the outstanding Principal of this Note, and each such new Note will represent such portion of such outstanding Principal as is designated by the Holder at the time of such surrender.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Issuance of New Notes</w:t>
      </w:r>
      <w:r>
        <w:rPr>
          <w:rFonts w:ascii="Times New Roman;Times;Serif" w:hAnsi="Times New Roman;Times;Serif"/>
          <w:b w:val="false"/>
          <w:i w:val="false"/>
          <w:caps w:val="false"/>
          <w:smallCaps w:val="false"/>
          <w:sz w:val="20"/>
        </w:rPr>
        <w:t>. Whenever the Company is required to issue a new Note pursuant to the terms of this Note, such new Note (i) shall be of like tenor with this Note, (ii) shall represent, as indicated on the face of such new Note, the Principal remaining outstanding (or in the case of a new Note being issued pursuant to Section 19(a) or Section 19(c), the Principal designated by the Holder which, when added to the principal represented by the other new Notes issued in connection with such issuance, does not exceed the Principal remaining outstanding under this Note immediately prior to such issuance of new Notes), (iii) shall have an issuance date, as indicated on the face of such new Note, which is the same as the Issuance Date of this Note, (iv) shall have an exchange date, as indicated on the face of such new Note, which is the same as the Exchange Date of this Note, (v) shall have the same rights and conditions as this Note, and (vi) shall represent accrued and unpaid Default Interest and Late Charges on the Principal and Default Interest of this Note, from the Issuance Date.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jc w:val="center"/>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r>
        <w:rPr>
          <w:rFonts w:ascii="Times New Roman;Times;Serif" w:hAnsi="Times New Roman;Times;Serif"/>
          <w:b w:val="false"/>
          <w:i w:val="false"/>
          <w:caps w:val="false"/>
          <w:smallCaps w:val="false"/>
          <w:sz w:val="20"/>
          <w:u w:val="single"/>
        </w:rPr>
        <w:t>REMEDIES, CHARACTERIZATIONS, OTHER OBLIGATIONS, BREACHES AND INJUNCTIVE RELIEF</w:t>
      </w:r>
      <w:r>
        <w:rPr>
          <w:rFonts w:ascii="Times New Roman;Times;Serif" w:hAnsi="Times New Roman;Times;Serif"/>
          <w:b w:val="false"/>
          <w:i w:val="false"/>
          <w:caps w:val="false"/>
          <w:smallCaps w:val="false"/>
          <w:sz w:val="20"/>
        </w:rPr>
        <w:t>. The remedies provided in this Note shall be cumulative and in addition to all other remedies available under this Note, any of the other Transaction Documents and/or any of the other Exchange Documents, as applicable, at law or in equity (including a decree of specific performance and/or other injunctive relief), and nothing herein shall limit the Holder’s right to pursue actual and consequential damages for any failure by the Company to comply with the terms of this Note. No failure on the part of the Holder to exercise, and no delay in exercising, any right, power or remedy hereunder shall operate as a waiver thereof; nor shall any single or partial exercise by the Holder of any right, power or remedy preclude any other or further exercise thereof or the exercise of any other right, power or remedy. In addition, the exercise of any right or remedy of the Holder at law or equity or under this Note or any of the documents shall not be deemed to be an election of Holder’s rights or remedies under such documents or at law or equity. The Company covenants to the Holder that there shall be no characterization concerning this instrument other than as expressly provided herein. Amounts set forth or provided for herein with respect to payments, conversion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specific performance and/or temporary, preliminary and permanent injunctive or other equitable relief from any court of competent jurisdiction in any such case without the necessity of proving actual damages and without posting a bond or other security. The Company shall provide all information and documentation to the Holder that is requested by the Holder to enable the Holder to confirm the Company’s compliance with the terms and conditions of this Note (including, without limitation, compliance with Section 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PAYMENT OF COLLECTION, ENFORCEMENT AND OTHER COSTS</w:t>
      </w:r>
      <w:r>
        <w:rPr>
          <w:rFonts w:ascii="Times New Roman;Times;Serif" w:hAnsi="Times New Roman;Times;Serif"/>
          <w:b w:val="false"/>
          <w:i w:val="false"/>
          <w:caps w:val="false"/>
          <w:smallCaps w:val="false"/>
          <w:sz w:val="20"/>
        </w:rPr>
        <w:t>. If (a) this Note is placed in the hands of an attorney for collection or enforcement or is collected or enforced through any legal proceeding or the Holder otherwise takes action to collect amounts due under this Note or to enforce the provisions of this Note or (b) there occurs any bankruptcy, reorganization, receivership of the Company or other proceedings affecting Company creditors’ rights and involving a claim under this Note, then the Company shall pay the costs incurred by the Holder for such collection, enforcement or action or in connection with such bankruptcy, reorganization, receivership or other proceeding, including, without limitation, attorneys’ fees and disbursements. The Company expressly acknowledges and agrees that no amounts due under this Note shall be affected, or limited, by the fact that the purchase price paid for this Note was less than the original Principal amount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CONSTRUCTION; HEADINGS</w:t>
      </w:r>
      <w:r>
        <w:rPr>
          <w:rFonts w:ascii="Times New Roman;Times;Serif" w:hAnsi="Times New Roman;Times;Serif"/>
          <w:b w:val="false"/>
          <w:i w:val="false"/>
          <w:caps w:val="false"/>
          <w:smallCaps w:val="false"/>
          <w:sz w:val="20"/>
        </w:rPr>
        <w:t>. This Note shall be deemed to be jointly drafted by the Company and the initial Holder and shall not be construed against any such Person as the drafter hereof. The headings of this Note are for convenience of reference and shall not form part of, or affect the interpretation of, this Note.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Note instead of just the provision in which they are found. Unless expressly indicated otherwise, all section references are to sections of this Note. Terms used in this Note and not otherwise defined herein, but defined in the other Transaction Documents and/or Exchange Documents, as applicable, shall have the meanings ascribed to such terms on the Exchange Date in such other Transaction Documents and/or Exchange Documents, as applicable, unless otherwise consented to in writing by the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FAILURE OR INDULGENCE NOT WAIVER</w:t>
      </w:r>
      <w:r>
        <w:rPr>
          <w:rFonts w:ascii="Times New Roman;Times;Serif" w:hAnsi="Times New Roman;Times;Serif"/>
          <w:b w:val="false"/>
          <w:i w:val="false"/>
          <w:caps w:val="false"/>
          <w:smallCaps w:val="false"/>
          <w:sz w:val="20"/>
        </w:rPr>
        <w:t>.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 No waiver shall be effective unless it is in writing and signed by an authorized representative of the waiving party. Notwithstanding the foregoing, nothing contained in this Section 23 shall permit any waiver of any provision of Section 3(d).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DISPUTE RESOLUTION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Submission to Dispute Resolution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case of a dispute relating to a Closing Bid Price, a Closing Sale Price, a Conversion Price, an Alternate Conversion Price, a VWAP or a fair market value or the arithmetic calculation of a Conversion Rate or the applicable Redemption Price (as the case may be) (including, without limitation, a dispute relating to the determination of any of the foregoing), the Company or the Holder (as the case may be) shall submit the dispute to the other party via electronic mail (A) if by the Company, within two (2) Business Days after the occurrence of the circumstances giving rise to such dispute or (B) if by the Holder at any time after the Holder learned of the circumstances giving rise to such dispute. If the Holder and the Company are unable to promptly resolve such dispute relating to such Closing Bid Price, such Closing Sale Price, such Conversion Price, such Alternate Conversion Price, such VWAP or such fair market value, or the arithmetic calculation of such Conversion Rate or such applicable Redemption Price (as the case may be), at any time after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Business Day following such initial notice by the Company or the Holder (as the case may be) of such dispute to the Company or the Holder (as the case may be), then the Holder may, at its sole option, select an independent, reputable investment bank reasonably acceptable to the Company (so long as such consent or approval by the Company is not unreasonably or untimely delayed) to resolve such dispute.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jc w:val="center"/>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Holder and the Company shall each deliver to such investment bank (A) a copy of the initial dispute submission so delivered in accordance with the first sentence of this Section 24 and (B) written documentation supporting its position with respect to such dispute, in each case, no later than 5:00 p.m. (New York time) by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Business Day immediately following the date on which the Holder selected such investment bank (the “</w:t>
      </w:r>
      <w:r>
        <w:rPr>
          <w:rFonts w:ascii="Times New Roman;Times;Serif" w:hAnsi="Times New Roman;Times;Serif"/>
          <w:b/>
          <w:i w:val="false"/>
          <w:caps w:val="false"/>
          <w:smallCaps w:val="false"/>
          <w:sz w:val="20"/>
        </w:rPr>
        <w:t>Dispute Submission Deadline</w:t>
      </w:r>
      <w:r>
        <w:rPr>
          <w:rFonts w:ascii="Times New Roman;Times;Serif" w:hAnsi="Times New Roman;Times;Serif"/>
          <w:b w:val="false"/>
          <w:i w:val="false"/>
          <w:caps w:val="false"/>
          <w:smallCaps w:val="false"/>
          <w:sz w:val="20"/>
        </w:rPr>
        <w:t>”) (the documents referred to in the immediately preceding clauses (A) and (B) are collectively referred to herein as the “</w:t>
      </w:r>
      <w:r>
        <w:rPr>
          <w:rFonts w:ascii="Times New Roman;Times;Serif" w:hAnsi="Times New Roman;Times;Serif"/>
          <w:b/>
          <w:i w:val="false"/>
          <w:caps w:val="false"/>
          <w:smallCaps w:val="false"/>
          <w:sz w:val="20"/>
        </w:rPr>
        <w:t>Required Dispute Documentation</w:t>
      </w:r>
      <w:r>
        <w:rPr>
          <w:rFonts w:ascii="Times New Roman;Times;Serif" w:hAnsi="Times New Roman;Times;Serif"/>
          <w:b w:val="false"/>
          <w:i w:val="false"/>
          <w:caps w:val="false"/>
          <w:smallCaps w:val="false"/>
          <w:sz w:val="20"/>
        </w:rPr>
        <w:t>”) (it being understood and agreed that if either the Holder or the Company fails to so deliver all of the Required Dispute Documentation by the Dispute Submission Deadline, then the party who fails to so submit all of the Required Dispute Documentation shall no longer be entitled to (and hereby waives its right to) deliver or submit any written documentation or other support to such investment bank with respect to such dispute and such investment bank shall resolve such dispute based solely on the Required Dispute Documentation that was delivered to such investment bank prior to the Dispute Submission Deadline). Unless otherwise agreed to in writing by both the Company and the Holder or otherwise requested by such investment bank, neither the Company nor the Holder shall be entitled to deliver or submit any written documentation or other support to such investment bank in connection with such dispute (other than the Required Dispute Documentation).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and the Holder shall cause such investment bank to determine the resolution of such dispute and notify the Company and the Holder of such resolution no later than ten (10) Business Days immediately following the Dispute Submission Deadline. The fees and expenses of such investment bank shall be borne solely by the Company, and such investment bank’s resolution of such dispute shall be final and binding upon all parties absent manifest error.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 The Company expressly acknowledges and agrees that (i) this Section 24 constitutes an agreement to arbitrate between the Company and the Holder (and constitutes an arbitration agreement) under the Delaware Rapid Arbitration Act, as amended, (ii) the terms of this Note, each other applicable Transaction Document and/or each other applicable Exchange Document shall serve as the basis for the selected investment bank’s resolution of the applicable dispute, such investment bank shall be entitled (and is hereby expressly authorized) to make all findings, determinations and the like that such investment bank determines are required to be made by such investment bank in connection with its resolution of such dispute and in resolving such dispute such investment bank shall apply such findings, determinations and the like to the terms of this Note, any other applicable Transaction Documents and/or any other applicable Exchange Documents, (iii) the Holder (and only the Holder), in its sole discretion, shall have the right to submit any dispute described in this Section 24 to any state or federal court sitting in Wilmington, Delaware in lieu of utilizing the procedures set forth in this Section 24 and (iv) nothing in this Section 24 shall limit the Holder from obtaining any injunctive relief or other equitable remedies (including, without limitation, with respect to any matters described in this Section 24).</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val="false"/>
          <w:i w:val="false"/>
          <w:caps w:val="false"/>
          <w:smallCaps w:val="false"/>
          <w:sz w:val="20"/>
          <w:u w:val="single"/>
        </w:rPr>
        <w:t>NOTICES; CURRENCY; PAYMENTS</w:t>
      </w:r>
      <w:r>
        <w:rPr>
          <w:rFonts w:ascii="Times New Roman;Times;Serif" w:hAnsi="Times New Roman;Times;Serif"/>
          <w:b w:val="false"/>
          <w:i w:val="false"/>
          <w:caps w:val="false"/>
          <w:smallCaps w:val="false"/>
          <w:sz w:val="20"/>
        </w:rPr>
        <w:t>.</w:t>
      </w:r>
    </w:p>
    <w:p>
      <w:pPr>
        <w:pStyle w:val="TextBody"/>
        <w:bidi w:val="0"/>
        <w:spacing w:before="0" w:after="0"/>
        <w:ind w:left="353"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Whenever notice is required to be given under this Note, unless otherwise provided herein, such notice shall be given in accordance with Section 9(f) of the Existing Securities Purchase Agreements. The Company shall provide the Holder with prompt written notice of all actions taken pursuant to this Note, including in reasonable detail a description of such action and the reason therefore. Without limiting the generality of the foregoing, the Company will give written notice to the Holder (i) immediately upon any adjustment of the Conversion Price, setting forth in reasonable detail, and certifying, the calculation of such adjustment and (ii) at least five (5) Trading Days prior to the date on which the Company closes its books or takes a record (A) with respect to any dividend or distribution upon the Ordinary Shares or (B) for determining rights to vote with respect to any Fundamental Transaction, dissolution or liquidation, provided in each case that such information shall be made known to the public prior to or in conjunction with such notice being provided to the Holder.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Currency</w:t>
      </w:r>
      <w:r>
        <w:rPr>
          <w:rFonts w:ascii="Times New Roman;Times;Serif" w:hAnsi="Times New Roman;Times;Serif"/>
          <w:b w:val="false"/>
          <w:i w:val="false"/>
          <w:caps w:val="false"/>
          <w:smallCaps w:val="false"/>
          <w:sz w:val="20"/>
        </w:rPr>
        <w:t>. All dollar amounts referred to in this Note are in United States Dollars (“</w:t>
      </w:r>
      <w:r>
        <w:rPr>
          <w:rFonts w:ascii="Times New Roman;Times;Serif" w:hAnsi="Times New Roman;Times;Serif"/>
          <w:b/>
          <w:i w:val="false"/>
          <w:caps w:val="false"/>
          <w:smallCaps w:val="false"/>
          <w:sz w:val="20"/>
        </w:rPr>
        <w:t>U.S. Dollars</w:t>
      </w:r>
      <w:r>
        <w:rPr>
          <w:rFonts w:ascii="Times New Roman;Times;Serif" w:hAnsi="Times New Roman;Times;Serif"/>
          <w:b w:val="false"/>
          <w:i w:val="false"/>
          <w:caps w:val="false"/>
          <w:smallCaps w:val="false"/>
          <w:sz w:val="20"/>
        </w:rPr>
        <w:t>”), and all amounts owing under this Note shall be paid in U.S. Dollars. All amounts denominated in other currencies (if any) shall be converted into the U.S. Dollar equivalent amount in accordance with the Exchange Rate on the date of calculation. “</w:t>
      </w:r>
      <w:r>
        <w:rPr>
          <w:rFonts w:ascii="Times New Roman;Times;Serif" w:hAnsi="Times New Roman;Times;Serif"/>
          <w:b/>
          <w:i w:val="false"/>
          <w:caps w:val="false"/>
          <w:smallCaps w:val="false"/>
          <w:sz w:val="20"/>
        </w:rPr>
        <w:t>Exchange Rate</w:t>
      </w:r>
      <w:r>
        <w:rPr>
          <w:rFonts w:ascii="Times New Roman;Times;Serif" w:hAnsi="Times New Roman;Times;Serif"/>
          <w:b w:val="false"/>
          <w:i w:val="false"/>
          <w:caps w:val="false"/>
          <w:smallCaps w:val="false"/>
          <w:sz w:val="20"/>
        </w:rPr>
        <w:t>” means, in relation to any amount of currency to be converted into U.S. Dollars pursuant to this Note, the U.S. Dollar exchange rate as published in the Wall Street Journal on the relevant date of calculation (it being understood and agreed that where an amount is calculated with reference to, or over, a period of time, the date of calculation shall be the final date of such period of time).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Payments</w:t>
      </w:r>
      <w:r>
        <w:rPr>
          <w:rFonts w:ascii="Times New Roman;Times;Serif" w:hAnsi="Times New Roman;Times;Serif"/>
          <w:b w:val="false"/>
          <w:i w:val="false"/>
          <w:caps w:val="false"/>
          <w:smallCaps w:val="false"/>
          <w:sz w:val="20"/>
        </w:rPr>
        <w:t>. Whenever any payment of cash is to be made by the Company to any Person pursuant to this Note, unless otherwise expressly set forth herein, such payment shall be made in lawful money of the United States of America by a certified check drawn on the account of the Company and sent via overnight courier service to such Person at such address as previously provided to the Company in writing (which address shall initially be as set forth on the Schedule of Buyers attached to the Existing Securities Purchase Agreements), provided that the Holder may elect to receive a payment of cash via wire transfer of immediately available funds by providing the Company with prior written notice setting out such request and the Holder’s wire transfer instructions. Whenever any amount expressed to be due by the terms of this Note is due on any day which is not a Business Day, the same shall instead be due on the next succeeding day which is a Business Day. Any amount of Principal or other amounts due under the Transaction Documents and/or the Exchange Documents, as applicable, which is not paid when due shall result in a late charge being incurred and payable by the Company in an amount equal to interest on such amount at the rate of eighteen percent (18%) per annum from the date such amount was due until the same is paid in full (“</w:t>
      </w:r>
      <w:r>
        <w:rPr>
          <w:rFonts w:ascii="Times New Roman;Times;Serif" w:hAnsi="Times New Roman;Times;Serif"/>
          <w:b/>
          <w:i w:val="false"/>
          <w:caps w:val="false"/>
          <w:smallCaps w:val="false"/>
          <w:sz w:val="20"/>
        </w:rPr>
        <w:t>Late Charge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b w:val="false"/>
          <w:i w:val="false"/>
          <w:caps w:val="false"/>
          <w:smallCaps w:val="false"/>
          <w:sz w:val="20"/>
          <w:u w:val="single"/>
        </w:rPr>
        <w:t>CANCELLATION</w:t>
      </w:r>
      <w:r>
        <w:rPr>
          <w:rFonts w:ascii="Times New Roman;Times;Serif" w:hAnsi="Times New Roman;Times;Serif"/>
          <w:b w:val="false"/>
          <w:i w:val="false"/>
          <w:caps w:val="false"/>
          <w:smallCaps w:val="false"/>
          <w:sz w:val="20"/>
        </w:rPr>
        <w:t>. After all Principal, accrued Default Interest, Late Charges and other amounts at any time owed on this Note have been paid in full, this Note shall automatically be deemed canceled, shall be surrendered to the Company for cancellation and shall not be reissued.</w:t>
      </w:r>
    </w:p>
    <w:p>
      <w:pPr>
        <w:pStyle w:val="TextBody"/>
        <w:bidi w:val="0"/>
        <w:spacing w:before="0" w:after="0"/>
        <w:ind w:left="353"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27.  </w:t>
      </w:r>
      <w:r>
        <w:rPr>
          <w:rFonts w:ascii="Times New Roman;Times;Serif" w:hAnsi="Times New Roman;Times;Serif"/>
          <w:b w:val="false"/>
          <w:i w:val="false"/>
          <w:caps w:val="false"/>
          <w:smallCaps w:val="false"/>
          <w:sz w:val="20"/>
          <w:u w:val="single"/>
        </w:rPr>
        <w:t>WAIVER OF NOTICE</w:t>
      </w:r>
      <w:r>
        <w:rPr>
          <w:rFonts w:ascii="Times New Roman;Times;Serif" w:hAnsi="Times New Roman;Times;Serif"/>
          <w:b w:val="false"/>
          <w:i w:val="false"/>
          <w:caps w:val="false"/>
          <w:smallCaps w:val="false"/>
          <w:sz w:val="20"/>
        </w:rPr>
        <w:t>. To the extent permitted by law, the Company hereby irrevocably waives demand, notice, presentment, protest and all other demands and notices in connection with the delivery, acceptance, performance, default or enforcement of this Note and the Existing Securities Purchase Agreements.</w:t>
      </w:r>
    </w:p>
    <w:p>
      <w:pPr>
        <w:pStyle w:val="TextBody"/>
        <w:bidi w:val="0"/>
        <w:spacing w:before="0" w:after="0"/>
        <w:ind w:left="353"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28. 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xml:space="preserve">. This Note shall be construed and enforced in accordance with, and all questions concerning the construction, validity, interpretation and performance of this Note shall be governed by, the internal laws of the State of Delaware, without giving effect to any provision of law or rule (whether of the State of Delaware or any other jurisdictions) that would cause the application of the laws of any jurisdictions other than the State of Delaware. Except as otherwise required by Section 24 above, the Company hereby irrevocably submits to the exclusive jurisdiction of the state and federal courts sitting in Wilmington, Delaware,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to limit in any way any right to serve process in any manner permitted by law. Nothing contained herein (i)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or (ii) shall limit, or shall be deemed or construed to limit, any provision of Section 24. The Company (on behalf of itself and each of its Subsidiaries) hereby appoints CT Corporation, as its agent for service of process in Delaware. </w:t>
      </w:r>
      <w:r>
        <w:rPr>
          <w:rFonts w:ascii="Times New Roman;Times;Serif" w:hAnsi="Times New Roman;Times;Serif"/>
          <w:b/>
          <w:i w:val="false"/>
          <w:caps w:val="false"/>
          <w:smallCaps w:val="false"/>
          <w:sz w:val="20"/>
        </w:rPr>
        <w:t xml:space="preserve">THE COMPANY HEREBY IRREVOCABLY WAIVES ANY RIGHT IT MAY HAVE TO, AND AGREES NOT TO REQUEST, A JURY TRIAL FOR THE ADJUDICATION OF ANY DISPUTE HEREUNDER OR IN CONNECTION WITH OR ARISING OUT OF THIS NOTE OR ANY TRANSACTION CONTEMPLATED HEREBY. </w:t>
      </w:r>
      <w:r>
        <w:rPr>
          <w:rFonts w:ascii="Times New Roman;Times;Serif" w:hAnsi="Times New Roman;Times;Serif"/>
          <w:b w:val="false"/>
          <w:i w:val="false"/>
          <w:caps w:val="false"/>
          <w:smallCaps w:val="false"/>
          <w:sz w:val="20"/>
        </w:rPr>
        <w:t>The choice of the laws of the State of Delaware as the governing law of this Note is a valid choice of law and would be recognized and given effect to in any action brought before a court of competent jurisdiction in the British Virgin Islands, except for those laws (i) which such court considers to be procedural in nature, (ii) which are revenue or penal laws or (iii) the application of which would be inconsistent with public policy, as such term is interpreted under the laws of the British Virgin Islands. The choice of laws of the State of Delaware as the governing law of this Note will be honored by competent courts in the PRC, subject to compliance with relevant PRC civil procedural requirements. The Company or any of their respective properties, assets or revenues does not have any right of immunity under British Virgin Islands, the PRC or Delaware law, from any legal action, suit or proceeding, from the giving of any relief in any such legal action, suit or proceeding, from set-off or counterclaim, from the jurisdiction of any British Virgin Islands and the PRC, Delaware or United States federal court, from service of process, attachment upon or prior to judgment, or attachment in aid of execution of judgment, or from execution of a judgment, or other legal process or proceeding for the giving of any relief or for the enforcement of a judgment, in any such court, with respect to its obligations, liabilities or any other matter under or arising out of or in connection with this Note; and, to the extent that the Company, or any of its properties, assets or revenues may have or may hereafter become entitled to any such right of immunity in any such court in which proceedings may at any time be commenced, the Company hereby waives such right to the extent permitted by law and hereby consents to such relief and enforcement as provided in this Note, the other Transaction Documents and/or the other Exchange Documents,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29.  </w:t>
      </w:r>
      <w:r>
        <w:rPr>
          <w:rFonts w:ascii="Times New Roman;Times;Serif" w:hAnsi="Times New Roman;Times;Serif"/>
          <w:b w:val="false"/>
          <w:i w:val="false"/>
          <w:caps w:val="false"/>
          <w:smallCaps w:val="false"/>
          <w:sz w:val="20"/>
          <w:u w:val="single"/>
        </w:rPr>
        <w:t>JUDGMENT CURRENCY</w:t>
      </w:r>
      <w:r>
        <w:rPr>
          <w:rFonts w:ascii="Times New Roman;Times;Serif" w:hAnsi="Times New Roman;Times;Serif"/>
          <w:b w:val="false"/>
          <w:i w:val="false"/>
          <w:caps w:val="false"/>
          <w:smallCaps w:val="false"/>
          <w:sz w:val="20"/>
        </w:rPr>
        <w:t>.</w:t>
      </w:r>
    </w:p>
    <w:p>
      <w:pPr>
        <w:pStyle w:val="TextBody"/>
        <w:bidi w:val="0"/>
        <w:spacing w:before="0" w:after="0"/>
        <w:ind w:left="353"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for the purpose of obtaining or enforcing judgment against the Company in any court in any jurisdiction it becomes necessary to convert into any other currency (such other currency being hereinafter in this Section 29 referred to as the “</w:t>
      </w:r>
      <w:r>
        <w:rPr>
          <w:rFonts w:ascii="Times New Roman;Times;Serif" w:hAnsi="Times New Roman;Times;Serif"/>
          <w:b/>
          <w:i w:val="false"/>
          <w:caps w:val="false"/>
          <w:smallCaps w:val="false"/>
          <w:sz w:val="20"/>
        </w:rPr>
        <w:t>Judgment Currency</w:t>
      </w:r>
      <w:r>
        <w:rPr>
          <w:rFonts w:ascii="Times New Roman;Times;Serif" w:hAnsi="Times New Roman;Times;Serif"/>
          <w:b w:val="false"/>
          <w:i w:val="false"/>
          <w:caps w:val="false"/>
          <w:smallCaps w:val="false"/>
          <w:sz w:val="20"/>
        </w:rPr>
        <w:t>”) an amount due in U.S. dollars under this Note, the conversion shall be made at the Exchange Rate prevailing on the Trading Day immediately preceding: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date actual payment of the amount due, in the case of any proceeding in the courts of Delaware or in the courts of any other jurisdiction that will give effect to such conversion being made on such date: or</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date on which the foreign court determines, in the case of any proceeding in the courts of any other jurisdiction (the date as of which such conversion is made pursuant to this Section 29(a)(ii) being hereinafter referred to as the “</w:t>
      </w:r>
      <w:r>
        <w:rPr>
          <w:rFonts w:ascii="Times New Roman;Times;Serif" w:hAnsi="Times New Roman;Times;Serif"/>
          <w:b/>
          <w:i w:val="false"/>
          <w:caps w:val="false"/>
          <w:smallCaps w:val="false"/>
          <w:sz w:val="20"/>
        </w:rPr>
        <w:t>Judgment Conversion Date</w:t>
      </w:r>
      <w:r>
        <w:rPr>
          <w:rFonts w:ascii="Times New Roman;Times;Serif" w:hAnsi="Times New Roman;Times;Serif"/>
          <w:b w:val="false"/>
          <w:i w:val="false"/>
          <w:caps w:val="false"/>
          <w:smallCaps w:val="false"/>
          <w:sz w:val="20"/>
        </w:rPr>
        <w:t>”).</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in the case of any proceeding in the court of any jurisdiction referred to in Section 29(a)(ii) above, there is a change in the Exchange Rate prevailing between the Judgment Conversion Date and the date of actual payment of the amount due, the applicable party shall pay such adjusted amount as may be necessary to ensure that the amount paid in the Judgment Currency, when converted at the Exchange Rate prevailing on the date of payment, will produce the amount of US dollars which could have been purchased with the amount of Judgment Currency stipulated in the judgment or judicial order at the Exchange Rate prevailing on the Judgment Conversion Date.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amount due from the Company under this provision shall be due as a separate debt and shall not be affected by judgment being obtained for any other amounts due under or in respect of this Note.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30. 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Note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Note so long as this Note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pStyle w:val="TextBody"/>
        <w:bidi w:val="0"/>
        <w:spacing w:before="0" w:after="0"/>
        <w:ind w:left="353" w:right="0" w:firstLine="720"/>
        <w:jc w:val="both"/>
        <w:rPr>
          <w:caps w:val="false"/>
          <w:smallCaps w:val="false"/>
        </w:rPr>
      </w:pPr>
      <w:r>
        <w:rPr>
          <w:caps w:val="false"/>
          <w:smallCaps w:val="false"/>
        </w:rPr>
        <w:t> </w:t>
      </w:r>
    </w:p>
    <w:p>
      <w:pPr>
        <w:pStyle w:val="TextBody"/>
        <w:bidi w:val="0"/>
        <w:spacing w:before="0" w:after="0"/>
        <w:ind w:left="353"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jc w:val="center"/>
        <w:rPr/>
      </w:pPr>
      <w:r>
        <w:rPr/>
        <w:t> </w:t>
      </w:r>
    </w:p>
    <w:p>
      <w:pPr>
        <w:pStyle w:val="TextBody"/>
        <w:bidi w:val="0"/>
        <w:spacing w:before="0" w:after="0"/>
        <w:ind w:left="353"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MAXIMUM PAYMENTS</w:t>
      </w:r>
      <w:r>
        <w:rPr>
          <w:rFonts w:ascii="Times New Roman;Times;Serif" w:hAnsi="Times New Roman;Times;Serif"/>
          <w:b w:val="false"/>
          <w:i w:val="false"/>
          <w:caps w:val="false"/>
          <w:smallCaps w:val="false"/>
          <w:sz w:val="20"/>
        </w:rPr>
        <w:t>. Without limiting Section 9(d) of the Existing Securities Purchase Agreements, nothing contained herein shall be deemed to establish or require the payment of a rate of interest or other charges in excess of the maximum permitted by applicable law. In the event that the rate of interest required to be paid or other charges hereunder exceed the maximum permitted by such law, any payments in excess of such maximum shall be credited against amounts owed by the Company to the Holder and thus refunded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For purposes of this Note, the following terms shall have the following meanings:</w:t>
      </w:r>
    </w:p>
    <w:p>
      <w:pPr>
        <w:pStyle w:val="TextBody"/>
        <w:bidi w:val="0"/>
        <w:spacing w:before="0" w:after="0"/>
        <w:ind w:left="353"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1933 Act</w:t>
      </w:r>
      <w:r>
        <w:rPr>
          <w:rFonts w:ascii="Times New Roman;Times;Serif" w:hAnsi="Times New Roman;Times;Serif"/>
          <w:b w:val="false"/>
          <w:i w:val="false"/>
          <w:caps w:val="false"/>
          <w:smallCaps w:val="false"/>
          <w:sz w:val="20"/>
        </w:rPr>
        <w:t>” means the Securities Act of 1933, as amended, and the rules and regulations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1934 Act</w:t>
      </w:r>
      <w:r>
        <w:rPr>
          <w:rFonts w:ascii="Times New Roman;Times;Serif" w:hAnsi="Times New Roman;Times;Serif"/>
          <w:b w:val="false"/>
          <w:i w:val="false"/>
          <w:caps w:val="false"/>
          <w:smallCaps w:val="false"/>
          <w:sz w:val="20"/>
        </w:rPr>
        <w:t>” means the Securities Exchange Act of 1934, as amended, and the rules and regulations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Adjusted Floor Price</w:t>
      </w:r>
      <w:r>
        <w:rPr>
          <w:rFonts w:ascii="Times New Roman;Times;Serif" w:hAnsi="Times New Roman;Times;Serif"/>
          <w:b w:val="false"/>
          <w:i w:val="false"/>
          <w:caps w:val="false"/>
          <w:smallCaps w:val="false"/>
          <w:sz w:val="20"/>
        </w:rPr>
        <w:t>” means as determined on each six month anniversary of the Issuance Date (each, a “</w:t>
      </w:r>
      <w:r>
        <w:rPr>
          <w:rFonts w:ascii="Times New Roman;Times;Serif" w:hAnsi="Times New Roman;Times;Serif"/>
          <w:b/>
          <w:i w:val="false"/>
          <w:caps w:val="false"/>
          <w:smallCaps w:val="false"/>
          <w:sz w:val="20"/>
        </w:rPr>
        <w:t>Six Month Anniversary Date</w:t>
      </w:r>
      <w:r>
        <w:rPr>
          <w:rFonts w:ascii="Times New Roman;Times;Serif" w:hAnsi="Times New Roman;Times;Serif"/>
          <w:b w:val="false"/>
          <w:i w:val="false"/>
          <w:caps w:val="false"/>
          <w:smallCaps w:val="false"/>
          <w:sz w:val="20"/>
        </w:rPr>
        <w:t>”) hereunder, the lower of (i) the Floor Price then in effect and (ii) 20% of the lower of (x) the closing price of the Ordinary Shares of the Principal Market (as reported by the Principal Market) as of the Trading Day ended immediately prior to such applicable Six Month Anniversary Date and (y) the quotient of (I) the sum of each the closing price of the Ordinary Shares of the Principal Market (as reported by the Principal Market) on each Trading Day of the five (5) Trading Day period ended on, and including, the Trading Day ended immediately prior to such applicable Six Month Anniversary Date, divided by (II) five (5). All such determinations to be appropriately adjusted for any share split, share dividend, share combination or other similar transaction during any such measuring period.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Adjustment Right</w:t>
      </w:r>
      <w:r>
        <w:rPr>
          <w:rFonts w:ascii="Times New Roman;Times;Serif" w:hAnsi="Times New Roman;Times;Serif"/>
          <w:b w:val="false"/>
          <w:i w:val="false"/>
          <w:caps w:val="false"/>
          <w:smallCaps w:val="false"/>
          <w:sz w:val="20"/>
        </w:rPr>
        <w:t>” means any right granted with respect to any securities issued in connection with, or with respect to, any issuance or sale (or deemed issuance or sale in accordance with Section 7) of Ordinary Shares (other than rights of the type described in Section 6(a) hereof) that could result in a decrease in the net consideration received by the Company in connection with, or with respect to, such securities (including, without limitation, any cash settlement rights, cash adjustment or other similar rights).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with respect to any Person, any other Person that directly or indirectly controls, is controlled by, or is under common control with, such Person, it being understood for purposes of this definition that “control” of a Person means the power directly or indirectly either to vote 10% or more of the shares having ordinary voting power for the election of directors of such Person or direct or cause the direction of the management and policies of such Person whether by contract or otherwise.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Alternate Conversion Floor Amount</w:t>
      </w:r>
      <w:r>
        <w:rPr>
          <w:rFonts w:ascii="Times New Roman;Times;Serif" w:hAnsi="Times New Roman;Times;Serif"/>
          <w:b w:val="false"/>
          <w:i w:val="false"/>
          <w:caps w:val="false"/>
          <w:smallCaps w:val="false"/>
          <w:sz w:val="20"/>
        </w:rPr>
        <w:t>” means an amount in cash, to be delivered by wire transfer of immediately available funds pursuant to wire instructions delivered to the Company by the Holder in writing, equal to the product obtained by multiplying (A) higher of (I) the highest price that the Ordinary Shares trade at on the Trading Day immediately preceding the relevant Alternate Conversion Date and (II) the applicable Alternate Conversion Price and (B) the difference obtained by subtracting (I) the number of Ordinary Shares delivered (or to be delivered) to the Holder on the applicable Share Delivery Deadline with respect to such Alternate Conversion from (II) the quotient obtain by dividing (x) the applicable Conversion Amount that the Holder has elected to be the subject of the applicable Alternate Conversion, by (y) the applicable Alternate Conversion Price without giving effect to clause (x) of such definition.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Alternate Conversion Price</w:t>
      </w:r>
      <w:r>
        <w:rPr>
          <w:rFonts w:ascii="Times New Roman;Times;Serif" w:hAnsi="Times New Roman;Times;Serif"/>
          <w:b w:val="false"/>
          <w:i w:val="false"/>
          <w:caps w:val="false"/>
          <w:smallCaps w:val="false"/>
          <w:sz w:val="20"/>
        </w:rPr>
        <w:t>” means, with respect to any Alternate Conversion that price which shall be the lower of (i) the applicable Conversion Price as in effect on the applicable Conversion Date of the applicable Alternate Conversion and (ii) the greater of (x) the Floor Price and (y) 76% of the price computed by the quotient of (A) the sum of the VWAP of the Ordinary Shares for each of the ten (10) Trading Days during the ten (10) consecutive Trading Day period ending and including the Trading Day immediately preceding the delivery or deemed delivery of the applicable Conversion Notice (such period, the “</w:t>
      </w:r>
      <w:r>
        <w:rPr>
          <w:rFonts w:ascii="Times New Roman;Times;Serif" w:hAnsi="Times New Roman;Times;Serif"/>
          <w:b/>
          <w:i w:val="false"/>
          <w:caps w:val="false"/>
          <w:smallCaps w:val="false"/>
          <w:sz w:val="20"/>
        </w:rPr>
        <w:t>Alternate Conversion Measuring Period</w:t>
      </w:r>
      <w:r>
        <w:rPr>
          <w:rFonts w:ascii="Times New Roman;Times;Serif" w:hAnsi="Times New Roman;Times;Serif"/>
          <w:b w:val="false"/>
          <w:i w:val="false"/>
          <w:caps w:val="false"/>
          <w:smallCaps w:val="false"/>
          <w:sz w:val="20"/>
        </w:rPr>
        <w:t>”), divided by (II) ten (10). All such determinations to be appropriately adjusted for any stock dividend, stock split, stock combination, reclassification or similar transaction that proportionately decreases or increases the Ordinary Shares during such Alternate Conversion Measuring Period.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Announced Transactions</w:t>
      </w:r>
      <w:r>
        <w:rPr>
          <w:rFonts w:ascii="Times New Roman;Times;Serif" w:hAnsi="Times New Roman;Times;Serif"/>
          <w:b w:val="false"/>
          <w:i w:val="false"/>
          <w:caps w:val="false"/>
          <w:smallCaps w:val="false"/>
          <w:sz w:val="20"/>
        </w:rPr>
        <w:t>” means any of the following transactions: (i) the potential acquisition of the entire equity interest of European Wellness Investment Holdings Limited (“</w:t>
      </w:r>
      <w:r>
        <w:rPr>
          <w:rFonts w:ascii="Times New Roman;Times;Serif" w:hAnsi="Times New Roman;Times;Serif"/>
          <w:b/>
          <w:i w:val="false"/>
          <w:caps w:val="false"/>
          <w:smallCaps w:val="false"/>
          <w:sz w:val="20"/>
        </w:rPr>
        <w:t>EWIHL</w:t>
      </w:r>
      <w:r>
        <w:rPr>
          <w:rFonts w:ascii="Times New Roman;Times;Serif" w:hAnsi="Times New Roman;Times;Serif"/>
          <w:b w:val="false"/>
          <w:i w:val="false"/>
          <w:caps w:val="false"/>
          <w:smallCaps w:val="false"/>
          <w:sz w:val="20"/>
        </w:rPr>
        <w:t>”) by the Company through issuing new ordinary shares of the Company to the shareholders of EWIHL as consideration and the fund-raising activity by the Company, both pursuant to the term sheet entered into by the Company and EWIHL on April 17, 2024; and (ii) the proposed reverse merger of the Company and COVIRIX Medical Pty Ltd (“</w:t>
      </w:r>
      <w:r>
        <w:rPr>
          <w:rFonts w:ascii="Times New Roman;Times;Serif" w:hAnsi="Times New Roman;Times;Serif"/>
          <w:b/>
          <w:i w:val="false"/>
          <w:caps w:val="false"/>
          <w:smallCaps w:val="false"/>
          <w:sz w:val="20"/>
        </w:rPr>
        <w:t>COVIRIX</w:t>
      </w:r>
      <w:r>
        <w:rPr>
          <w:rFonts w:ascii="Times New Roman;Times;Serif" w:hAnsi="Times New Roman;Times;Serif"/>
          <w:b w:val="false"/>
          <w:i w:val="false"/>
          <w:caps w:val="false"/>
          <w:smallCaps w:val="false"/>
          <w:sz w:val="20"/>
        </w:rPr>
        <w:t>”) pursuant to the term sheet entered into by the Company and COVIRIX on June 3, 2024.</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Attribution Parties</w:t>
      </w:r>
      <w:r>
        <w:rPr>
          <w:rFonts w:ascii="Times New Roman;Times;Serif" w:hAnsi="Times New Roman;Times;Serif"/>
          <w:b w:val="false"/>
          <w:i w:val="false"/>
          <w:caps w:val="false"/>
          <w:smallCaps w:val="false"/>
          <w:sz w:val="20"/>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Ordinary Shares would or could be aggregated with the Holder’s and the other Attribution Parties for purposes of Section 13(d) of the 1934 Act. For clarity, the purpose of the foregoing is to subject collectively the Holder and all other Attribution Parties to the Maximum Percentage.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Bloomberg</w:t>
      </w:r>
      <w:r>
        <w:rPr>
          <w:rFonts w:ascii="Times New Roman;Times;Serif" w:hAnsi="Times New Roman;Times;Serif"/>
          <w:b w:val="false"/>
          <w:i w:val="false"/>
          <w:caps w:val="false"/>
          <w:smallCaps w:val="false"/>
          <w:sz w:val="20"/>
        </w:rPr>
        <w:t>” means Bloomberg, L.P.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xml:space="preserve">” means any day other than Saturday, Sunday or other day on which commercial banks in The City of New York are authorized or required by law to remain closed;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Change of Control</w:t>
      </w:r>
      <w:r>
        <w:rPr>
          <w:rFonts w:ascii="Times New Roman;Times;Serif" w:hAnsi="Times New Roman;Times;Serif"/>
          <w:b w:val="false"/>
          <w:i w:val="false"/>
          <w:caps w:val="false"/>
          <w:smallCaps w:val="false"/>
          <w:sz w:val="20"/>
        </w:rPr>
        <w:t>” means any Fundamental Transaction other than (i) any merger of the Company or any of its, direct or indirect, wholly-owned Subsidiaries with or into any of the foregoing Persons, (ii) any reorganization, recapitalization or reclassification of the Ordinary Shares in which holders of the Company’s voting power immediately prior to such reorganization, recapitalization or reclassification continue after such reorganization, recapitalization or reclassification to hold publicly traded securities and, directly or indirectly, are, in all material respects, the holders of the voting power of the surviving entity (or entities with the authority or voting power to elect the members of the board of directors (or their equivalent if other than a corporation) of such entity or entities) after such reorganization, recapitalization or reclassification, (iii) pursuant to a migratory merger effected solely for the purpose of changing the jurisdiction of incorporation of the Company or any of its Subsidiaries or (iv) Permitted Sales or Announced Transactions.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Change of Control Redemption Premium</w:t>
      </w:r>
      <w:r>
        <w:rPr>
          <w:rFonts w:ascii="Times New Roman;Times;Serif" w:hAnsi="Times New Roman;Times;Serif"/>
          <w:b w:val="false"/>
          <w:i w:val="false"/>
          <w:caps w:val="false"/>
          <w:smallCaps w:val="false"/>
          <w:sz w:val="20"/>
        </w:rPr>
        <w:t>” means 125%.</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rPr>
        <w:t>Closing Bid Price</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Closing Sale Price</w:t>
      </w:r>
      <w:r>
        <w:rPr>
          <w:rFonts w:ascii="Times New Roman;Times;Serif" w:hAnsi="Times New Roman;Times;Serif"/>
          <w:b w:val="false"/>
          <w:i w:val="false"/>
          <w:caps w:val="false"/>
          <w:smallCaps w:val="false"/>
          <w:sz w:val="20"/>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Pink Open Market (or a similar organization or agency succeeding to its functions of reporting prices).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24. All such determinations shall be appropriately adjusted for any share splits, share dividends, share combinations, recapitalizations or other similar transactions during such period.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rPr>
        <w:t>Conversion Floor Price Condition</w:t>
      </w:r>
      <w:r>
        <w:rPr>
          <w:rFonts w:ascii="Times New Roman;Times;Serif" w:hAnsi="Times New Roman;Times;Serif"/>
          <w:b w:val="false"/>
          <w:i w:val="false"/>
          <w:caps w:val="false"/>
          <w:smallCaps w:val="false"/>
          <w:sz w:val="20"/>
        </w:rPr>
        <w:t>” means that the relevant Alternate Conversion Price is being determined based on clause (x) of such definition.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val="false"/>
          <w:caps w:val="false"/>
          <w:smallCaps w:val="false"/>
          <w:sz w:val="20"/>
        </w:rPr>
        <w:t>Conversion Floor Price Deferral</w:t>
      </w:r>
      <w:r>
        <w:rPr>
          <w:rFonts w:ascii="Times New Roman;Times;Serif" w:hAnsi="Times New Roman;Times;Serif"/>
          <w:b w:val="false"/>
          <w:i w:val="false"/>
          <w:caps w:val="false"/>
          <w:smallCaps w:val="false"/>
          <w:sz w:val="20"/>
        </w:rPr>
        <w:t>” means, solely with respect to any conversion of this Note at a time a Conversion Floor Price Condition exists, the election by the Company to defer the delivery of the applicable Alternate Conversion Floor Amount until the time of a written demand by the Holder to the Company with respect thereto; provided, that any such amount deferred by the Company shall accrue Late Charges and, if applicable, Default Interest hereunder during such deferral.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i w:val="false"/>
          <w:caps w:val="false"/>
          <w:smallCaps w:val="false"/>
          <w:sz w:val="20"/>
        </w:rPr>
        <w:t>Convertible Securities</w:t>
      </w:r>
      <w:r>
        <w:rPr>
          <w:rFonts w:ascii="Times New Roman;Times;Serif" w:hAnsi="Times New Roman;Times;Serif"/>
          <w:b w:val="false"/>
          <w:i w:val="false"/>
          <w:caps w:val="false"/>
          <w:smallCaps w:val="false"/>
          <w:sz w:val="20"/>
        </w:rPr>
        <w:t>” means any shares or other security (other than Options) that is at any time and under any circumstances, directly or indirectly, convertible into, exercisable or exchangeable for, or which otherwise entitles the holder thereof to acquire, any Ordinary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i w:val="false"/>
          <w:caps w:val="false"/>
          <w:smallCaps w:val="false"/>
          <w:sz w:val="20"/>
        </w:rPr>
        <w:t>Default Rate</w:t>
      </w:r>
      <w:r>
        <w:rPr>
          <w:rFonts w:ascii="Times New Roman;Times;Serif" w:hAnsi="Times New Roman;Times;Serif"/>
          <w:b w:val="false"/>
          <w:i w:val="false"/>
          <w:caps w:val="false"/>
          <w:smallCaps w:val="false"/>
          <w:sz w:val="20"/>
        </w:rPr>
        <w:t>” means, eighteen percent (18%) per annum.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Eastern Standard Note</w:t>
      </w:r>
      <w:r>
        <w:rPr>
          <w:rFonts w:ascii="Times New Roman;Times;Serif" w:hAnsi="Times New Roman;Times;Serif"/>
          <w:b w:val="false"/>
          <w:i w:val="false"/>
          <w:caps w:val="false"/>
          <w:smallCaps w:val="false"/>
          <w:sz w:val="20"/>
        </w:rPr>
        <w:t>” means that certain promissory note due October 2026 issued by Eastern Standard LLC, a Delaware limited liability company, to Eastern Standard LLC, a Pennsylvania limited liability company, in the aggregate original principal amount of $850,000.</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i w:val="false"/>
          <w:caps w:val="false"/>
          <w:smallCaps w:val="false"/>
          <w:sz w:val="20"/>
        </w:rPr>
        <w:t>Eligible Market</w:t>
      </w:r>
      <w:r>
        <w:rPr>
          <w:rFonts w:ascii="Times New Roman;Times;Serif" w:hAnsi="Times New Roman;Times;Serif"/>
          <w:b w:val="false"/>
          <w:i w:val="false"/>
          <w:caps w:val="false"/>
          <w:smallCaps w:val="false"/>
          <w:sz w:val="20"/>
        </w:rPr>
        <w:t>” means The New York Stock Exchange, the NYSE American, the Nasdaq Capital Market, the Nasdaq Global Select Market or the Nasdaq Global Market.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i w:val="false"/>
          <w:caps w:val="false"/>
          <w:smallCaps w:val="false"/>
          <w:sz w:val="20"/>
        </w:rPr>
        <w:t>Equity Conditions</w:t>
      </w:r>
      <w:r>
        <w:rPr>
          <w:rFonts w:ascii="Times New Roman;Times;Serif" w:hAnsi="Times New Roman;Times;Serif"/>
          <w:b w:val="false"/>
          <w:i w:val="false"/>
          <w:caps w:val="false"/>
          <w:smallCaps w:val="false"/>
          <w:sz w:val="20"/>
        </w:rPr>
        <w:t>” means, with respect to an given date of determination: (i) on each day during the period beginning thirty calendar days prior to such applicable date of determination and ending on and including such applicable date of determination either (x) one or more Registration Statements filed pursuant to the Registration Rights Agreement shall be effective and the prospectus contained therein shall be available on such applicable date of determination (with, for the avoidance of doubt, any Ordinary Shares previously sold pursuant to such prospectus deemed unavailable) for the resale of all Ordinary Shares to be issued in connection with the event requiring this determination (or issuable upon conversion of the Conversion Amount being redeemed, as applicable, in the event requiring this determination at the Alternate Conversion Price then in effect (without regard to any limitations on conversion set forth herein)) (each, a “</w:t>
      </w:r>
      <w:r>
        <w:rPr>
          <w:rFonts w:ascii="Times New Roman;Times;Serif" w:hAnsi="Times New Roman;Times;Serif"/>
          <w:b/>
          <w:i w:val="false"/>
          <w:caps w:val="false"/>
          <w:smallCaps w:val="false"/>
          <w:sz w:val="20"/>
        </w:rPr>
        <w:t>Required Minimum Securities Amount</w:t>
      </w:r>
      <w:r>
        <w:rPr>
          <w:rFonts w:ascii="Times New Roman;Times;Serif" w:hAnsi="Times New Roman;Times;Serif"/>
          <w:b w:val="false"/>
          <w:i w:val="false"/>
          <w:caps w:val="false"/>
          <w:smallCaps w:val="false"/>
          <w:sz w:val="20"/>
        </w:rPr>
        <w:t>”), in each case, in accordance with the terms of the Registration Rights Agreement and there shall not have been during such period any Grace Periods (as defined in the Registration Rights Agreement) or (y) all Registrable Securities shall be eligible for sale pursuant to Rule 144 (as defined in the Existing Securities Purchase Agreements) without the need for registration under any applicable federal or state securities laws (in each case, disregarding any limitation on conversion of the Notes, other issuance of securities with respect to the Notes) and no Current Public Information Failure (as defined in the Registration Rights Agreement) exists or is continuing; (ii) on each day during the period beginning thirty calendar days prior to the applicable date of determination and ending on and including the applicable date of determination (the “</w:t>
      </w:r>
      <w:r>
        <w:rPr>
          <w:rFonts w:ascii="Times New Roman;Times;Serif" w:hAnsi="Times New Roman;Times;Serif"/>
          <w:b/>
          <w:i w:val="false"/>
          <w:caps w:val="false"/>
          <w:smallCaps w:val="false"/>
          <w:sz w:val="20"/>
        </w:rPr>
        <w:t>Equity Conditions Measuring Period</w:t>
      </w:r>
      <w:r>
        <w:rPr>
          <w:rFonts w:ascii="Times New Roman;Times;Serif" w:hAnsi="Times New Roman;Times;Serif"/>
          <w:b w:val="false"/>
          <w:i w:val="false"/>
          <w:caps w:val="false"/>
          <w:smallCaps w:val="false"/>
          <w:sz w:val="20"/>
        </w:rPr>
        <w:t>”), the Ordinary Shares (including all Registrable Securities) is listed or designated for quotation (as applicable) on an Eligible Market and shall not have been suspended from trading on an Eligible Market (other than suspensions of not more than two (2) days and occurring prior to the applicable date of determination due to business announcements by the Company) nor shall delisting or suspension by an Eligible Market have been threatened (with a reasonable prospect of delisting occurring after giving effect to all applicable notice, appeal, compliance and hearing periods) or reasonably likely to occur or pending as evidenced by (A) a writing by such Eligible Market or (B) the Company falling below the minimum listing maintenance requirements of the Eligible Market on which the Ordinary Shares is then listed or designated for quotation (as applicable); (iii) during the Equity Conditions Measuring Period, the Company shall have delivered all Ordinary Shares issuable upon conversion of this Note on a timely basis as set forth in Section 3 hereof and all other shares required to be delivered by the Company on a timely basis as set forth in the other Transaction Documents and/or the other Exchange Documents, as applicable; (iv) any Ordinary Shares to be issued in connection with the event requiring determination (or issuable upon conversion of the Conversion Amount being redeemed in the event requiring this determination) may be issued in full without violating Section 3(d) hereof; (v) any Ordinary Shares to be issued in connection with the event requiring determination (or issuable upon conversion of the Conversion Amount being redeemed in the event requiring this determination (without regards to any limitations on conversion set forth herein)) may be issued in full without violating the rules or regulations of the Eligible Market on which the Ordinary Shares is then listed or designated for quotation (as applicable); (vi) on each day during the Equity Conditions Measuring Period, no public announcement of a pending, proposed or intended Fundamental Transaction shall have occurred which has not been abandoned, terminated or consummated; (vii) the Company shall have no knowledge of any fact that would reasonably be expected to cause (1) any Registration Statement required to be filed pursuant to the Registration Rights Agreement to not be effective or the prospectus contained therein to not be available for the resale of the applicable Required Minimum Securities Amount of Registrable Securities in accordance with the terms of the Registration Rights Agreement or (2) any Registrable Securities to not be eligible for sale pursuant to Rule 144 without the need for registration under any applicable federal or state securities laws (in each case, disregarding any limitation on conversion of the Notes, other issuance of securities with respect to the Notes) and no Current Public Information Failure exists or is continuing; (viii) the Holder shall not be in (and no other holder of Notes shall be in) possession of any material, non-public information provided to any of them by the Company, any of its Subsidiaries or any of their respective affiliates, employees, officers, representatives, agents or the like; (ix) on each day during the Equity Conditions Measuring Period, the Company otherwise shall have been in compliance with each, and shall not have breached any representation or warranty in any material respect (other than representations or warranties subject to material adverse effect or materiality, which may not be breached in any respect) or any covenant or other term or condition of any Transaction Document and/or Exchange Document, as applicable, including, without limitation, the Company shall not have failed to timely make any payment pursuant to any Transaction Document and/or Exchange Document, as applicable; (x) on each Trading Day during the Equity Conditions Measuring Period, there shall not have occurred any Volume Failure or Price Failure as of such applicable date of determination; (xi) on the applicable date of determination (A) no Authorized Share Failure shall exist or be continuing and the applicable Required Minimum Securities Amount of Ordinary Shares are available under the certificate of incorporation of the Company and reserved by the Company to be issued pursuant to the Notes and (B) all Ordinary Shares to be issued in connection with the event requiring this determination (or issuable upon conversion of the Conversion Amount being redeemed in the event requiring this determination (without regards to any limitations on conversion set forth herein)) may be issued in full without resulting in an Authorized Share Failure; (xii) on each day during the Equity Conditions Measuring Period, there shall not have occurred and there shall not exist an Event of Default or an event that with the passage of time or giving of notice would constitute an Event of Default; (xiii) no bona fide dispute shall exist, by and between any of holder of Notes, the Company, the Principal Market (or such applicable Eligible Market in which the Ordinary Shares of the Company is then principally trading) and/or FINRA with respect to any term or provision of any Note, any other Transaction Document and/or any other Exchange Document, as applicable, and (xiv) the Ordinary Shares issuable pursuant the event requiring the satisfaction of the Equity Conditions are duly authorized and listed and eligible for trading without restriction on an Eligible Market.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i w:val="false"/>
          <w:caps w:val="false"/>
          <w:smallCaps w:val="false"/>
          <w:sz w:val="20"/>
        </w:rPr>
        <w:t>Equity Conditions Failure</w:t>
      </w:r>
      <w:r>
        <w:rPr>
          <w:rFonts w:ascii="Times New Roman;Times;Serif" w:hAnsi="Times New Roman;Times;Serif"/>
          <w:b w:val="false"/>
          <w:i w:val="false"/>
          <w:caps w:val="false"/>
          <w:smallCaps w:val="false"/>
          <w:sz w:val="20"/>
        </w:rPr>
        <w:t>” means that on any day during the period commencing five (5) Trading Days prior to the applicable date of determination, the Equity Conditions have not been satisfied (or waived in writing by the Holder).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i w:val="false"/>
          <w:caps w:val="false"/>
          <w:smallCaps w:val="false"/>
          <w:sz w:val="20"/>
        </w:rPr>
        <w:t>Event Market Price</w:t>
      </w:r>
      <w:r>
        <w:rPr>
          <w:rFonts w:ascii="Times New Roman;Times;Serif" w:hAnsi="Times New Roman;Times;Serif"/>
          <w:b w:val="false"/>
          <w:i w:val="false"/>
          <w:caps w:val="false"/>
          <w:smallCaps w:val="false"/>
          <w:sz w:val="20"/>
        </w:rPr>
        <w:t>” means, with respect to any Share Combination Event Date, the quotient determined by dividing (x) the sum of the VWAP of the Ordinary Shares for each of the five (5) Trading Days with the lowest VWAP of the Ordinary Shares during the fifteen (15) consecutive Trading Day period ending and including the Trading Day immediately preceding the sixteenth (16th) Trading Day after such Share Combination Event Date by (y) five (5).</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i w:val="false"/>
          <w:caps w:val="false"/>
          <w:smallCaps w:val="false"/>
          <w:sz w:val="20"/>
        </w:rPr>
        <w:t>Existing Securities Purchase Agreements</w:t>
      </w:r>
      <w:r>
        <w:rPr>
          <w:rFonts w:ascii="Times New Roman;Times;Serif" w:hAnsi="Times New Roman;Times;Serif"/>
          <w:b w:val="false"/>
          <w:i w:val="false"/>
          <w:caps w:val="false"/>
          <w:smallCaps w:val="false"/>
          <w:sz w:val="20"/>
        </w:rPr>
        <w:t>” means (i) that certain securities purchase agreement relating to the sale and purchase of the June 2025 Note, dated as of April 1, 2025 (the “</w:t>
      </w:r>
      <w:r>
        <w:rPr>
          <w:rFonts w:ascii="Times New Roman;Times;Serif" w:hAnsi="Times New Roman;Times;Serif"/>
          <w:b/>
          <w:i w:val="false"/>
          <w:caps w:val="false"/>
          <w:smallCaps w:val="false"/>
          <w:sz w:val="20"/>
        </w:rPr>
        <w:t>June 2025 Note Subscription Date</w:t>
      </w:r>
      <w:r>
        <w:rPr>
          <w:rFonts w:ascii="Times New Roman;Times;Serif" w:hAnsi="Times New Roman;Times;Serif"/>
          <w:b w:val="false"/>
          <w:i w:val="false"/>
          <w:caps w:val="false"/>
          <w:smallCaps w:val="false"/>
          <w:sz w:val="20"/>
        </w:rPr>
        <w:t>”), by and among the Company and the investors signatory thereto, pursuant to which the Company issued certain senior convertible notes of the Company, as may be amended from time to time and (ii) that certain securities purchase agreement relating to the sale and purchase of the July 2025 Note, dated as of August 7, 2024 (the “</w:t>
      </w:r>
      <w:r>
        <w:rPr>
          <w:rFonts w:ascii="Times New Roman;Times;Serif" w:hAnsi="Times New Roman;Times;Serif"/>
          <w:b/>
          <w:i w:val="false"/>
          <w:caps w:val="false"/>
          <w:smallCaps w:val="false"/>
          <w:sz w:val="20"/>
        </w:rPr>
        <w:t>July 2025 Note Subscription Date</w:t>
      </w:r>
      <w:r>
        <w:rPr>
          <w:rFonts w:ascii="Times New Roman;Times;Serif" w:hAnsi="Times New Roman;Times;Serif"/>
          <w:b w:val="false"/>
          <w:i w:val="false"/>
          <w:caps w:val="false"/>
          <w:smallCaps w:val="false"/>
          <w:sz w:val="20"/>
        </w:rPr>
        <w:t>”), by and among the Company and the investors signatory thereto, pursuant to which the Company issued certain senior convertible notes of the Company and related Warrants, as may be amended from time to time.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i w:val="false"/>
          <w:caps w:val="false"/>
          <w:smallCaps w:val="false"/>
          <w:sz w:val="20"/>
        </w:rPr>
        <w:t>Fiscal Quarter</w:t>
      </w:r>
      <w:r>
        <w:rPr>
          <w:rFonts w:ascii="Times New Roman;Times;Serif" w:hAnsi="Times New Roman;Times;Serif"/>
          <w:b w:val="false"/>
          <w:i w:val="false"/>
          <w:caps w:val="false"/>
          <w:smallCaps w:val="false"/>
          <w:sz w:val="20"/>
        </w:rPr>
        <w:t>” means each of the fiscal quarters adopted by the Company for financial reporting purposes that correspond to the Company’s fiscal year as of the date hereof that ends on December 31.</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i w:val="false"/>
          <w:caps w:val="false"/>
          <w:smallCaps w:val="false"/>
          <w:sz w:val="20"/>
        </w:rPr>
        <w:t>Floor Price</w:t>
      </w:r>
      <w:r>
        <w:rPr>
          <w:rFonts w:ascii="Times New Roman;Times;Serif" w:hAnsi="Times New Roman;Times;Serif"/>
          <w:b w:val="false"/>
          <w:i w:val="false"/>
          <w:caps w:val="false"/>
          <w:smallCaps w:val="false"/>
          <w:sz w:val="20"/>
        </w:rPr>
        <w:t>” means $0.1218 (as adjusted for share splits, share dividends, share combinations, recapitalizations and similar events) provided that if on the six month anniversary of the Issuance Date (each, an “</w:t>
      </w:r>
      <w:r>
        <w:rPr>
          <w:rFonts w:ascii="Times New Roman;Times;Serif" w:hAnsi="Times New Roman;Times;Serif"/>
          <w:b/>
          <w:i w:val="false"/>
          <w:caps w:val="false"/>
          <w:smallCaps w:val="false"/>
          <w:sz w:val="20"/>
        </w:rPr>
        <w:t>Adjustment Date</w:t>
      </w:r>
      <w:r>
        <w:rPr>
          <w:rFonts w:ascii="Times New Roman;Times;Serif" w:hAnsi="Times New Roman;Times;Serif"/>
          <w:b w:val="false"/>
          <w:i w:val="false"/>
          <w:caps w:val="false"/>
          <w:smallCaps w:val="false"/>
          <w:sz w:val="20"/>
        </w:rPr>
        <w:t>”), the Floor Price then in effect is higher than the Adjusted Floor Price with respect to the Adjustment Date, on the Adjustment Date the Floor Price shall be automatically lowered to such applicable Adjusted Floor Price.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i w:val="false"/>
          <w:caps w:val="false"/>
          <w:smallCaps w:val="false"/>
          <w:sz w:val="20"/>
        </w:rPr>
        <w:t>Fundamental Transaction</w:t>
      </w:r>
      <w:r>
        <w:rPr>
          <w:rFonts w:ascii="Times New Roman;Times;Serif" w:hAnsi="Times New Roman;Times;Serif"/>
          <w:b w:val="false"/>
          <w:i w:val="false"/>
          <w:caps w:val="false"/>
          <w:smallCaps w:val="false"/>
          <w:sz w:val="20"/>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Ordinary Shares be subject to or party to one or more Subject Entities making, a purchase, tender or exchange offer that is accepted by the holders of more than either (x) 50% of the outstanding Ordinary Shares, (y) 50% of the outstanding Ordinary Shares calculated as if any Ordinary Shares held by all Subject Entities making or party to, or Affiliated with any Subject Entities making or party to, such purchase, tender or exchange offer were not outstanding; or (z) such number of Ordinary Shares such that all Subject Entities making or party to, or Affiliated with any Subject Entity making or party to, such purchase, tender or exchange offer, become collectively the beneficial owners (as defined in Rule 13d-3 under the 1934 Act) of more than 50% of the outstanding Ordinary Shares, or (iv) consummate a stock or share purchase agreement or other business combination (including, without limitation, a reorganization, recapitalization, spin-off or scheme of arrangement) with one or more Subject Entities whereby all such Subject Entities, individually or in the aggregate, acquire in any transaction or series or related transactions, either (x) more than 50% of the outstanding Ordinary Shares, (y) more than 50% of the outstanding Ordinary Shares calculated as if any Ordinary Shares held by all the Subject Entities making or party to, or Affiliated with any Subject Entity making or party to, such stock purchase agreement or other business combination were not outstanding; or (z) such number of Ordinary Shares such that the Subject Entities become collectively the beneficial owners (as defined in Rule 13d-3 under the 1934 Act) of more than 50% of the outstanding Ordinary Shares, or (v) reorganize, recapitalize or reclassify its Ordinary Shares,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1934 Act), directly or indirectly, whether through acquisition, purchase, assignment, conveyance, tender, tender offer, exchange, reduction in outstanding Ordinary Shares, merger, consolidation, business combination, reorganization, recapitalization, spin-off, scheme of arrangement, reorganization, recapitalization or reclassification or otherwise in any manner whatsoever, of either (x) more than 50% of the aggregate ordinary voting power represented by issued and outstanding Ordinary Shares, (y) more than 50% of the aggregate ordinary voting power represented by issued and outstanding Ordinary Shares not held by all such Subject Entities as of the date of this Note calculated as if any Ordinary Shares held by all such Subject Entities were not outstanding, or (z) a percentage of the aggregate ordinary voting power represented by issued and outstanding Ordinary Shares or other equity securities of the Company sufficient to allow such Subject Entities to effect a statutory short form merger or other transaction requiring other shareholders of the Company to surrender their Ordinary Shares without approval of the shareholders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means United States generally accepted accounting principles, consistently applied.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 means a “group” as that term is used in Section 13(d) of the 1934 Act and as defined in Rule 13d-5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i w:val="false"/>
          <w:caps w:val="false"/>
          <w:smallCaps w:val="false"/>
          <w:sz w:val="20"/>
        </w:rPr>
        <w:t>Indebtedness</w:t>
      </w:r>
      <w:r>
        <w:rPr>
          <w:rFonts w:ascii="Times New Roman;Times;Serif" w:hAnsi="Times New Roman;Times;Serif"/>
          <w:b w:val="false"/>
          <w:i w:val="false"/>
          <w:caps w:val="false"/>
          <w:smallCaps w:val="false"/>
          <w:sz w:val="20"/>
        </w:rPr>
        <w:t>” shall have the meaning ascribed to such term in the Existing Securities Purchase Agreements.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w:t>
      </w:r>
      <w:r>
        <w:rPr>
          <w:rFonts w:ascii="Times New Roman;Times;Serif" w:hAnsi="Times New Roman;Times;Serif"/>
          <w:b/>
          <w:i w:val="false"/>
          <w:caps w:val="false"/>
          <w:smallCaps w:val="false"/>
          <w:sz w:val="20"/>
        </w:rPr>
        <w:t>Investment</w:t>
      </w:r>
      <w:r>
        <w:rPr>
          <w:rFonts w:ascii="Times New Roman;Times;Serif" w:hAnsi="Times New Roman;Times;Serif"/>
          <w:b w:val="false"/>
          <w:i w:val="false"/>
          <w:caps w:val="false"/>
          <w:smallCaps w:val="false"/>
          <w:sz w:val="20"/>
        </w:rPr>
        <w:t>” means any beneficial ownership (including stock, partnership or limited liability company interests) of or in any Person, or any loan, advance or capital contribution to any Person or the acquisition of all, or substantially all, of the assets of another Person or the purchase of any assets of another Person for greater than the fair market value of such assets.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 shall mean October 1, 2027; provided, however, the Maturity Date may be extended at the option of the Holder (i) in the event that, and for so long as, an Event of Default shall have occurred and be continuing or any event shall have occurred and be continuing that with the passage of time and the failure to cure would result in an Event of Default or (ii) through the date that is twenty (20) Business Days after the consummation of a Fundamental Transaction in the event that a Fundamental Transaction is publicly announced or a Change of Control Notice is delivered prior to the Maturity Date, provided further that if a Holder elects to convert some or all of this Note pursuant to Section 3 hereof, and the Conversion Amount would be limited pursuant to Section 3(d) hereunder, the Maturity Date shall automatically be extended until such time as such provision shall not limit the conversion of this Note.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w:t>
      </w:r>
      <w:r>
        <w:rPr>
          <w:rFonts w:ascii="Times New Roman;Times;Serif" w:hAnsi="Times New Roman;Times;Serif"/>
          <w:b/>
          <w:i w:val="false"/>
          <w:caps w:val="false"/>
          <w:smallCaps w:val="false"/>
          <w:sz w:val="20"/>
        </w:rPr>
        <w:t>Options</w:t>
      </w:r>
      <w:r>
        <w:rPr>
          <w:rFonts w:ascii="Times New Roman;Times;Serif" w:hAnsi="Times New Roman;Times;Serif"/>
          <w:b w:val="false"/>
          <w:i w:val="false"/>
          <w:caps w:val="false"/>
          <w:smallCaps w:val="false"/>
          <w:sz w:val="20"/>
        </w:rPr>
        <w:t>” means any rights, warrants or options to subscribe for or purchase Ordinary Shares or Convertible Securities.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means (i) the Company’s class A ordinary shares with no par value, (ii) any shares into which such ordinary shares shall have been changed or any shares resulting from a reclassification of such ordinary shares (or, as applicable, with regard to any Change of Control Mandatory Conversion Election, Corporate Event Consideration).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w:t>
      </w:r>
      <w:r>
        <w:rPr>
          <w:rFonts w:ascii="Times New Roman;Times;Serif" w:hAnsi="Times New Roman;Times;Serif"/>
          <w:b/>
          <w:i w:val="false"/>
          <w:caps w:val="false"/>
          <w:smallCaps w:val="false"/>
          <w:sz w:val="20"/>
        </w:rPr>
        <w:t>Parent Entity</w:t>
      </w:r>
      <w:r>
        <w:rPr>
          <w:rFonts w:ascii="Times New Roman;Times;Serif" w:hAnsi="Times New Roman;Times;Serif"/>
          <w:b w:val="false"/>
          <w:i w:val="false"/>
          <w:caps w:val="false"/>
          <w:smallCaps w:val="false"/>
          <w:sz w:val="20"/>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i w:val="false"/>
          <w:caps w:val="false"/>
          <w:smallCaps w:val="false"/>
          <w:sz w:val="20"/>
        </w:rPr>
        <w:t>Permitted Indebtedness</w:t>
      </w:r>
      <w:r>
        <w:rPr>
          <w:rFonts w:ascii="Times New Roman;Times;Serif" w:hAnsi="Times New Roman;Times;Serif"/>
          <w:b w:val="false"/>
          <w:i w:val="false"/>
          <w:caps w:val="false"/>
          <w:smallCaps w:val="false"/>
          <w:sz w:val="20"/>
        </w:rPr>
        <w:t>” means (i) Indebtedness evidenced by this Note and the Other Notes, (ii) Indebtedness set forth on Schedule 3(s) to the Existing Securities Purchase Agreements, as in effect as of the applicable Subscription Date, and (iii) Indebtedness secured by Permitted Liens or unsecured but as described in clauses (iv) and (v) of the definition of Permitted Liens, and (iv) Indebtedness in which the proceeds thereof, in whole or in part, redeems and pays in full this Note and all of the other Notes then outstanding in accordance herewith and therewith.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w:t>
      </w:r>
      <w:r>
        <w:rPr>
          <w:rFonts w:ascii="Times New Roman;Times;Serif" w:hAnsi="Times New Roman;Times;Serif"/>
          <w:b/>
          <w:i w:val="false"/>
          <w:caps w:val="false"/>
          <w:smallCaps w:val="false"/>
          <w:sz w:val="20"/>
        </w:rPr>
        <w:t>Permitted Liens</w:t>
      </w:r>
      <w:r>
        <w:rPr>
          <w:rFonts w:ascii="Times New Roman;Times;Serif" w:hAnsi="Times New Roman;Times;Serif"/>
          <w:b w:val="false"/>
          <w:i w:val="false"/>
          <w:caps w:val="false"/>
          <w:smallCaps w:val="false"/>
          <w:sz w:val="20"/>
        </w:rPr>
        <w:t>” means (i) any Lien for taxes not yet due or delinquent or being contested in good faith by appropriate proceedings for which adequate reserves have been established in accordance with GAAP, (ii) any statutory Lien arising in the ordinary course of business by operation of law with respect to a liability that is not yet due or delinquent, (iii) any Lien created by operation of law, such as materialmen’s liens, mechanics’ liens and other similar liens, arising in the ordinary course of business with respect to a liability that is not yet due or delinquent or that are being contested in good faith by appropriate proceedings, (iv) Liens (A) upon or in any equipment acquired or held by the Company or any of its Subsidiaries to secure the purchase price of such equipment or Indebtedness incurred solely for the purpose of financing the acquisition or lease of such equipment, or (B) existing on such equipment at the time of its acquisition, provided that the Lien is confined solely to the property so acquired and improvements thereon, and the proceeds of such equipment, in either case, with respect to Indebtedness in an aggregate amount not to exceed $150,000, (v) Liens incurred in connection with the extension, renewal or refinancing of the Indebtedness secured by Liens of the type described in clause (iv) above, provided that any extension, renewal or replacement Lien shall be limited to the property encumbered by the existing Lien and the principal amount of the Indebtedness being extended, renewed or refinanced does not increase, (vi) Liens in favor of customs and revenue authorities arising as a matter of law to secure payments of custom duties in connection with the importation of goods, and (vii) Liens arising from judgments, decrees or attachments in circumstances not constituting an Event of Default under Section</w:t>
      </w:r>
    </w:p>
    <w:p>
      <w:pPr>
        <w:pStyle w:val="TextBody"/>
        <w:bidi w:val="0"/>
        <w:spacing w:before="0" w:after="0"/>
        <w:ind w:left="705"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4(a)(xii).</w:t>
      </w:r>
    </w:p>
    <w:p>
      <w:pPr>
        <w:pStyle w:val="TextBody"/>
        <w:bidi w:val="0"/>
        <w:spacing w:before="0" w:after="0"/>
        <w:ind w:left="705"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w:t>
      </w:r>
      <w:r>
        <w:rPr>
          <w:rFonts w:ascii="Times New Roman;Times;Serif" w:hAnsi="Times New Roman;Times;Serif"/>
          <w:b/>
          <w:i w:val="false"/>
          <w:caps w:val="false"/>
          <w:smallCaps w:val="false"/>
          <w:sz w:val="20"/>
        </w:rPr>
        <w:t>Permitted Sales</w:t>
      </w:r>
      <w:r>
        <w:rPr>
          <w:rFonts w:ascii="Times New Roman;Times;Serif" w:hAnsi="Times New Roman;Times;Serif"/>
          <w:b w:val="false"/>
          <w:i w:val="false"/>
          <w:caps w:val="false"/>
          <w:smallCaps w:val="false"/>
          <w:sz w:val="20"/>
        </w:rPr>
        <w:t>” means the sale, assignment, conveyance, transfer or other disposition of any of the Company’s clinics established for the provision of assisted reproductive services or the holding company of such clinic in a single transaction or a series of related transactions at arm’s length terms, but which clinic(s) and/or other assets, as applicable, in such Permitted Sale (or series of Permitted Sales, as applicable) do not, individually or in the aggregate, constitute all, or substantially all of the material assets or operations of the Company and its Subsidiaries.</w:t>
      </w:r>
    </w:p>
    <w:p>
      <w:pPr>
        <w:pStyle w:val="TextBody"/>
        <w:bidi w:val="0"/>
        <w:spacing w:before="0" w:after="0"/>
        <w:ind w:left="705"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a limited liability company, a partnership, a joint venture, a corporation, a trust, an unincorporated organization, any other entity or a government or any department or agency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w:t>
      </w:r>
      <w:r>
        <w:rPr>
          <w:rFonts w:ascii="Times New Roman;Times;Serif" w:hAnsi="Times New Roman;Times;Serif"/>
          <w:b/>
          <w:i w:val="false"/>
          <w:caps w:val="false"/>
          <w:smallCaps w:val="false"/>
          <w:sz w:val="20"/>
        </w:rPr>
        <w:t>Price Failure</w:t>
      </w:r>
      <w:r>
        <w:rPr>
          <w:rFonts w:ascii="Times New Roman;Times;Serif" w:hAnsi="Times New Roman;Times;Serif"/>
          <w:b w:val="false"/>
          <w:i w:val="false"/>
          <w:caps w:val="false"/>
          <w:smallCaps w:val="false"/>
          <w:sz w:val="20"/>
        </w:rPr>
        <w:t>” means, with respect to a particular date of determination, the VWAP of the Ordinary Shares on any Trading Day during the twenty (20) Trading Day period ending on the Trading Day immediately preceding such date of determination fails to exceed $0.50 (as adjusted for share splits, share dividends, share combinations, recapitalizations or other similar transactions occurring after the Exchange Date). All such determinations to be appropriately adjusted for any share splits, share dividends, share combinations, recapitalizations or other similar transactions during any such measuring period.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w:t>
      </w:r>
      <w:r>
        <w:rPr>
          <w:rFonts w:ascii="Times New Roman;Times;Serif" w:hAnsi="Times New Roman;Times;Serif"/>
          <w:b/>
          <w:i w:val="false"/>
          <w:caps w:val="false"/>
          <w:smallCaps w:val="false"/>
          <w:sz w:val="20"/>
        </w:rPr>
        <w:t>Principal Market</w:t>
      </w:r>
      <w:r>
        <w:rPr>
          <w:rFonts w:ascii="Times New Roman;Times;Serif" w:hAnsi="Times New Roman;Times;Serif"/>
          <w:b w:val="false"/>
          <w:i w:val="false"/>
          <w:caps w:val="false"/>
          <w:smallCaps w:val="false"/>
          <w:sz w:val="20"/>
        </w:rPr>
        <w:t>” means the primary Eligible Market in which the Ordinary Shares trade on any date of determination.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w:t>
      </w:r>
      <w:r>
        <w:rPr>
          <w:rFonts w:ascii="Times New Roman;Times;Serif" w:hAnsi="Times New Roman;Times;Serif"/>
          <w:b/>
          <w:i w:val="false"/>
          <w:caps w:val="false"/>
          <w:smallCaps w:val="false"/>
          <w:sz w:val="20"/>
        </w:rPr>
        <w:t>Redemption Notices</w:t>
      </w:r>
      <w:r>
        <w:rPr>
          <w:rFonts w:ascii="Times New Roman;Times;Serif" w:hAnsi="Times New Roman;Times;Serif"/>
          <w:b w:val="false"/>
          <w:i w:val="false"/>
          <w:caps w:val="false"/>
          <w:smallCaps w:val="false"/>
          <w:sz w:val="20"/>
        </w:rPr>
        <w:t>” means, collectively, the Event of Default Redemption Notices, the Company Optional Redemption Notices and the Change of Control Redemption Notices, and each of the foregoing, individually, a “</w:t>
      </w:r>
      <w:r>
        <w:rPr>
          <w:rFonts w:ascii="Times New Roman;Times;Serif" w:hAnsi="Times New Roman;Times;Serif"/>
          <w:b/>
          <w:i w:val="false"/>
          <w:caps w:val="false"/>
          <w:smallCaps w:val="false"/>
          <w:sz w:val="20"/>
        </w:rPr>
        <w:t>Redemption Notice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  “</w:t>
      </w:r>
      <w:r>
        <w:rPr>
          <w:rFonts w:ascii="Times New Roman;Times;Serif" w:hAnsi="Times New Roman;Times;Serif"/>
          <w:b/>
          <w:i w:val="false"/>
          <w:caps w:val="false"/>
          <w:smallCaps w:val="false"/>
          <w:sz w:val="20"/>
        </w:rPr>
        <w:t>Redemption Premium</w:t>
      </w:r>
      <w:r>
        <w:rPr>
          <w:rFonts w:ascii="Times New Roman;Times;Serif" w:hAnsi="Times New Roman;Times;Serif"/>
          <w:b w:val="false"/>
          <w:i w:val="false"/>
          <w:caps w:val="false"/>
          <w:smallCaps w:val="false"/>
          <w:sz w:val="20"/>
        </w:rPr>
        <w:t>” means 125%.</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  “</w:t>
      </w:r>
      <w:r>
        <w:rPr>
          <w:rFonts w:ascii="Times New Roman;Times;Serif" w:hAnsi="Times New Roman;Times;Serif"/>
          <w:b/>
          <w:i w:val="false"/>
          <w:caps w:val="false"/>
          <w:smallCaps w:val="false"/>
          <w:sz w:val="20"/>
        </w:rPr>
        <w:t>Redemption Prices</w:t>
      </w:r>
      <w:r>
        <w:rPr>
          <w:rFonts w:ascii="Times New Roman;Times;Serif" w:hAnsi="Times New Roman;Times;Serif"/>
          <w:b w:val="false"/>
          <w:i w:val="false"/>
          <w:caps w:val="false"/>
          <w:smallCaps w:val="false"/>
          <w:sz w:val="20"/>
        </w:rPr>
        <w:t>” means, collectively, Event of Default Redemption Prices, the Change of Control Redemption Prices and the Company Optional Redemption Prices, and each of the foregoing, individually, a “</w:t>
      </w:r>
      <w:r>
        <w:rPr>
          <w:rFonts w:ascii="Times New Roman;Times;Serif" w:hAnsi="Times New Roman;Times;Serif"/>
          <w:b/>
          <w:i w:val="false"/>
          <w:caps w:val="false"/>
          <w:smallCaps w:val="false"/>
          <w:sz w:val="20"/>
        </w:rPr>
        <w:t>Redemption Price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  “</w:t>
      </w:r>
      <w:r>
        <w:rPr>
          <w:rFonts w:ascii="Times New Roman;Times;Serif" w:hAnsi="Times New Roman;Times;Serif"/>
          <w:b/>
          <w:i w:val="false"/>
          <w:caps w:val="false"/>
          <w:smallCaps w:val="false"/>
          <w:sz w:val="20"/>
        </w:rPr>
        <w:t>Registration Rights Agreement</w:t>
      </w:r>
      <w:r>
        <w:rPr>
          <w:rFonts w:ascii="Times New Roman;Times;Serif" w:hAnsi="Times New Roman;Times;Serif"/>
          <w:b w:val="false"/>
          <w:i w:val="false"/>
          <w:caps w:val="false"/>
          <w:smallCaps w:val="false"/>
          <w:sz w:val="20"/>
        </w:rPr>
        <w:t>” shall have meaning set forth in the Existing Securities Purchase Agreements, as applicable.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United States Securities and Exchange Commission or the successor thereto.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  “</w:t>
      </w:r>
      <w:r>
        <w:rPr>
          <w:rFonts w:ascii="Times New Roman;Times;Serif" w:hAnsi="Times New Roman;Times;Serif"/>
          <w:b/>
          <w:i w:val="false"/>
          <w:caps w:val="false"/>
          <w:smallCaps w:val="false"/>
          <w:sz w:val="20"/>
        </w:rPr>
        <w:t>Subject Entity</w:t>
      </w:r>
      <w:r>
        <w:rPr>
          <w:rFonts w:ascii="Times New Roman;Times;Serif" w:hAnsi="Times New Roman;Times;Serif"/>
          <w:b w:val="false"/>
          <w:i w:val="false"/>
          <w:caps w:val="false"/>
          <w:smallCaps w:val="false"/>
          <w:sz w:val="20"/>
        </w:rPr>
        <w:t>” means any Person, Persons or Group or any Affiliate or associate of any such Person, Persons or Group.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(uu)  “</w:t>
      </w:r>
      <w:r>
        <w:rPr>
          <w:rFonts w:ascii="Times New Roman;Times;Serif" w:hAnsi="Times New Roman;Times;Serif"/>
          <w:b/>
          <w:i w:val="false"/>
          <w:caps w:val="false"/>
          <w:smallCaps w:val="false"/>
          <w:sz w:val="20"/>
        </w:rPr>
        <w:t>Subscription Date</w:t>
      </w:r>
      <w:r>
        <w:rPr>
          <w:rFonts w:ascii="Times New Roman;Times;Serif" w:hAnsi="Times New Roman;Times;Serif"/>
          <w:b w:val="false"/>
          <w:i w:val="false"/>
          <w:caps w:val="false"/>
          <w:smallCaps w:val="false"/>
          <w:sz w:val="20"/>
        </w:rPr>
        <w:t>” means the June 2025 Note Subscription Date and/or the July 2025 Note Subscription Date, as applicable.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(vv)  “</w:t>
      </w:r>
      <w:r>
        <w:rPr>
          <w:rFonts w:ascii="Times New Roman;Times;Serif" w:hAnsi="Times New Roman;Times;Serif"/>
          <w:b/>
          <w:i w:val="false"/>
          <w:caps w:val="false"/>
          <w:smallCaps w:val="false"/>
          <w:sz w:val="20"/>
        </w:rPr>
        <w:t>Subsidiaries</w:t>
      </w:r>
      <w:r>
        <w:rPr>
          <w:rFonts w:ascii="Times New Roman;Times;Serif" w:hAnsi="Times New Roman;Times;Serif"/>
          <w:b w:val="false"/>
          <w:i w:val="false"/>
          <w:caps w:val="false"/>
          <w:smallCaps w:val="false"/>
          <w:sz w:val="20"/>
        </w:rPr>
        <w:t>” shall have the meaning as set forth in the Existing Securities Purchase Agreements.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 “</w:t>
      </w:r>
      <w:r>
        <w:rPr>
          <w:rFonts w:ascii="Times New Roman;Times;Serif" w:hAnsi="Times New Roman;Times;Serif"/>
          <w:b/>
          <w:i w:val="false"/>
          <w:caps w:val="false"/>
          <w:smallCaps w:val="false"/>
          <w:sz w:val="20"/>
        </w:rPr>
        <w:t>Successor Entity</w:t>
      </w:r>
      <w:r>
        <w:rPr>
          <w:rFonts w:ascii="Times New Roman;Times;Serif" w:hAnsi="Times New Roman;Times;Serif"/>
          <w:b w:val="false"/>
          <w:i w:val="false"/>
          <w:caps w:val="false"/>
          <w:smallCaps w:val="false"/>
          <w:sz w:val="20"/>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means, as applicable, (x) with respect to all price or trading volume determinations relating to the Ordinary Shares, any day on which the Ordinary Shares is traded on the Principal Market, or, if the Principal Market is not the principal trading market for the Ordinary Shares, then on the principal securities exchange or securities market on which the Ordinary Shares is then traded, provided that “Trading Day” shall not include any day on which the Ordinary Shares is scheduled to trade on such exchange or market for less than 4.5 hours or any day that the Ordinary Shares is suspended from trading during the final hour of trading on such exchange or market (or if such exchange or market does not designate in advance the closing time of trading on such exchange or market, then during the hour ending at 4:00:00 p.m., New York time) unless such day is otherwise designated as a Trading Day in writing by the Holder or (y) with respect to all determinations other than price determinations relating to the Ordinary Shares, any day on which the New York Stock Exchange (or any successor thereto) is open for trading of securities.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  “</w:t>
      </w:r>
      <w:r>
        <w:rPr>
          <w:rFonts w:ascii="Times New Roman;Times;Serif" w:hAnsi="Times New Roman;Times;Serif"/>
          <w:b/>
          <w:i w:val="false"/>
          <w:caps w:val="false"/>
          <w:smallCaps w:val="false"/>
          <w:sz w:val="20"/>
        </w:rPr>
        <w:t>Volume Failure</w:t>
      </w:r>
      <w:r>
        <w:rPr>
          <w:rFonts w:ascii="Times New Roman;Times;Serif" w:hAnsi="Times New Roman;Times;Serif"/>
          <w:b w:val="false"/>
          <w:i w:val="false"/>
          <w:caps w:val="false"/>
          <w:smallCaps w:val="false"/>
          <w:sz w:val="20"/>
        </w:rPr>
        <w:t>” means, with respect to a particular date of determination, the aggregate daily dollar trading volume (as reported on Bloomberg) of the Ordinary Shares on the Principal Market on any Trading Day during the twenty (20) Trading Day period ending on the Trading Day immediately preceding such date of determination (such period, the “</w:t>
      </w:r>
      <w:r>
        <w:rPr>
          <w:rFonts w:ascii="Times New Roman;Times;Serif" w:hAnsi="Times New Roman;Times;Serif"/>
          <w:b/>
          <w:i w:val="false"/>
          <w:caps w:val="false"/>
          <w:smallCaps w:val="false"/>
          <w:sz w:val="20"/>
        </w:rPr>
        <w:t>Volume Failure Measuring Period</w:t>
      </w:r>
      <w:r>
        <w:rPr>
          <w:rFonts w:ascii="Times New Roman;Times;Serif" w:hAnsi="Times New Roman;Times;Serif"/>
          <w:b w:val="false"/>
          <w:i w:val="false"/>
          <w:caps w:val="false"/>
          <w:smallCaps w:val="false"/>
          <w:sz w:val="20"/>
        </w:rPr>
        <w:t>”), is less than $50,000 (as adjusted for any share splits, share dividends, share combinations, recapitalizations or other similar transactions occurring after the Exchange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(zz)  “</w:t>
      </w:r>
      <w:r>
        <w:rPr>
          <w:rFonts w:ascii="Times New Roman;Times;Serif" w:hAnsi="Times New Roman;Times;Serif"/>
          <w:b/>
          <w:i w:val="false"/>
          <w:caps w:val="false"/>
          <w:smallCaps w:val="false"/>
          <w:sz w:val="20"/>
        </w:rPr>
        <w:t>VWAP</w:t>
      </w:r>
      <w:r>
        <w:rPr>
          <w:rFonts w:ascii="Times New Roman;Times;Serif" w:hAnsi="Times New Roman;Times;Serif"/>
          <w:b w:val="false"/>
          <w:i w:val="false"/>
          <w:caps w:val="false"/>
          <w:smallCaps w:val="false"/>
          <w:sz w:val="20"/>
        </w:rPr>
        <w:t>”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 a.m., New York time, and ending at 4:00 p.m., New York time, as reported by Bloomberg through its “VAP” function (set to 09:30 start time and 16:00 end time) or, if the foregoing does not apply, the dollar volume-weighted average price of such security in the over-the-counter market on the electronic bulletin board for such security during the period beginning at 9:30 a.m., New York time, and ending at 4:00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Open Market (or a similar organization or agency succeeding to its functions of reporting prices). If the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24. All such determinations shall be appropriately adjusted for any share dividend, share split, share combination, recapitalization or other similar transaction during such period.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Upon delivery by the Company to the Holder (or receipt by the Company from the Holder) of any notice in accordance with the terms of this Note, unless the Company has in good faith determined that the matters relating to such notice do not constitute material, non-public information relating to the Company or any of its Subsidiaries, the Company shall on or prior to 9:00 am, New York city time on the Business Day immediately following such notice delivery date, publicly disclose such material, non-public information on a Report of Foreign Private Issuer on Form 6-K or otherwise. In the event that the Company believes that a notice contains material, non-public information relating to the Company or any of its Subsidiaries, the Company so shall indicate to the Holder explicitly in writing in such notice (or immediately upon receipt of notice from the Holder, as applicable), and in the absence of any such written indication in such notice (or notification from the Company immediately upon receipt of notice from the Holder), the Holder shall be entitled to presume that information contained in the notice does not constitute material, non-public information relating to the Company or any of its Subsidiaries. Nothing contained in this Section 33 shall limit any obligations of the Company, or any rights of the Holder, under Section 4(i) of the Existing Securities Purchase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val="false"/>
          <w:caps w:val="false"/>
          <w:smallCaps w:val="false"/>
          <w:sz w:val="20"/>
          <w:u w:val="single"/>
        </w:rPr>
        <w:t>ABSENCE OF TRADING AND DISCLOSURE RESTRICTIONS</w:t>
      </w:r>
      <w:r>
        <w:rPr>
          <w:rFonts w:ascii="Times New Roman;Times;Serif" w:hAnsi="Times New Roman;Times;Serif"/>
          <w:b w:val="false"/>
          <w:i w:val="false"/>
          <w:caps w:val="false"/>
          <w:smallCaps w:val="false"/>
          <w:sz w:val="20"/>
        </w:rPr>
        <w:t>. The Company acknowledges and agrees that the Holder is not a fiduciary or agent of the Company and that the Holder shall have no obligation to (a) maintain the confidentiality of any information provided by the Company or (b) refrain from trading any securities while in possession of such information in the absence of a written non-disclosure agreement signed by an officer of the Holder that explicitly provides for such confidentiality and trading restrictions. In the absence of such an executed, written non-disclosure agreement, the Company acknowledges that the Holder may freely trade in any securities issued by the Company, may possess and use any information provided by the Company in connection with such trading activity, and may disclose any such information to any third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Without limiting any other provision of this Note, any and all payments by the Company hereunder shall be made free and clear of and without deduction for any and all present or future taxes, levies, imposts, deductions, charges or withholdings, and all liabilities with respect thereto (collectively referred to as “</w:t>
      </w:r>
      <w:r>
        <w:rPr>
          <w:rFonts w:ascii="Times New Roman;Times;Serif" w:hAnsi="Times New Roman;Times;Serif"/>
          <w:b/>
          <w:i w:val="false"/>
          <w:caps w:val="false"/>
          <w:smallCaps w:val="false"/>
          <w:sz w:val="20"/>
        </w:rPr>
        <w:t>Taxes</w:t>
      </w:r>
      <w:r>
        <w:rPr>
          <w:rFonts w:ascii="Times New Roman;Times;Serif" w:hAnsi="Times New Roman;Times;Serif"/>
          <w:b w:val="false"/>
          <w:i w:val="false"/>
          <w:caps w:val="false"/>
          <w:smallCaps w:val="false"/>
          <w:sz w:val="20"/>
        </w:rPr>
        <w:t>”) unless the Company is required to withhold or deduct any amounts for, or on account of Taxes pursuant to any applicable law. If the Company shall be required to deduct any Taxes from or in respect of any sum payable hereunder to the Holder, (i) the sum payable shall be increased by the amount by which the sum payable would otherwise have to be increased (the “</w:t>
      </w:r>
      <w:r>
        <w:rPr>
          <w:rFonts w:ascii="Times New Roman;Times;Serif" w:hAnsi="Times New Roman;Times;Serif"/>
          <w:b/>
          <w:i w:val="false"/>
          <w:caps w:val="false"/>
          <w:smallCaps w:val="false"/>
          <w:sz w:val="20"/>
        </w:rPr>
        <w:t>make-whole sum</w:t>
      </w:r>
      <w:r>
        <w:rPr>
          <w:rFonts w:ascii="Times New Roman;Times;Serif" w:hAnsi="Times New Roman;Times;Serif"/>
          <w:b w:val="false"/>
          <w:i w:val="false"/>
          <w:caps w:val="false"/>
          <w:smallCaps w:val="false"/>
          <w:sz w:val="20"/>
        </w:rPr>
        <w:t>”) to ensure that after making all required deductions (including deductions applicable to the make-whole sum) the Holder would receive an amount equal to the sum it would have received had no such deductions been made, (ii) the Company shall make such deductions and (iii) the Company shall pay the full amount withheld or deducted to the relevant governmental authority within the time required. Upon the request of the Company, the Holder shall provide the Company with such duly completed and executed forms or certificates prescribed by law as a basis for claiming an exemption from, or a reduction of, any Taxes imposed on payments made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addition, the Company agrees to pay to the relevant governmental authority in accordance with applicable law any present or future stamp or documentary taxes or any other excise or property taxes, charges or similar levies that arise from any payment made hereunder or in connection with the execution, delivery, registration or performance of, or otherwise with respect to, this Note (“</w:t>
      </w:r>
      <w:r>
        <w:rPr>
          <w:rFonts w:ascii="Times New Roman;Times;Serif" w:hAnsi="Times New Roman;Times;Serif"/>
          <w:b/>
          <w:i w:val="false"/>
          <w:caps w:val="false"/>
          <w:smallCaps w:val="false"/>
          <w:sz w:val="20"/>
        </w:rPr>
        <w:t>Other Taxes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shall deliver to the Holder official receipts, if any, in respect of any Taxes and Other Taxes payable hereunder promptly after payment of such Taxes and Other Taxes or other evidence of payment reasonably acceptable to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the Company fails to pay any amounts in accordance with this Section 35, the Company shall indemnify the Holder within ten (10) calendar days after written demand therefor, for the full amount of any Taxes or Other Taxes, plus any related interest or penalties, that are paid by the Holder to the relevant governmental authority or other relevant governmental authority as a result of such failure.</w:t>
      </w:r>
    </w:p>
    <w:p>
      <w:pPr>
        <w:pStyle w:val="TextBody"/>
        <w:bidi w:val="0"/>
        <w:spacing w:before="0" w:after="0"/>
        <w:ind w:left="0" w:right="0" w:firstLine="1440"/>
        <w:jc w:val="righ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obligations of the Company under this Section 35 shall survive the termination of this Agreement and the payment of all amounts payable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6" w:right="6" w:hanging="0"/>
        <w:jc w:val="center"/>
        <w:rPr>
          <w:caps w:val="false"/>
          <w:smallCaps w:val="false"/>
        </w:rPr>
      </w:pPr>
      <w:r>
        <w:rPr>
          <w:caps w:val="false"/>
          <w:smallCaps w:val="false"/>
        </w:rPr>
        <w:t> </w:t>
      </w:r>
    </w:p>
    <w:p>
      <w:pPr>
        <w:pStyle w:val="TextBody"/>
        <w:bidi w:val="0"/>
        <w:spacing w:before="0" w:after="0"/>
        <w:ind w:left="6" w:right="6"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jc w:val="center"/>
        <w:rPr/>
      </w:pPr>
      <w:r>
        <w:rPr/>
        <w:t> </w:t>
      </w:r>
    </w:p>
    <w:p>
      <w:pPr>
        <w:pStyle w:val="TextBody"/>
        <w:bidi w:val="0"/>
        <w:spacing w:before="0" w:after="0"/>
        <w:ind w:left="6" w:right="6"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Note to be duly executed as of the Exchange Date set out above.</w:t>
      </w:r>
    </w:p>
    <w:p>
      <w:pPr>
        <w:pStyle w:val="TextBody"/>
        <w:bidi w:val="0"/>
        <w:spacing w:before="0" w:after="0"/>
        <w:ind w:left="0" w:right="0" w:firstLine="678"/>
        <w:jc w:val="left"/>
        <w:rPr>
          <w:caps w:val="false"/>
          <w:smallCaps w:val="false"/>
        </w:rPr>
      </w:pPr>
      <w:r>
        <w:rPr>
          <w:caps w:val="false"/>
          <w:smallCaps w:val="false"/>
        </w:rPr>
        <w:t> </w:t>
      </w:r>
    </w:p>
    <w:tbl>
      <w:tblPr>
        <w:tblW w:w="2985" w:type="dxa"/>
        <w:jc w:val="left"/>
        <w:tblInd w:w="0" w:type="dxa"/>
        <w:tblLayout w:type="fixed"/>
        <w:tblCellMar>
          <w:top w:w="0" w:type="dxa"/>
          <w:left w:w="0" w:type="dxa"/>
          <w:bottom w:w="0" w:type="dxa"/>
          <w:right w:w="0" w:type="dxa"/>
        </w:tblCellMar>
      </w:tblPr>
      <w:tblGrid>
        <w:gridCol w:w="75"/>
        <w:gridCol w:w="365"/>
        <w:gridCol w:w="590"/>
        <w:gridCol w:w="1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10"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GROUP LIMITED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5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254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Alfred Siu</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Alfred Siu</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Senior Convertible Note - Signature Page</w:t>
      </w:r>
    </w:p>
    <w:p>
      <w:pPr>
        <w:pStyle w:val="TextBody"/>
        <w:bidi w:val="0"/>
        <w:spacing w:before="0" w:after="0"/>
        <w:ind w:left="1" w:right="0" w:hanging="0"/>
        <w:jc w:val="center"/>
        <w:rPr>
          <w:caps w:val="false"/>
          <w:smallCaps w:val="false"/>
        </w:rPr>
      </w:pPr>
      <w:r>
        <w:rPr>
          <w:caps w:val="false"/>
          <w:smallCaps w:val="false"/>
        </w:rPr>
        <w:t> </w:t>
      </w:r>
    </w:p>
    <w:p>
      <w:pPr>
        <w:pStyle w:val="TextBody"/>
        <w:bidi w:val="0"/>
        <w:spacing w:before="0" w:after="0"/>
        <w:ind w:left="1" w:right="0" w:hanging="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1" w:right="0" w:hanging="0"/>
        <w:jc w:val="center"/>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I </w:t>
      </w:r>
    </w:p>
    <w:p>
      <w:pPr>
        <w:pStyle w:val="TextBody"/>
        <w:bidi w:val="0"/>
        <w:spacing w:before="0" w:after="0"/>
        <w:ind w:left="10" w:right="0" w:hanging="10"/>
        <w:jc w:val="center"/>
        <w:rPr>
          <w:caps w:val="false"/>
          <w:smallCaps w:val="false"/>
        </w:rPr>
      </w:pPr>
      <w:r>
        <w:rPr>
          <w:caps w:val="false"/>
          <w:smallCaps w:val="false"/>
        </w:rPr>
        <w:t> </w:t>
      </w:r>
    </w:p>
    <w:p>
      <w:pPr>
        <w:pStyle w:val="TextBody"/>
        <w:bidi w:val="0"/>
        <w:spacing w:before="0" w:after="0"/>
        <w:ind w:left="10" w:right="2" w:hanging="1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br/>
        <w:t>CONVERSION NOTICE</w:t>
      </w:r>
    </w:p>
    <w:p>
      <w:pPr>
        <w:pStyle w:val="TextBody"/>
        <w:bidi w:val="0"/>
        <w:spacing w:before="0" w:after="0"/>
        <w:ind w:left="10" w:right="2" w:hanging="1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Senior Convertible Note (the “</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issued to the undersigned by NewGenIvf Group Limited, a business company incorporated under the laws of the British Virgin Islands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accordance with and pursuant to the Note, the undersigned hereby elects to convert the Conversion Amount (as defined in the Note) of the Note indicated below into class A ordinary shares with no par value (the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of the Company, as of the date specified below. Capitalized terms not defined herein shall have the meaning as set forth in the Note.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0055"/>
        <w:gridCol w:w="75"/>
      </w:tblGrid>
      <w:tr>
        <w:trPr/>
        <w:tc>
          <w:tcPr>
            <w:tcW w:w="75" w:type="dxa"/>
            <w:tcBorders/>
            <w:vAlign w:val="center"/>
          </w:tcPr>
          <w:p>
            <w:pPr>
              <w:pStyle w:val="TableContents"/>
              <w:bidi w:val="0"/>
              <w:spacing w:before="0" w:after="283"/>
              <w:jc w:val="left"/>
              <w:rPr/>
            </w:pPr>
            <w:r>
              <w:rPr/>
              <w:t> </w:t>
            </w:r>
          </w:p>
        </w:tc>
        <w:tc>
          <w:tcPr>
            <w:tcW w:w="10055" w:type="dxa"/>
            <w:tcBorders/>
            <w:vAlign w:val="center"/>
          </w:tcPr>
          <w:p>
            <w:pPr>
              <w:pStyle w:val="TableContents"/>
              <w:bidi w:val="0"/>
              <w:spacing w:before="0" w:after="283"/>
              <w:jc w:val="left"/>
              <w:rPr/>
            </w:pPr>
            <w:r>
              <w:rPr/>
              <w:t>Date of Conversion:</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05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055" w:type="dxa"/>
            <w:tcBorders/>
            <w:vAlign w:val="center"/>
          </w:tcPr>
          <w:p>
            <w:pPr>
              <w:pStyle w:val="TableContents"/>
              <w:bidi w:val="0"/>
              <w:spacing w:before="0" w:after="283"/>
              <w:jc w:val="both"/>
              <w:rPr/>
            </w:pPr>
            <w:r>
              <w:rPr/>
              <w:t>Aggregate Principal to be converted:</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05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055" w:type="dxa"/>
            <w:tcBorders/>
            <w:vAlign w:val="center"/>
          </w:tcPr>
          <w:p>
            <w:pPr>
              <w:pStyle w:val="TableContents"/>
              <w:bidi w:val="0"/>
              <w:spacing w:before="0" w:after="283"/>
              <w:jc w:val="both"/>
              <w:rPr/>
            </w:pPr>
            <w:r>
              <w:rPr/>
              <w:t>Aggregate accrued and unpaid Default Interest and accrued and unpaid Late Charges with respect to such portion of the Aggregate Principal and such Aggregate Default Interest to be converted:</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05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055" w:type="dxa"/>
            <w:tcBorders/>
            <w:vAlign w:val="center"/>
          </w:tcPr>
          <w:p>
            <w:pPr>
              <w:pStyle w:val="TableContents"/>
              <w:bidi w:val="0"/>
              <w:spacing w:before="0" w:after="283"/>
              <w:jc w:val="both"/>
              <w:rPr/>
            </w:pPr>
            <w:r>
              <w:rPr/>
              <w:t>AGGREGATE CONVERSION AMOUNT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055" w:type="dxa"/>
            <w:tcBorders/>
            <w:vAlign w:val="center"/>
          </w:tcPr>
          <w:p>
            <w:pPr>
              <w:pStyle w:val="TableContents"/>
              <w:bidi w:val="0"/>
              <w:spacing w:before="0" w:after="283"/>
              <w:jc w:val="both"/>
              <w:rPr/>
            </w:pPr>
            <w:r>
              <w:rPr/>
              <w:t>TO BE CONVERTED:</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05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130" w:type="dxa"/>
            <w:gridSpan w:val="2"/>
            <w:tcBorders/>
            <w:vAlign w:val="center"/>
          </w:tcPr>
          <w:p>
            <w:pPr>
              <w:pStyle w:val="TableContents"/>
              <w:bidi w:val="0"/>
              <w:spacing w:before="0" w:after="283"/>
              <w:jc w:val="left"/>
              <w:rPr/>
            </w:pPr>
            <w:r>
              <w:rPr/>
              <w:t>Please confirm the following information: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05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055" w:type="dxa"/>
            <w:tcBorders/>
            <w:vAlign w:val="center"/>
          </w:tcPr>
          <w:p>
            <w:pPr>
              <w:pStyle w:val="TableContents"/>
              <w:bidi w:val="0"/>
              <w:spacing w:before="0" w:after="283"/>
              <w:jc w:val="left"/>
              <w:rPr/>
            </w:pPr>
            <w:r>
              <w:rPr/>
              <w:t>Conversion Price:</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05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055" w:type="dxa"/>
            <w:tcBorders/>
            <w:vAlign w:val="center"/>
          </w:tcPr>
          <w:p>
            <w:pPr>
              <w:pStyle w:val="TableContents"/>
              <w:bidi w:val="0"/>
              <w:spacing w:before="0" w:after="283"/>
              <w:jc w:val="left"/>
              <w:rPr/>
            </w:pPr>
            <w:r>
              <w:rPr/>
              <w:t>Number of Ordinary Shares to be issued:</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xml:space="preserve">☐ </w:t>
      </w:r>
      <w:r>
        <w:rPr/>
        <w:t>If this Conversion Notice is being delivered with respect to an Alternate Conversion, check here if Holder is electing to use the following Alternate Conversion Price:</w:t>
      </w:r>
      <w:r>
        <w:rPr>
          <w:u w:val="singl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issue the Ordinary Shares into which the Note is being converted to Holder, or for its benefit, as follows:</w:t>
      </w:r>
    </w:p>
    <w:p>
      <w:pPr>
        <w:pStyle w:val="TextBody"/>
        <w:bidi w:val="0"/>
        <w:spacing w:before="0" w:after="0"/>
        <w:ind w:left="107"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Check here if requesting delivery as a certificate to the following name and to the following address:</w:t>
      </w:r>
    </w:p>
    <w:p>
      <w:pPr>
        <w:pStyle w:val="TextBody"/>
        <w:bidi w:val="0"/>
        <w:spacing w:before="0" w:after="0"/>
        <w:ind w:left="827" w:right="0" w:hanging="0"/>
        <w:jc w:val="left"/>
        <w:rPr>
          <w:caps w:val="false"/>
          <w:smallCaps w:val="false"/>
        </w:rPr>
      </w:pPr>
      <w:r>
        <w:rPr>
          <w:caps w:val="false"/>
          <w:smallCaps w:val="false"/>
        </w:rPr>
        <w:t> </w:t>
      </w:r>
    </w:p>
    <w:tbl>
      <w:tblPr>
        <w:tblW w:w="950" w:type="dxa"/>
        <w:jc w:val="left"/>
        <w:tblInd w:w="0" w:type="dxa"/>
        <w:tblLayout w:type="fixed"/>
        <w:tblCellMar>
          <w:top w:w="0" w:type="dxa"/>
          <w:left w:w="0" w:type="dxa"/>
          <w:bottom w:w="0" w:type="dxa"/>
          <w:right w:w="0" w:type="dxa"/>
        </w:tblCellMar>
      </w:tblPr>
      <w:tblGrid>
        <w:gridCol w:w="75"/>
        <w:gridCol w:w="800"/>
        <w:gridCol w:w="75"/>
      </w:tblGrid>
      <w:tr>
        <w:trPr/>
        <w:tc>
          <w:tcPr>
            <w:tcW w:w="75"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Issue to:</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827" w:right="0" w:hanging="0"/>
        <w:jc w:val="left"/>
        <w:rPr>
          <w:caps w:val="false"/>
          <w:smallCaps w:val="false"/>
        </w:rPr>
      </w:pPr>
      <w:r>
        <w:rPr>
          <w:caps w:val="false"/>
          <w:smallCaps w:val="false"/>
        </w:rPr>
        <w:t> </w:t>
      </w:r>
    </w:p>
    <w:p>
      <w:pPr>
        <w:pStyle w:val="TextBody"/>
        <w:bidi w:val="0"/>
        <w:spacing w:before="0" w:after="0"/>
        <w:ind w:left="827" w:right="0" w:hanging="0"/>
        <w:jc w:val="left"/>
        <w:rPr>
          <w:caps w:val="false"/>
          <w:smallCaps w:val="false"/>
        </w:rPr>
      </w:pPr>
      <w:r>
        <w:rPr>
          <w:caps w:val="false"/>
          <w:smallCaps w:val="false"/>
        </w:rPr>
        <w:t> </w:t>
      </w:r>
    </w:p>
    <w:p>
      <w:pPr>
        <w:pStyle w:val="TextBody"/>
        <w:bidi w:val="0"/>
        <w:spacing w:before="0" w:after="0"/>
        <w:ind w:left="827" w:right="0" w:hanging="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827"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Check here if requesting delivery by Deposit/Withdrawal at Custodian as follows:</w:t>
      </w:r>
    </w:p>
    <w:p>
      <w:pPr>
        <w:pStyle w:val="TextBody"/>
        <w:bidi w:val="0"/>
        <w:spacing w:before="0" w:after="0"/>
        <w:ind w:left="1440" w:right="466" w:hanging="706"/>
        <w:jc w:val="left"/>
        <w:rPr>
          <w:caps w:val="false"/>
          <w:smallCaps w:val="false"/>
        </w:rPr>
      </w:pPr>
      <w:r>
        <w:rPr>
          <w:caps w:val="false"/>
          <w:smallCaps w:val="false"/>
        </w:rPr>
        <w:t> </w:t>
      </w:r>
    </w:p>
    <w:tbl>
      <w:tblPr>
        <w:tblW w:w="1790" w:type="dxa"/>
        <w:jc w:val="left"/>
        <w:tblInd w:w="0" w:type="dxa"/>
        <w:tblLayout w:type="fixed"/>
        <w:tblCellMar>
          <w:top w:w="0" w:type="dxa"/>
          <w:left w:w="0" w:type="dxa"/>
          <w:bottom w:w="0" w:type="dxa"/>
          <w:right w:w="0" w:type="dxa"/>
        </w:tblCellMar>
      </w:tblPr>
      <w:tblGrid>
        <w:gridCol w:w="75"/>
        <w:gridCol w:w="1640"/>
        <w:gridCol w:w="75"/>
      </w:tblGrid>
      <w:tr>
        <w:trPr/>
        <w:tc>
          <w:tcPr>
            <w:tcW w:w="75"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DTC Participant:</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DTC Number:</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Account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Number:</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235" w:type="dxa"/>
        <w:jc w:val="left"/>
        <w:tblInd w:w="0" w:type="dxa"/>
        <w:tblLayout w:type="fixed"/>
        <w:tblCellMar>
          <w:top w:w="0" w:type="dxa"/>
          <w:left w:w="0" w:type="dxa"/>
          <w:bottom w:w="0" w:type="dxa"/>
          <w:right w:w="0" w:type="dxa"/>
        </w:tblCellMar>
      </w:tblPr>
      <w:tblGrid>
        <w:gridCol w:w="380"/>
        <w:gridCol w:w="680"/>
        <w:gridCol w:w="2100"/>
        <w:gridCol w:w="75"/>
      </w:tblGrid>
      <w:tr>
        <w:trPr/>
        <w:tc>
          <w:tcPr>
            <w:tcW w:w="3160"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160"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w:t>
            </w:r>
          </w:p>
        </w:tc>
        <w:tc>
          <w:tcPr>
            <w:tcW w:w="75" w:type="dxa"/>
            <w:tcBorders/>
            <w:vAlign w:val="center"/>
          </w:tcPr>
          <w:p>
            <w:pPr>
              <w:pStyle w:val="TableContents"/>
              <w:bidi w:val="0"/>
              <w:spacing w:before="0" w:after="283"/>
              <w:jc w:val="left"/>
              <w:rPr/>
            </w:pPr>
            <w:r>
              <w:rPr/>
              <w:t> </w:t>
            </w:r>
          </w:p>
        </w:tc>
      </w:tr>
      <w:tr>
        <w:trPr/>
        <w:tc>
          <w:tcPr>
            <w:tcW w:w="3160"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160" w:type="dxa"/>
            <w:gridSpan w:val="3"/>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160"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Registered Holder</w:t>
            </w:r>
          </w:p>
        </w:tc>
        <w:tc>
          <w:tcPr>
            <w:tcW w:w="75" w:type="dxa"/>
            <w:tcBorders/>
            <w:vAlign w:val="center"/>
          </w:tcPr>
          <w:p>
            <w:pPr>
              <w:pStyle w:val="TableContents"/>
              <w:bidi w:val="0"/>
              <w:spacing w:before="0" w:after="283"/>
              <w:jc w:val="left"/>
              <w:rPr/>
            </w:pPr>
            <w:r>
              <w:rPr/>
              <w:t> </w:t>
            </w:r>
          </w:p>
        </w:tc>
      </w:tr>
      <w:tr>
        <w:trPr/>
        <w:tc>
          <w:tcPr>
            <w:tcW w:w="3160"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160"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2780" w:type="dxa"/>
            <w:gridSpan w:val="2"/>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210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10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160"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ID: </w:t>
            </w:r>
          </w:p>
        </w:tc>
        <w:tc>
          <w:tcPr>
            <w:tcW w:w="210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06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10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160"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 </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bookmarkStart w:id="6" w:name="ea030160101ex10-3.htm"/>
      <w:bookmarkStart w:id="7" w:name="ksea030160101ex103"/>
      <w:bookmarkEnd w:id="6"/>
      <w:bookmarkEnd w:id="7"/>
      <w:r>
        <w:rPr>
          <w:rFonts w:ascii="Times New Roman;Times;Serif" w:hAnsi="Times New Roman;Times;Serif"/>
          <w:b/>
          <w:i w:val="false"/>
          <w:caps w:val="false"/>
          <w:smallCaps w:val="false"/>
          <w:sz w:val="20"/>
        </w:rPr>
        <w:t>Exhibit 10.3</w:t>
      </w:r>
      <w:r>
        <w:br w:type="page"/>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36/39-36/40, 13th Floor, PS Tower</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Sukhumvit 21 Road (Asoke)</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Khlong Toei Nuea Sub-district</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Watthana District</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Bangkok 10110, Thailand</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being delivered to you in connection with that certain understanding by and between NewGenIvf Group Limited, a business company incorporated under the laws of the British Virgin Islands with offices located at 36/39-36/40, 13th Floor, PS Tower, Sukhumvit 21 Road (Asoke), Khlong Toei Nuea Sub-district, Watthana District, Bangkok 10110, Thailand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the undersigned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certain investors (including the Holder) have entered into that certain Exchange Agreement, dated as of August 11, 2026 (the “</w:t>
      </w:r>
      <w:r>
        <w:rPr>
          <w:rFonts w:ascii="Times New Roman;Times;Serif" w:hAnsi="Times New Roman;Times;Serif"/>
          <w:b/>
          <w:i w:val="false"/>
          <w:caps w:val="false"/>
          <w:smallCaps w:val="false"/>
          <w:sz w:val="20"/>
        </w:rPr>
        <w:t>Exchange Agreement</w:t>
      </w:r>
      <w:r>
        <w:rPr>
          <w:rFonts w:ascii="Times New Roman;Times;Serif" w:hAnsi="Times New Roman;Times;Serif"/>
          <w:b w:val="false"/>
          <w:i w:val="false"/>
          <w:caps w:val="false"/>
          <w:smallCaps w:val="false"/>
          <w:sz w:val="20"/>
        </w:rPr>
        <w:t>”), pursuant to which, among other things, the Company will issue to the Holder, in exchange for certain portions of the Existing Securities (as defined in the Exchange Agreement), the New Note (as defined in the Exchange Agreement), which will be convertible (such shares as converted, the “</w:t>
      </w:r>
      <w:r>
        <w:rPr>
          <w:rFonts w:ascii="Times New Roman;Times;Serif" w:hAnsi="Times New Roman;Times;Serif"/>
          <w:b/>
          <w:i w:val="false"/>
          <w:caps w:val="false"/>
          <w:smallCaps w:val="false"/>
          <w:sz w:val="20"/>
        </w:rPr>
        <w:t>New Conversion Shares</w:t>
      </w:r>
      <w:r>
        <w:rPr>
          <w:rFonts w:ascii="Times New Roman;Times;Serif" w:hAnsi="Times New Roman;Times;Serif"/>
          <w:b w:val="false"/>
          <w:i w:val="false"/>
          <w:caps w:val="false"/>
          <w:smallCaps w:val="false"/>
          <w:sz w:val="20"/>
        </w:rPr>
        <w:t>”) into the Company’s Class A ordinary shares, no par value per share (the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in accordance with the terms of the New Note. Capitalized terms not defined herein shall have the meaning as set forth in the Exchange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commencing on the Closing Date and ending on the earlier to occur of (i) such date as the Holder no longer holds any New Notes and (ii) such date upon which any breach or default by the Company of any term of the Transaction Documents (including, without limitation, the occurrence of an Event of Default (as defined in the New Note)) or this Agreement occurs, regardless of whether such breach is subsequently cured (such period, the “</w:t>
      </w:r>
      <w:r>
        <w:rPr>
          <w:rFonts w:ascii="Times New Roman;Times;Serif" w:hAnsi="Times New Roman;Times;Serif"/>
          <w:b/>
          <w:i w:val="false"/>
          <w:caps w:val="false"/>
          <w:smallCaps w:val="false"/>
          <w:sz w:val="20"/>
        </w:rPr>
        <w:t>Restricted Period</w:t>
      </w:r>
      <w:r>
        <w:rPr>
          <w:rFonts w:ascii="Times New Roman;Times;Serif" w:hAnsi="Times New Roman;Times;Serif"/>
          <w:b w:val="false"/>
          <w:i w:val="false"/>
          <w:caps w:val="false"/>
          <w:smallCaps w:val="false"/>
          <w:sz w:val="20"/>
        </w:rPr>
        <w:t>”), neither the Holder, nor any of its Affiliates (as defined in the Existing Securities Purchase Agreements, as applicable), collectively, shall sell any New Conversion Shares (the “</w:t>
      </w:r>
      <w:r>
        <w:rPr>
          <w:rFonts w:ascii="Times New Roman;Times;Serif" w:hAnsi="Times New Roman;Times;Serif"/>
          <w:b/>
          <w:i w:val="false"/>
          <w:caps w:val="false"/>
          <w:smallCaps w:val="false"/>
          <w:sz w:val="20"/>
        </w:rPr>
        <w:t>Restricted Securities</w:t>
      </w:r>
      <w:r>
        <w:rPr>
          <w:rFonts w:ascii="Times New Roman;Times;Serif" w:hAnsi="Times New Roman;Times;Serif"/>
          <w:b w:val="false"/>
          <w:i w:val="false"/>
          <w:caps w:val="false"/>
          <w:smallCaps w:val="false"/>
          <w:sz w:val="20"/>
        </w:rPr>
        <w:t>”) during any Trading Day in any given calendar month during such Restricted Period (each, an “</w:t>
      </w:r>
      <w:r>
        <w:rPr>
          <w:rFonts w:ascii="Times New Roman;Times;Serif" w:hAnsi="Times New Roman;Times;Serif"/>
          <w:b/>
          <w:i w:val="false"/>
          <w:caps w:val="false"/>
          <w:smallCaps w:val="false"/>
          <w:sz w:val="20"/>
        </w:rPr>
        <w:t>Applicable Month</w:t>
      </w:r>
      <w:r>
        <w:rPr>
          <w:rFonts w:ascii="Times New Roman;Times;Serif" w:hAnsi="Times New Roman;Times;Serif"/>
          <w:b w:val="false"/>
          <w:i w:val="false"/>
          <w:caps w:val="false"/>
          <w:smallCaps w:val="false"/>
          <w:sz w:val="20"/>
        </w:rPr>
        <w:t>”), in an aggregate amount, when taken together with all other sales of Restricted Securities by the Holder and its Affiliates during such Applicable Month, representing more than the greater of (x) $550,000.00 in aggregate sale price of Restricted Securities during such Applicable Month and (y) 20% of the quotient of (i) the sum of the daily composite trading volume of the Ordinary Shares as reported by Bloomberg, LP on each Trading Day during such Applicable Month, divided by (ii) the number of Trading Days in such Applicable Month (the “</w:t>
      </w:r>
      <w:r>
        <w:rPr>
          <w:rFonts w:ascii="Times New Roman;Times;Serif" w:hAnsi="Times New Roman;Times;Serif"/>
          <w:b/>
          <w:i w:val="false"/>
          <w:caps w:val="false"/>
          <w:smallCaps w:val="false"/>
          <w:sz w:val="20"/>
        </w:rPr>
        <w:t>Trading Limit</w:t>
      </w:r>
      <w:r>
        <w:rPr>
          <w:rFonts w:ascii="Times New Roman;Times;Serif" w:hAnsi="Times New Roman;Times;Serif"/>
          <w:b w:val="false"/>
          <w:i w:val="false"/>
          <w:caps w:val="false"/>
          <w:smallCaps w:val="false"/>
          <w:sz w:val="20"/>
        </w:rPr>
        <w:t>”). Notwithstanding anything herein to the contrary, nothing herein shall prohibit the Holder from tendering any Restricted Securities or other securities to any Person in a tender offer or other Fundamental Transaction (as defined in the Existing Securities Purchase Agreements, as applicable). “</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means during the period commencing on the hour starting at 9:30:00 a.m., New York time, through and ending on the hour ending 4:00:00 p.m., New York time, on any given day on which the Ordinary Shares are traded on the Principal Market, or, if the Principal Market is not the principal trading market for the Ordinary Shares, then on the principal securities exchange or securities market on which the Ordinary Shares are then traded.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to the contrary, on or after the date hereof, the Holder may, directly or indirectly, sell or transfer all, or any part, of the Restricted Securities (or any securities convertible or exercisable into Restricted Securities, as applicable) to any Person (an “</w:t>
      </w:r>
      <w:r>
        <w:rPr>
          <w:rFonts w:ascii="Times New Roman;Times;Serif" w:hAnsi="Times New Roman;Times;Serif"/>
          <w:b/>
          <w:i w:val="false"/>
          <w:caps w:val="false"/>
          <w:smallCaps w:val="false"/>
          <w:sz w:val="20"/>
        </w:rPr>
        <w:t>Assignee</w:t>
      </w:r>
      <w:r>
        <w:rPr>
          <w:rFonts w:ascii="Times New Roman;Times;Serif" w:hAnsi="Times New Roman;Times;Serif"/>
          <w:b w:val="false"/>
          <w:i w:val="false"/>
          <w:caps w:val="false"/>
          <w:smallCaps w:val="false"/>
          <w:sz w:val="20"/>
        </w:rPr>
        <w:t>”) (other than through the open market) without complying with (or otherwise limited by) the restrictions set forth in this Agreement; provided, that as a condition to any such sale or transfer an authorized signatory of the Company and such Assignee duly execute and deliver a leak-out agreement in the form of this Agreement with respect to such transferred Restricted Securities (or such securities convertible or exercisable into Restricted Securities, as applicable) (an “</w:t>
      </w:r>
      <w:r>
        <w:rPr>
          <w:rFonts w:ascii="Times New Roman;Times;Serif" w:hAnsi="Times New Roman;Times;Serif"/>
          <w:b/>
          <w:i w:val="false"/>
          <w:caps w:val="false"/>
          <w:smallCaps w:val="false"/>
          <w:sz w:val="20"/>
        </w:rPr>
        <w:t>Assignee Agreement</w:t>
      </w:r>
      <w:r>
        <w:rPr>
          <w:rFonts w:ascii="Times New Roman;Times;Serif" w:hAnsi="Times New Roman;Times;Serif"/>
          <w:b w:val="false"/>
          <w:i w:val="false"/>
          <w:caps w:val="false"/>
          <w:smallCaps w:val="false"/>
          <w:sz w:val="20"/>
        </w:rPr>
        <w:t>”) and sales of the Holder and its Affiliates and all Assignees shall be aggregated for all purposes of this Agreement and all Assignee Agreements.</w:t>
      </w:r>
    </w:p>
    <w:p>
      <w:pPr>
        <w:pStyle w:val="TextBody"/>
        <w:bidi w:val="0"/>
        <w:spacing w:before="0" w:after="0"/>
        <w:ind w:left="160" w:right="168" w:firstLine="720"/>
        <w:jc w:val="both"/>
        <w:rPr>
          <w:caps w:val="false"/>
          <w:smallCaps w:val="false"/>
        </w:rPr>
      </w:pPr>
      <w:r>
        <w:rPr>
          <w:caps w:val="false"/>
          <w:smallCaps w:val="false"/>
        </w:rPr>
        <w:t> </w:t>
      </w:r>
    </w:p>
    <w:p>
      <w:pPr>
        <w:pStyle w:val="TextBody"/>
        <w:bidi w:val="0"/>
        <w:spacing w:before="0" w:after="0"/>
        <w:ind w:left="160" w:right="168"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furtherance of the foregoing, the Company and its transfer agent and registrar are hereby authorized to decline to make any transfer of Ordinary Shares if such transfer would constitute a violation or breach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notices, consents, waivers or other communications required or permitted to be given under the terms of this Agreement must be in writing and shall be given in accordance with the terms of the Exchange Agreement.</w:t>
      </w:r>
    </w:p>
    <w:p>
      <w:pPr>
        <w:pStyle w:val="TextBody"/>
        <w:bidi w:val="0"/>
        <w:spacing w:before="0" w:after="0"/>
        <w:ind w:left="160" w:right="156" w:firstLine="720"/>
        <w:jc w:val="both"/>
        <w:rPr>
          <w:caps w:val="false"/>
          <w:smallCaps w:val="false"/>
        </w:rPr>
      </w:pPr>
      <w:r>
        <w:rPr>
          <w:caps w:val="false"/>
          <w:smallCaps w:val="false"/>
        </w:rPr>
        <w:t> </w:t>
      </w:r>
    </w:p>
    <w:p>
      <w:pPr>
        <w:pStyle w:val="TextBody"/>
        <w:bidi w:val="0"/>
        <w:spacing w:before="0" w:after="0"/>
        <w:ind w:left="160" w:right="15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Holder each hereby represents and warrants that it has full power and authority to enter into this Agreement and that upon request of the other party, such party, will execute any additional documents necessary to ensure the validity or enforcement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together with the Transaction Documents, constitutes the entire agreement among the parties hereto with respect to the subject matter hereof and supersedes all prior negotiations, letters and understandings relating to the subject matter hereof and are fully binding on the parties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simultaneously in any number of counterparts. Each counterpart shall be deemed to be an original, and all such counterparts shall constitute one and the same instrument. This Agreement may be executed and accepted by facsimile or PDF signature and any such signature shall be of the same force and effect as an original signature.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this Agreement shall be binding upon and shall inure to the benefit of each of the parties hereto and their respective successors and assigns.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not be amended or modified except in writing signed by each of the parties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questions concerning the construction, validity, enforcement and interpretation of this letter agreement shall be governed by the internal laws of the State of Delaware, without giving effect to any provision of law or rule (whether of the State of Delaware or any other jurisdictions) that would cause the application of the laws of any jurisdictions other than the State of Delaware. Each party hereby irrevocably submits to the exclusive jurisdiction of the state and federal courts sitting in Wilmington, Delaware,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hereby irrevocably waives personal service of process and consents to process being served in any such suit, action or proceeding by mailing a copy thereof to such party at the address for such notices to it under this letter agreement and agrees that such service shall constitute good and sufficient service of process and notice thereof. Nothing contained herein shall be deemed to limit in any way any right to serve process in any manner permitted by law. Nothing contained herein shall be deemed to limit in any way any right to serve process in any manner permitted by law. Each party hereby irrevocably waives any right it may have, and agrees not to request, a jury trial for the adjudication of any dispute hereunder or in connection with or arising out of this letter agreement or any transaction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hereto acknowledges that, in view of the uniqueness of the transactions contemplated by this letter agreement, the other parties hereto would not have an adequate remedy at law for money damages in the event that this Agreement has not been performed in accordance with its terms, and therefore agrees that such other parties shall be entitled to specific enforcement of the terms hereof in addition to any other remedy to which it may be entitled, at law or in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Holder confirm that the Holder has independently participated in the negotiation of the transactions contemplated hereby with the advice of its own counsel and advisors. The Holder shall be entitled to independently protect and enforce its rights, including, without limitation, the rights arising out of this Agreement, and it shall not be necessary for any other holder of securities of the Company to be joined as an additional party in any proceeding for such purpose.</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Agreed to and Acknowledged:</w:t>
      </w:r>
    </w:p>
    <w:p>
      <w:pPr>
        <w:pStyle w:val="TextBody"/>
        <w:bidi w:val="0"/>
        <w:spacing w:before="0" w:after="0"/>
        <w:ind w:left="0" w:right="0" w:hanging="0"/>
        <w:jc w:val="left"/>
        <w:rPr>
          <w:caps w:val="false"/>
          <w:smallCaps w:val="false"/>
        </w:rPr>
      </w:pPr>
      <w:r>
        <w:rPr>
          <w:caps w:val="false"/>
          <w:smallCaps w:val="false"/>
        </w:rPr>
        <w:t> </w:t>
      </w:r>
    </w:p>
    <w:tbl>
      <w:tblPr>
        <w:tblW w:w="3709" w:type="dxa"/>
        <w:jc w:val="left"/>
        <w:tblInd w:w="0" w:type="dxa"/>
        <w:tblLayout w:type="fixed"/>
        <w:tblCellMar>
          <w:top w:w="0" w:type="dxa"/>
          <w:left w:w="0" w:type="dxa"/>
          <w:bottom w:w="0" w:type="dxa"/>
          <w:right w:w="0" w:type="dxa"/>
        </w:tblCellMar>
      </w:tblPr>
      <w:tblGrid>
        <w:gridCol w:w="874"/>
        <w:gridCol w:w="2760"/>
        <w:gridCol w:w="75"/>
      </w:tblGrid>
      <w:tr>
        <w:trPr/>
        <w:tc>
          <w:tcPr>
            <w:tcW w:w="3634" w:type="dxa"/>
            <w:gridSpan w:val="2"/>
            <w:tcBorders/>
            <w:vAlign w:val="center"/>
          </w:tcPr>
          <w:p>
            <w:pPr>
              <w:pStyle w:val="TableContents"/>
              <w:bidi w:val="0"/>
              <w:spacing w:before="0" w:after="283"/>
              <w:jc w:val="left"/>
              <w:rPr>
                <w:b/>
              </w:rPr>
            </w:pPr>
            <w:r>
              <w:rPr>
                <w:b/>
              </w:rPr>
              <w:t>NEWGENIVF GROUP LIMITED</w:t>
            </w:r>
          </w:p>
        </w:tc>
        <w:tc>
          <w:tcPr>
            <w:tcW w:w="75" w:type="dxa"/>
            <w:tcBorders/>
            <w:vAlign w:val="center"/>
          </w:tcPr>
          <w:p>
            <w:pPr>
              <w:pStyle w:val="TableContents"/>
              <w:bidi w:val="0"/>
              <w:spacing w:before="0" w:after="283"/>
              <w:jc w:val="left"/>
              <w:rPr/>
            </w:pPr>
            <w:r>
              <w:rPr/>
              <w:t> </w:t>
            </w:r>
          </w:p>
        </w:tc>
      </w:tr>
      <w:tr>
        <w:trPr/>
        <w:tc>
          <w:tcPr>
            <w:tcW w:w="363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74" w:type="dxa"/>
            <w:tcBorders/>
            <w:vAlign w:val="center"/>
          </w:tcPr>
          <w:p>
            <w:pPr>
              <w:pStyle w:val="TableContents"/>
              <w:bidi w:val="0"/>
              <w:spacing w:before="0" w:after="283"/>
              <w:jc w:val="left"/>
              <w:rPr/>
            </w:pPr>
            <w:r>
              <w:rPr/>
              <w:t>By:</w:t>
            </w:r>
          </w:p>
        </w:tc>
        <w:tc>
          <w:tcPr>
            <w:tcW w:w="27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34" w:type="dxa"/>
            <w:gridSpan w:val="2"/>
            <w:tcBorders/>
            <w:vAlign w:val="center"/>
          </w:tcPr>
          <w:p>
            <w:pPr>
              <w:pStyle w:val="TableContents"/>
              <w:bidi w:val="0"/>
              <w:spacing w:before="0" w:after="283"/>
              <w:jc w:val="left"/>
              <w:rPr/>
            </w:pPr>
            <w:r>
              <w:rPr/>
              <w:t>Name: Siu Wing Fung Alfred</w:t>
            </w:r>
          </w:p>
        </w:tc>
        <w:tc>
          <w:tcPr>
            <w:tcW w:w="75" w:type="dxa"/>
            <w:tcBorders/>
            <w:vAlign w:val="center"/>
          </w:tcPr>
          <w:p>
            <w:pPr>
              <w:pStyle w:val="TableContents"/>
              <w:bidi w:val="0"/>
              <w:spacing w:before="0" w:after="283"/>
              <w:jc w:val="left"/>
              <w:rPr/>
            </w:pPr>
            <w:r>
              <w:rPr/>
              <w:t> </w:t>
            </w:r>
          </w:p>
        </w:tc>
      </w:tr>
      <w:tr>
        <w:trPr/>
        <w:tc>
          <w:tcPr>
            <w:tcW w:w="3634" w:type="dxa"/>
            <w:gridSpan w:val="2"/>
            <w:tcBorders/>
            <w:vAlign w:val="center"/>
          </w:tcPr>
          <w:p>
            <w:pPr>
              <w:pStyle w:val="TableContents"/>
              <w:bidi w:val="0"/>
              <w:spacing w:before="0" w:after="283"/>
              <w:jc w:val="left"/>
              <w:rPr/>
            </w:pPr>
            <w:r>
              <w:rPr/>
              <w:t>Title: CEO</w:t>
            </w:r>
          </w:p>
        </w:tc>
        <w:tc>
          <w:tcPr>
            <w:tcW w:w="75" w:type="dxa"/>
            <w:tcBorders/>
            <w:vAlign w:val="center"/>
          </w:tcPr>
          <w:p>
            <w:pPr>
              <w:pStyle w:val="TableContents"/>
              <w:bidi w:val="0"/>
              <w:spacing w:before="0" w:after="283"/>
              <w:jc w:val="left"/>
              <w:rPr/>
            </w:pPr>
            <w:r>
              <w:rPr/>
              <w:t> </w:t>
            </w:r>
          </w:p>
        </w:tc>
      </w:tr>
      <w:tr>
        <w:trPr/>
        <w:tc>
          <w:tcPr>
            <w:tcW w:w="363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3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34" w:type="dxa"/>
            <w:gridSpan w:val="2"/>
            <w:tcBorders/>
            <w:vAlign w:val="center"/>
          </w:tcPr>
          <w:p>
            <w:pPr>
              <w:pStyle w:val="TableContents"/>
              <w:bidi w:val="0"/>
              <w:spacing w:before="0" w:after="283"/>
              <w:jc w:val="left"/>
              <w:rPr>
                <w:b/>
              </w:rPr>
            </w:pPr>
            <w:r>
              <w:rPr>
                <w:b/>
              </w:rPr>
              <w:t>[HOLDER]</w:t>
            </w:r>
          </w:p>
        </w:tc>
        <w:tc>
          <w:tcPr>
            <w:tcW w:w="75" w:type="dxa"/>
            <w:tcBorders/>
            <w:vAlign w:val="center"/>
          </w:tcPr>
          <w:p>
            <w:pPr>
              <w:pStyle w:val="TableContents"/>
              <w:bidi w:val="0"/>
              <w:spacing w:before="0" w:after="283"/>
              <w:jc w:val="left"/>
              <w:rPr/>
            </w:pPr>
            <w:r>
              <w:rPr/>
              <w:t> </w:t>
            </w:r>
          </w:p>
        </w:tc>
      </w:tr>
      <w:tr>
        <w:trPr/>
        <w:tc>
          <w:tcPr>
            <w:tcW w:w="363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74" w:type="dxa"/>
            <w:tcBorders/>
            <w:vAlign w:val="center"/>
          </w:tcPr>
          <w:p>
            <w:pPr>
              <w:pStyle w:val="TableContents"/>
              <w:bidi w:val="0"/>
              <w:spacing w:before="0" w:after="283"/>
              <w:jc w:val="left"/>
              <w:rPr/>
            </w:pPr>
            <w:r>
              <w:rPr/>
              <w:t>By:</w:t>
            </w:r>
          </w:p>
        </w:tc>
        <w:tc>
          <w:tcPr>
            <w:tcW w:w="27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34" w:type="dxa"/>
            <w:gridSpan w:val="2"/>
            <w:tcBorders/>
            <w:vAlign w:val="center"/>
          </w:tcPr>
          <w:p>
            <w:pPr>
              <w:pStyle w:val="TableContents"/>
              <w:bidi w:val="0"/>
              <w:spacing w:before="0" w:after="283"/>
              <w:jc w:val="left"/>
              <w:rPr/>
            </w:pPr>
            <w:r>
              <w:rPr/>
              <w:t xml:space="preserve">Name: </w:t>
            </w:r>
          </w:p>
        </w:tc>
        <w:tc>
          <w:tcPr>
            <w:tcW w:w="75" w:type="dxa"/>
            <w:tcBorders/>
            <w:vAlign w:val="center"/>
          </w:tcPr>
          <w:p>
            <w:pPr>
              <w:pStyle w:val="TableContents"/>
              <w:bidi w:val="0"/>
              <w:spacing w:before="0" w:after="283"/>
              <w:jc w:val="left"/>
              <w:rPr/>
            </w:pPr>
            <w:r>
              <w:rPr/>
              <w:t> </w:t>
            </w:r>
          </w:p>
        </w:tc>
      </w:tr>
      <w:tr>
        <w:trPr/>
        <w:tc>
          <w:tcPr>
            <w:tcW w:w="3634" w:type="dxa"/>
            <w:gridSpan w:val="2"/>
            <w:tcBorders/>
            <w:vAlign w:val="center"/>
          </w:tcPr>
          <w:p>
            <w:pPr>
              <w:pStyle w:val="TableContents"/>
              <w:bidi w:val="0"/>
              <w:spacing w:before="0" w:after="283"/>
              <w:jc w:val="left"/>
              <w:rPr/>
            </w:pPr>
            <w:r>
              <w:rPr/>
              <w:t xml:space="preserve">Title: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8" w:name="ea030160101ex99-1.htm"/>
      <w:bookmarkStart w:id="9" w:name="ksea030160101ex991"/>
      <w:bookmarkEnd w:id="8"/>
      <w:bookmarkEnd w:id="9"/>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NewGenIVF Completes Exchange of Convertible Notes with Institutional Investor</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Restructuring eliminates prior mandatory proceeds sweep and improves capital structure flexibility</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BANGKOK, </w:t>
      </w:r>
      <w:r>
        <w:rPr>
          <w:rFonts w:ascii="Times New Roman;Times;Serif" w:hAnsi="Times New Roman;Times;Serif"/>
          <w:b w:val="false"/>
          <w:i w:val="false"/>
          <w:caps w:val="false"/>
          <w:smallCaps w:val="false"/>
          <w:sz w:val="20"/>
        </w:rPr>
        <w:t>August 17, 2026 – NewGenIVF Group Limited (Nasdaq: NIVF) (“NewGen” or the “Company”), a technology-driven, diversified growth company, today announced that it has completed an exchange agreement with a certain institutional investor (“Investor”) pursuant to which existing convertible notes held by the Investor were exchanged for a new senior convertible note on amended terms. The exchange closed on August 14,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restructuring eliminates the prior mandatory requirement that a significant percentage of proceeds from new capital raises be applied to prepay the notes under the Repurchase and Forbearance Agreement dated June 16, 2026, which was disclosed in the Company’s Form 6-K filing on June 16, 2026. The new note also incorporates a leak-out framework and other modified terms intended to provide greater flexibility for the Company. The full agreement will be filed as an exhibit to the Company's Report on Form 6-K, which will be furnished to the U.S. Securities and Exchange Commission simultaneously with this press release.</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exchange represents an important step in improving the terms of our capital structure,” said Alfred Siu, Founder, Chairman and CEO of NewGen. “By removing the previous mandatory proceeds sweep and establishing more constructive terms, we enhance our ability to manage future financing activity in a manner that better supports the Company’s strategic objectives and long-term growth.”</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continues to evaluate additional opportunities to further optimize its capital structure in a manner consistent with shareholder interests.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NewGen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Group Limited is a technology-forward, diversified growth company pursuing opportunities across real estate development, digital asset innovation, and reproductive health solutions. The Company operates through NewGenProperty, focused on real estate development projects in Ras Al Khaimah, United Arab Emirates; NewGenDigital, focused on digital asset and decentralized-finance solutions; and NewGenSup, focused on health and longevity products and solutions. NewGenIVF’s legacy business includes IVF and assisted reproductive treatment services across Asia. To learn more, visit www.nivf.global. Information contained on, or accessible through, the Company’s website is not incorporated by reference into this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"safe harbor" provisions of the U.S. Private Securities Litigation Reform Act of 1995. Forward-looking statements in this press release include, but are not limited to, statements regarding: the anticipated benefits of the exchange of the Investor's existing convertible notes for a new senior convertible note on amended terms, including the elimination of the prior mandatory proceeds sweep and the leak-out framework and other modified terms intended to provide greater flexibility for the Company; the Company's ability to manage future financing activity in a manner that supports its strategic objectives and long-term growth; and the Company's plans to continue evaluating additional opportunities to optimize its capital structure.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based on the Company's current expectations, estimates, projections and assumptions as of the date of this press release and are subject to known and unknown risks, uncertainties and other factors that may cause actual results, performance or achievements to differ materially from those expressed or implied. These risks and uncertainties include, among others: risk relating to the Company's convertible note financing arrangements, including compliance with associated covenants and the risk of default; share dilution and capital markets issuance risk; and liquidity and capital requirements risk. Additional risks are described in the Company's Annual Report on Form 20-F and other filings with the U.S. Securities and Exchange Commission.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information provided in this press release is as of the date of this press release. The Company undertakes no obligation to update or revise any forward-looking statements, except as required by applicable securities laws.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ICR, LLC</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Robin Yang</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+1 (212) 537-3847</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Newgenivf.IR@icrinc.com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37454</Words>
  <Characters>195910</Characters>
  <CharactersWithSpaces>233740</CharactersWithSpaces>
  <Paragraphs>1105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