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001-42004</w:t>
      </w:r>
    </w:p>
    <w:p>
      <w:pPr>
        <w:spacing w:after="0" w:line="22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36/39-36/40, 13th Floor, PS Tower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Sukhumvit 21 Road (Asoke)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Khlong Toei Nuea Sub-district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Watthana District, Bangkok 10110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2026, NewGenIvf Group Limited (the “Company”) announced that it entered into a Repurchase and Forbearance Agreement (the “Agreement”) with JAK Opportunities VI LLC (the “Investor”) pursuant to which the Company agreed to repurchase certain outstanding convertible notes and warrants previously issued to the Investor and to make certain forbearance payments payable in scheduled instalments. A copy of the press release is filed herewith as Exhibit 99.1.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Agreement, a copy of which is filed herewith as Exhibit 10.1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8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Repurchase and Forbearance Agreement between NewGenIvf Group Limited and JAK Opportunities VI LLC dated June 15, 2026</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94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c>
          <w:tcPr>
            <w:tcW w:w="700" w:type="dxa"/>
            <w:vAlign w:val="bottom"/>
            <w:tcBorders>
              <w:top w:val="single" w:sz="8" w:color="CCEEFF"/>
            </w:tcBorders>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480" w:type="dxa"/>
            <w:vAlign w:val="bottom"/>
            <w:tcBorders>
              <w:bottom w:val="single" w:sz="8" w:color="auto"/>
            </w:tcBorders>
          </w:tcPr>
          <w:p>
            <w:pPr>
              <w:jc w:val="right"/>
              <w:ind w:right="479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Fung Alfred Siu</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Fung Alfred Siu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REPURCHASE AND FORBEARANCE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Repurchase and Forbearance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June 15, 2026, is by and between NewGenIvf Group Limited, a business company incorporated under the laws of the British Virgin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JAK Opportunities VI LLC, a Delaware limited liability company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The Company and the Investor are referred to herein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Capitalized terms not defined herein shall have the meaning as set forth in the Existing Securities Purchase Agreements (as defined below),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On August 7, 2024, the Parties entered into that certain Securities Purchase Agreement (as amended, modified or waived prior to the date hereof, the “</w:t>
      </w:r>
      <w:r>
        <w:rPr>
          <w:rFonts w:ascii="Times New Roman" w:cs="Times New Roman" w:eastAsia="Times New Roman" w:hAnsi="Times New Roman"/>
          <w:sz w:val="18"/>
          <w:szCs w:val="18"/>
          <w:b w:val="1"/>
          <w:bCs w:val="1"/>
          <w:color w:val="auto"/>
        </w:rPr>
        <w:t>2024 Securities Purchase Agreement</w:t>
      </w:r>
      <w:r>
        <w:rPr>
          <w:rFonts w:ascii="Times New Roman" w:cs="Times New Roman" w:eastAsia="Times New Roman" w:hAnsi="Times New Roman"/>
          <w:sz w:val="18"/>
          <w:szCs w:val="18"/>
          <w:color w:val="auto"/>
        </w:rPr>
        <w:t>”), pursuant to which, among other things, the Company issued to the Investor (i) that certain senior convertible note of the Company, dated as of July 16, 2025, in the aggregate original principal amount of $2,000,000 (as amended, modified or waived prior to the date hereof, the “</w:t>
      </w:r>
      <w:r>
        <w:rPr>
          <w:rFonts w:ascii="Times New Roman" w:cs="Times New Roman" w:eastAsia="Times New Roman" w:hAnsi="Times New Roman"/>
          <w:sz w:val="18"/>
          <w:szCs w:val="18"/>
          <w:b w:val="1"/>
          <w:bCs w:val="1"/>
          <w:color w:val="auto"/>
        </w:rPr>
        <w:t>2024 Note</w:t>
      </w:r>
      <w:r>
        <w:rPr>
          <w:rFonts w:ascii="Times New Roman" w:cs="Times New Roman" w:eastAsia="Times New Roman" w:hAnsi="Times New Roman"/>
          <w:sz w:val="18"/>
          <w:szCs w:val="18"/>
          <w:color w:val="auto"/>
        </w:rPr>
        <w:t>”) and (ii) certain Warrants (as defined in the 2024 Securities Purchase Agreement) (as amended, modified or waived prior to the date hereof, collectively, the “</w:t>
      </w:r>
      <w:r>
        <w:rPr>
          <w:rFonts w:ascii="Times New Roman" w:cs="Times New Roman" w:eastAsia="Times New Roman" w:hAnsi="Times New Roman"/>
          <w:sz w:val="18"/>
          <w:szCs w:val="18"/>
          <w:b w:val="1"/>
          <w:bCs w:val="1"/>
          <w:color w:val="auto"/>
        </w:rPr>
        <w:t>Original 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On April 1, 2025, the Parties entered into that certain Securities Purchase Agreement (as amended, modified or waived prior to the date hereof, the “</w:t>
      </w:r>
      <w:r>
        <w:rPr>
          <w:rFonts w:ascii="Times New Roman" w:cs="Times New Roman" w:eastAsia="Times New Roman" w:hAnsi="Times New Roman"/>
          <w:sz w:val="18"/>
          <w:szCs w:val="18"/>
          <w:b w:val="1"/>
          <w:bCs w:val="1"/>
          <w:color w:val="auto"/>
        </w:rPr>
        <w:t>2025 Securities Purchase Agreement</w:t>
      </w:r>
      <w:r>
        <w:rPr>
          <w:rFonts w:ascii="Times New Roman" w:cs="Times New Roman" w:eastAsia="Times New Roman" w:hAnsi="Times New Roman"/>
          <w:sz w:val="18"/>
          <w:szCs w:val="18"/>
          <w:color w:val="auto"/>
        </w:rPr>
        <w:t>”, and together with the 2024 Securities Purchase Agreement, the “</w:t>
      </w:r>
      <w:r>
        <w:rPr>
          <w:rFonts w:ascii="Times New Roman" w:cs="Times New Roman" w:eastAsia="Times New Roman" w:hAnsi="Times New Roman"/>
          <w:sz w:val="18"/>
          <w:szCs w:val="18"/>
          <w:b w:val="1"/>
          <w:bCs w:val="1"/>
          <w:color w:val="auto"/>
        </w:rPr>
        <w:t>Existing Securities Purchase Agreements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Existing Securities Purchase Agreement</w:t>
      </w:r>
      <w:r>
        <w:rPr>
          <w:rFonts w:ascii="Times New Roman" w:cs="Times New Roman" w:eastAsia="Times New Roman" w:hAnsi="Times New Roman"/>
          <w:sz w:val="18"/>
          <w:szCs w:val="18"/>
          <w:color w:val="auto"/>
        </w:rPr>
        <w:t>”), pursuant to which, among other things, the Company issued to the Investor that certain senior convertible note of the Company, dated as of June 3, 2025, in the aggregate original principal amount of $3,200,000 (as amended, modified or waived prior to the date hereof, the “</w:t>
      </w:r>
      <w:r>
        <w:rPr>
          <w:rFonts w:ascii="Times New Roman" w:cs="Times New Roman" w:eastAsia="Times New Roman" w:hAnsi="Times New Roman"/>
          <w:sz w:val="18"/>
          <w:szCs w:val="18"/>
          <w:b w:val="1"/>
          <w:bCs w:val="1"/>
          <w:color w:val="auto"/>
        </w:rPr>
        <w:t>2025 Note</w:t>
      </w:r>
      <w:r>
        <w:rPr>
          <w:rFonts w:ascii="Times New Roman" w:cs="Times New Roman" w:eastAsia="Times New Roman" w:hAnsi="Times New Roman"/>
          <w:sz w:val="18"/>
          <w:szCs w:val="18"/>
          <w:color w:val="auto"/>
        </w:rPr>
        <w:t>”, and together with the 2024 Note, the “</w:t>
      </w:r>
      <w:r>
        <w:rPr>
          <w:rFonts w:ascii="Times New Roman" w:cs="Times New Roman" w:eastAsia="Times New Roman" w:hAnsi="Times New Roman"/>
          <w:sz w:val="18"/>
          <w:szCs w:val="18"/>
          <w:b w:val="1"/>
          <w:bCs w:val="1"/>
          <w:color w:val="auto"/>
        </w:rPr>
        <w:t>Original Notes</w:t>
      </w:r>
      <w:r>
        <w:rPr>
          <w:rFonts w:ascii="Times New Roman" w:cs="Times New Roman" w:eastAsia="Times New Roman" w:hAnsi="Times New Roman"/>
          <w:sz w:val="18"/>
          <w:szCs w:val="18"/>
          <w:color w:val="auto"/>
        </w:rPr>
        <w:t>”, and collectively with the Original Warrants,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Original Securities and the Existing Securities Purchase Agreements are collectively referred to herein as the “</w:t>
      </w:r>
      <w:r>
        <w:rPr>
          <w:rFonts w:ascii="Times New Roman" w:cs="Times New Roman" w:eastAsia="Times New Roman" w:hAnsi="Times New Roman"/>
          <w:sz w:val="18"/>
          <w:szCs w:val="18"/>
          <w:b w:val="1"/>
          <w:bCs w:val="1"/>
          <w:color w:val="auto"/>
        </w:rPr>
        <w:t>Existing Transaction Documents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Pursuant to Section 1(b)(ii) of the 2024 Securities Purchase Agreement, the Company may sell to the Investor, and the Investor may purchase from the Company, one or more Additional Notes in one or more Additional Closings (the “</w:t>
      </w:r>
      <w:r>
        <w:rPr>
          <w:rFonts w:ascii="Times New Roman" w:cs="Times New Roman" w:eastAsia="Times New Roman" w:hAnsi="Times New Roman"/>
          <w:sz w:val="18"/>
          <w:szCs w:val="18"/>
          <w:b w:val="1"/>
          <w:bCs w:val="1"/>
          <w:color w:val="auto"/>
        </w:rPr>
        <w:t>2024 Additional Closing Option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Pursuant to Section 1(b)(ii) of the 2025 Securities Purchase Agreement, the Company may sell to the Investor, and the Investor may purchase from the Company, one or more Additional Notes in one or more Additional Closings (the “</w:t>
      </w:r>
      <w:r>
        <w:rPr>
          <w:rFonts w:ascii="Times New Roman" w:cs="Times New Roman" w:eastAsia="Times New Roman" w:hAnsi="Times New Roman"/>
          <w:sz w:val="18"/>
          <w:szCs w:val="18"/>
          <w:b w:val="1"/>
          <w:bCs w:val="1"/>
          <w:color w:val="auto"/>
        </w:rPr>
        <w:t>2025 Additional Closing Option</w:t>
      </w:r>
      <w:r>
        <w:rPr>
          <w:rFonts w:ascii="Times New Roman" w:cs="Times New Roman" w:eastAsia="Times New Roman" w:hAnsi="Times New Roman"/>
          <w:sz w:val="18"/>
          <w:szCs w:val="18"/>
          <w:color w:val="auto"/>
        </w:rPr>
        <w:t>”, and together with the 2024 Additional Closing Option, the “</w:t>
      </w:r>
      <w:r>
        <w:rPr>
          <w:rFonts w:ascii="Times New Roman" w:cs="Times New Roman" w:eastAsia="Times New Roman" w:hAnsi="Times New Roman"/>
          <w:sz w:val="18"/>
          <w:szCs w:val="18"/>
          <w:b w:val="1"/>
          <w:bCs w:val="1"/>
          <w:color w:val="auto"/>
        </w:rPr>
        <w:t>Additional Closing Options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E. As of the date hereof, the Investor holds Original Notes with such aggregate amounts outstanding thereunder (the “</w:t>
      </w:r>
      <w:r>
        <w:rPr>
          <w:rFonts w:ascii="Times New Roman" w:cs="Times New Roman" w:eastAsia="Times New Roman" w:hAnsi="Times New Roman"/>
          <w:sz w:val="18"/>
          <w:szCs w:val="18"/>
          <w:b w:val="1"/>
          <w:bCs w:val="1"/>
          <w:color w:val="auto"/>
        </w:rPr>
        <w:t>Purchased Note Amount</w:t>
      </w:r>
      <w:r>
        <w:rPr>
          <w:rFonts w:ascii="Times New Roman" w:cs="Times New Roman" w:eastAsia="Times New Roman" w:hAnsi="Times New Roman"/>
          <w:sz w:val="18"/>
          <w:szCs w:val="18"/>
          <w:color w:val="auto"/>
        </w:rPr>
        <w:t>”) as set forth on the signature page of the Investor attached hereto (collectively, the “</w:t>
      </w:r>
      <w:r>
        <w:rPr>
          <w:rFonts w:ascii="Times New Roman" w:cs="Times New Roman" w:eastAsia="Times New Roman" w:hAnsi="Times New Roman"/>
          <w:sz w:val="18"/>
          <w:szCs w:val="18"/>
          <w:b w:val="1"/>
          <w:bCs w:val="1"/>
          <w:color w:val="auto"/>
        </w:rPr>
        <w:t>Purchased Notes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 As of the date hereof, the Investor holds Original Warrants exercisable into such aggregate number (the “</w:t>
      </w:r>
      <w:r>
        <w:rPr>
          <w:rFonts w:ascii="Times New Roman" w:cs="Times New Roman" w:eastAsia="Times New Roman" w:hAnsi="Times New Roman"/>
          <w:sz w:val="18"/>
          <w:szCs w:val="18"/>
          <w:b w:val="1"/>
          <w:bCs w:val="1"/>
          <w:color w:val="auto"/>
        </w:rPr>
        <w:t>Purchased Warrant Number</w:t>
      </w:r>
      <w:r>
        <w:rPr>
          <w:rFonts w:ascii="Times New Roman" w:cs="Times New Roman" w:eastAsia="Times New Roman" w:hAnsi="Times New Roman"/>
          <w:sz w:val="18"/>
          <w:szCs w:val="18"/>
          <w:color w:val="auto"/>
        </w:rPr>
        <w:t>”) of Ordinary Shares (without regard to any limitations on exercise set forth therein) as set forth on the signature page of the Investor attached hereto (collectively, the “</w:t>
      </w:r>
      <w:r>
        <w:rPr>
          <w:rFonts w:ascii="Times New Roman" w:cs="Times New Roman" w:eastAsia="Times New Roman" w:hAnsi="Times New Roman"/>
          <w:sz w:val="18"/>
          <w:szCs w:val="18"/>
          <w:b w:val="1"/>
          <w:bCs w:val="1"/>
          <w:color w:val="auto"/>
        </w:rPr>
        <w:t>Purchased Warrants</w:t>
      </w:r>
      <w:r>
        <w:rPr>
          <w:rFonts w:ascii="Times New Roman" w:cs="Times New Roman" w:eastAsia="Times New Roman" w:hAnsi="Times New Roman"/>
          <w:sz w:val="18"/>
          <w:szCs w:val="18"/>
          <w:color w:val="auto"/>
        </w:rPr>
        <w:t>”, and together with the Purchased Notes, the “</w:t>
      </w:r>
      <w:r>
        <w:rPr>
          <w:rFonts w:ascii="Times New Roman" w:cs="Times New Roman" w:eastAsia="Times New Roman" w:hAnsi="Times New Roman"/>
          <w:sz w:val="18"/>
          <w:szCs w:val="18"/>
          <w:b w:val="1"/>
          <w:bCs w:val="1"/>
          <w:color w:val="auto"/>
        </w:rPr>
        <w:t>Purchased 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The Parties desire to enter into this Agreement, pursuant to which, among other things, the Company shall (i) repurchase from the Investor, and the Investor shall sell to the Company, the Original Notes at an aggregate purchase price of $4,531,250 (the “</w:t>
      </w:r>
      <w:r>
        <w:rPr>
          <w:rFonts w:ascii="Times New Roman" w:cs="Times New Roman" w:eastAsia="Times New Roman" w:hAnsi="Times New Roman"/>
          <w:sz w:val="18"/>
          <w:szCs w:val="18"/>
          <w:b w:val="1"/>
          <w:bCs w:val="1"/>
          <w:color w:val="auto"/>
        </w:rPr>
        <w:t>Note Purchase Price</w:t>
      </w:r>
      <w:r>
        <w:rPr>
          <w:rFonts w:ascii="Times New Roman" w:cs="Times New Roman" w:eastAsia="Times New Roman" w:hAnsi="Times New Roman"/>
          <w:sz w:val="18"/>
          <w:szCs w:val="18"/>
          <w:color w:val="auto"/>
        </w:rPr>
        <w:t>”), (ii) repurchase from the Investor, and the Investor shall sell to the Company, the Purchased Warrants at an aggregate purchase price of $600,000 (the “</w:t>
      </w:r>
      <w:r>
        <w:rPr>
          <w:rFonts w:ascii="Times New Roman" w:cs="Times New Roman" w:eastAsia="Times New Roman" w:hAnsi="Times New Roman"/>
          <w:sz w:val="18"/>
          <w:szCs w:val="18"/>
          <w:b w:val="1"/>
          <w:bCs w:val="1"/>
          <w:color w:val="auto"/>
        </w:rPr>
        <w:t>Warrant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and (iii) pay to the Investor an aggregate amount of $2,250,000 (the “</w:t>
      </w:r>
      <w:r>
        <w:rPr>
          <w:rFonts w:ascii="Times New Roman" w:cs="Times New Roman" w:eastAsia="Times New Roman" w:hAnsi="Times New Roman"/>
          <w:sz w:val="18"/>
          <w:szCs w:val="18"/>
          <w:b w:val="1"/>
          <w:bCs w:val="1"/>
          <w:color w:val="auto"/>
        </w:rPr>
        <w:t>Forbearance Payment Amount</w:t>
      </w:r>
      <w:r>
        <w:rPr>
          <w:rFonts w:ascii="Times New Roman" w:cs="Times New Roman" w:eastAsia="Times New Roman" w:hAnsi="Times New Roman"/>
          <w:sz w:val="18"/>
          <w:szCs w:val="18"/>
          <w:color w:val="auto"/>
        </w:rPr>
        <w:t>”, and together with the Note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Warrant Purchase Price, each, a “</w:t>
      </w:r>
      <w:r>
        <w:rPr>
          <w:rFonts w:ascii="Times New Roman" w:cs="Times New Roman" w:eastAsia="Times New Roman" w:hAnsi="Times New Roman"/>
          <w:sz w:val="18"/>
          <w:szCs w:val="18"/>
          <w:b w:val="1"/>
          <w:bCs w:val="1"/>
          <w:color w:val="auto"/>
        </w:rPr>
        <w:t>Payment Amount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Aggregate Payment Amount</w:t>
      </w:r>
      <w:r>
        <w:rPr>
          <w:rFonts w:ascii="Times New Roman" w:cs="Times New Roman" w:eastAsia="Times New Roman" w:hAnsi="Times New Roman"/>
          <w:sz w:val="18"/>
          <w:szCs w:val="18"/>
          <w:color w:val="auto"/>
        </w:rPr>
        <w:t>”) to (x) forbear the Additional Closing Options and (y) subject to payment of the Aggregate Payment Amount, waive the Additional Closing Options.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is hereby acknowledge, the Parties agree as follows:</w:t>
      </w:r>
    </w:p>
    <w:p>
      <w:pPr>
        <w:spacing w:after="0" w:line="158" w:lineRule="exact"/>
        <w:rPr>
          <w:sz w:val="20"/>
          <w:szCs w:val="20"/>
          <w:color w:val="auto"/>
        </w:rPr>
      </w:pPr>
    </w:p>
    <w:p>
      <w:pPr>
        <w:jc w:val="both"/>
        <w:ind w:firstLine="656"/>
        <w:spacing w:after="0" w:line="254" w:lineRule="auto"/>
        <w:tabs>
          <w:tab w:leader="none" w:pos="8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Repurchase and Cancellation of Purchased Notes</w:t>
      </w:r>
      <w:r>
        <w:rPr>
          <w:rFonts w:ascii="Times New Roman" w:cs="Times New Roman" w:eastAsia="Times New Roman" w:hAnsi="Times New Roman"/>
          <w:sz w:val="18"/>
          <w:szCs w:val="18"/>
          <w:color w:val="auto"/>
        </w:rPr>
        <w:t>. On each date set forth in column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(the “</w:t>
      </w:r>
      <w:r>
        <w:rPr>
          <w:rFonts w:ascii="Times New Roman" w:cs="Times New Roman" w:eastAsia="Times New Roman" w:hAnsi="Times New Roman"/>
          <w:sz w:val="18"/>
          <w:szCs w:val="18"/>
          <w:b w:val="1"/>
          <w:bCs w:val="1"/>
          <w:color w:val="auto"/>
        </w:rPr>
        <w:t>Installment Schedule</w:t>
      </w:r>
      <w:r>
        <w:rPr>
          <w:rFonts w:ascii="Times New Roman" w:cs="Times New Roman" w:eastAsia="Times New Roman" w:hAnsi="Times New Roman"/>
          <w:sz w:val="18"/>
          <w:szCs w:val="18"/>
          <w:color w:val="auto"/>
        </w:rPr>
        <w:t>”, and each such date, an “</w:t>
      </w:r>
      <w:r>
        <w:rPr>
          <w:rFonts w:ascii="Times New Roman" w:cs="Times New Roman" w:eastAsia="Times New Roman" w:hAnsi="Times New Roman"/>
          <w:sz w:val="18"/>
          <w:szCs w:val="18"/>
          <w:b w:val="1"/>
          <w:bCs w:val="1"/>
          <w:color w:val="auto"/>
        </w:rPr>
        <w:t>Installment Date</w:t>
      </w:r>
      <w:r>
        <w:rPr>
          <w:rFonts w:ascii="Times New Roman" w:cs="Times New Roman" w:eastAsia="Times New Roman" w:hAnsi="Times New Roman"/>
          <w:sz w:val="18"/>
          <w:szCs w:val="18"/>
          <w:color w:val="auto"/>
        </w:rPr>
        <w:t>”), the Company shall pay to the Investor, subject the terms and conditions set forth herein,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Note Purchase Price equal to such note installment amount set forth opposite such Installment Date in column (2) of the Installment Schedule (each, a “</w:t>
      </w:r>
      <w:r>
        <w:rPr>
          <w:rFonts w:ascii="Times New Roman" w:cs="Times New Roman" w:eastAsia="Times New Roman" w:hAnsi="Times New Roman"/>
          <w:sz w:val="18"/>
          <w:szCs w:val="18"/>
          <w:b w:val="1"/>
          <w:bCs w:val="1"/>
          <w:color w:val="auto"/>
        </w:rPr>
        <w:t>Note Installment Amount</w:t>
      </w:r>
      <w:r>
        <w:rPr>
          <w:rFonts w:ascii="Times New Roman" w:cs="Times New Roman" w:eastAsia="Times New Roman" w:hAnsi="Times New Roman"/>
          <w:sz w:val="18"/>
          <w:szCs w:val="18"/>
          <w:color w:val="auto"/>
        </w:rPr>
        <w:t>”) by wire transfer of immediately available funds in U.S. dollars. Effective as of such date that the Company shall have paid the Note Purchase Price, in full, to the Investor, the Investor hereby sells, assigns, delivers and transfers to the Company all of its right, title and interest in and to the Purchased Notes (the “</w:t>
      </w:r>
      <w:r>
        <w:rPr>
          <w:rFonts w:ascii="Times New Roman" w:cs="Times New Roman" w:eastAsia="Times New Roman" w:hAnsi="Times New Roman"/>
          <w:sz w:val="18"/>
          <w:szCs w:val="18"/>
          <w:b w:val="1"/>
          <w:bCs w:val="1"/>
          <w:color w:val="auto"/>
        </w:rPr>
        <w:t>Note Repurchase</w:t>
      </w:r>
      <w:r>
        <w:rPr>
          <w:rFonts w:ascii="Times New Roman" w:cs="Times New Roman" w:eastAsia="Times New Roman" w:hAnsi="Times New Roman"/>
          <w:sz w:val="18"/>
          <w:szCs w:val="18"/>
          <w:color w:val="auto"/>
        </w:rPr>
        <w:t>”), which shall thereafter be cancelled by the Company. Effective as of the Effective Time (as defined below), the Investor hereby agrees to forbear from converting all, or any portion, of the Purchased Notes unless or until (x) any breach or default by the Company of any term of this Agreement occurs and remains uncured for a period of at least three (3) Trading Days (each, a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and each such uncured breach or default, a “</w:t>
      </w:r>
      <w:r>
        <w:rPr>
          <w:rFonts w:ascii="Times New Roman" w:cs="Times New Roman" w:eastAsia="Times New Roman" w:hAnsi="Times New Roman"/>
          <w:sz w:val="18"/>
          <w:szCs w:val="18"/>
          <w:b w:val="1"/>
          <w:bCs w:val="1"/>
          <w:color w:val="auto"/>
        </w:rPr>
        <w:t>Forbearance Default</w:t>
      </w:r>
      <w:r>
        <w:rPr>
          <w:rFonts w:ascii="Times New Roman" w:cs="Times New Roman" w:eastAsia="Times New Roman" w:hAnsi="Times New Roman"/>
          <w:sz w:val="18"/>
          <w:szCs w:val="18"/>
          <w:color w:val="auto"/>
        </w:rPr>
        <w:t>”), (y) the occurrence of any Event of Default (as defined in the Purchased Notes), regardless of whether such Event of Default is subsequently cured (and together with each Forbearance Default, each, a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or (z) such time as the Purchased Notes are no longer outstanding (the “</w:t>
      </w:r>
      <w:r>
        <w:rPr>
          <w:rFonts w:ascii="Times New Roman" w:cs="Times New Roman" w:eastAsia="Times New Roman" w:hAnsi="Times New Roman"/>
          <w:sz w:val="18"/>
          <w:szCs w:val="18"/>
          <w:b w:val="1"/>
          <w:bCs w:val="1"/>
          <w:color w:val="auto"/>
        </w:rPr>
        <w:t>Conversion Forbearance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8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Repurchase and Cancellation of Purchased Warrants</w:t>
      </w:r>
      <w:r>
        <w:rPr>
          <w:rFonts w:ascii="Times New Roman" w:cs="Times New Roman" w:eastAsia="Times New Roman" w:hAnsi="Times New Roman"/>
          <w:sz w:val="18"/>
          <w:szCs w:val="18"/>
          <w:color w:val="auto"/>
        </w:rPr>
        <w:t>. On each Installment Dat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the Company shall pay to the Investor, subject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herein, such portion of the Warrant Purchase Price equal to such warrant installment amount set forth opposite such Installment Date in column (3) of the Installment Schedule (each, a “</w:t>
      </w:r>
      <w:r>
        <w:rPr>
          <w:rFonts w:ascii="Times New Roman" w:cs="Times New Roman" w:eastAsia="Times New Roman" w:hAnsi="Times New Roman"/>
          <w:sz w:val="18"/>
          <w:szCs w:val="18"/>
          <w:b w:val="1"/>
          <w:bCs w:val="1"/>
          <w:color w:val="auto"/>
        </w:rPr>
        <w:t>Warrant Installment Amount</w:t>
      </w:r>
      <w:r>
        <w:rPr>
          <w:rFonts w:ascii="Times New Roman" w:cs="Times New Roman" w:eastAsia="Times New Roman" w:hAnsi="Times New Roman"/>
          <w:sz w:val="18"/>
          <w:szCs w:val="18"/>
          <w:color w:val="auto"/>
        </w:rPr>
        <w:t>”) by wire transfer of immediately available funds in U.S. dollars. Effective as of such date that the Company shall have paid the Warrant Purchase Price, in full, to the Investor, the Investor hereby sells, assigns, delivers and transfers to the Company all of its right, title and interest in and to the Purchased Warrants (the “</w:t>
      </w:r>
      <w:r>
        <w:rPr>
          <w:rFonts w:ascii="Times New Roman" w:cs="Times New Roman" w:eastAsia="Times New Roman" w:hAnsi="Times New Roman"/>
          <w:sz w:val="18"/>
          <w:szCs w:val="18"/>
          <w:b w:val="1"/>
          <w:bCs w:val="1"/>
          <w:color w:val="auto"/>
        </w:rPr>
        <w:t>Warrant Repurchase</w:t>
      </w:r>
      <w:r>
        <w:rPr>
          <w:rFonts w:ascii="Times New Roman" w:cs="Times New Roman" w:eastAsia="Times New Roman" w:hAnsi="Times New Roman"/>
          <w:sz w:val="18"/>
          <w:szCs w:val="18"/>
          <w:color w:val="auto"/>
        </w:rPr>
        <w:t>”), which shall thereafter be cancelled by the Company. Effective as of the Effective Time, the Investor hereby agrees to forbear from exercising all or any portion of the Purchased Warrants unless or until (x) any Default occurs or (y) such time as the Purchased Warrants are no longer outstanding (the “</w:t>
      </w:r>
      <w:r>
        <w:rPr>
          <w:rFonts w:ascii="Times New Roman" w:cs="Times New Roman" w:eastAsia="Times New Roman" w:hAnsi="Times New Roman"/>
          <w:sz w:val="18"/>
          <w:szCs w:val="18"/>
          <w:b w:val="1"/>
          <w:bCs w:val="1"/>
          <w:color w:val="auto"/>
        </w:rPr>
        <w:t>Exercise Forbearance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56"/>
        <w:spacing w:after="0" w:line="262" w:lineRule="auto"/>
        <w:tabs>
          <w:tab w:leader="none" w:pos="84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Forbearance Payments. </w:t>
      </w:r>
      <w:r>
        <w:rPr>
          <w:rFonts w:ascii="Times New Roman" w:cs="Times New Roman" w:eastAsia="Times New Roman" w:hAnsi="Times New Roman"/>
          <w:sz w:val="18"/>
          <w:szCs w:val="18"/>
          <w:color w:val="auto"/>
        </w:rPr>
        <w:t>On each Installment Date, the Company shall pay the Investor, subject the terms and conditions set forth herein,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Forbearance Payment Amount equal to such forbearance installment amount set forth opposite such Installment Date in column (4) of the Installment Schedule (each, a “</w:t>
      </w:r>
      <w:r>
        <w:rPr>
          <w:rFonts w:ascii="Times New Roman" w:cs="Times New Roman" w:eastAsia="Times New Roman" w:hAnsi="Times New Roman"/>
          <w:sz w:val="18"/>
          <w:szCs w:val="18"/>
          <w:b w:val="1"/>
          <w:bCs w:val="1"/>
          <w:color w:val="auto"/>
        </w:rPr>
        <w:t>Forbearance Installment Amount</w:t>
      </w:r>
      <w:r>
        <w:rPr>
          <w:rFonts w:ascii="Times New Roman" w:cs="Times New Roman" w:eastAsia="Times New Roman" w:hAnsi="Times New Roman"/>
          <w:sz w:val="18"/>
          <w:szCs w:val="18"/>
          <w:color w:val="auto"/>
        </w:rPr>
        <w:t>”, and together with the Note Installment Amounts and Warrant Installment Amounts, each, an “</w:t>
      </w:r>
      <w:r>
        <w:rPr>
          <w:rFonts w:ascii="Times New Roman" w:cs="Times New Roman" w:eastAsia="Times New Roman" w:hAnsi="Times New Roman"/>
          <w:sz w:val="18"/>
          <w:szCs w:val="18"/>
          <w:b w:val="1"/>
          <w:bCs w:val="1"/>
          <w:color w:val="auto"/>
        </w:rPr>
        <w:t>Installment Amount</w:t>
      </w:r>
      <w:r>
        <w:rPr>
          <w:rFonts w:ascii="Times New Roman" w:cs="Times New Roman" w:eastAsia="Times New Roman" w:hAnsi="Times New Roman"/>
          <w:sz w:val="18"/>
          <w:szCs w:val="18"/>
          <w:color w:val="auto"/>
        </w:rPr>
        <w:t>”) by wire transfer of immediately available funds in U.S. dollars.</w:t>
      </w:r>
    </w:p>
    <w:p>
      <w:pPr>
        <w:spacing w:after="0" w:line="17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Forbearance of Additional Closings under the Existing Securities Purchase Agreements. </w:t>
      </w:r>
      <w:r>
        <w:rPr>
          <w:rFonts w:ascii="Times New Roman" w:cs="Times New Roman" w:eastAsia="Times New Roman" w:hAnsi="Times New Roman"/>
          <w:sz w:val="18"/>
          <w:szCs w:val="18"/>
          <w:color w:val="auto"/>
        </w:rPr>
        <w:t>Effective as of the Effective Time, unless or until</w:t>
      </w:r>
    </w:p>
    <w:p>
      <w:pPr>
        <w:spacing w:after="0" w:line="31" w:lineRule="exact"/>
        <w:rPr>
          <w:rFonts w:ascii="Times New Roman" w:cs="Times New Roman" w:eastAsia="Times New Roman" w:hAnsi="Times New Roman"/>
          <w:sz w:val="18"/>
          <w:szCs w:val="18"/>
          <w:color w:val="auto"/>
        </w:rPr>
      </w:pPr>
    </w:p>
    <w:p>
      <w:pPr>
        <w:jc w:val="both"/>
        <w:ind w:firstLine="8"/>
        <w:spacing w:after="0" w:line="255" w:lineRule="auto"/>
        <w:tabs>
          <w:tab w:leader="none" w:pos="2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occurs or (y) the Aggregate Payment Amount is satisfied in full (such period, the “</w:t>
      </w:r>
      <w:r>
        <w:rPr>
          <w:rFonts w:ascii="Times New Roman" w:cs="Times New Roman" w:eastAsia="Times New Roman" w:hAnsi="Times New Roman"/>
          <w:sz w:val="18"/>
          <w:szCs w:val="18"/>
          <w:b w:val="1"/>
          <w:bCs w:val="1"/>
          <w:color w:val="auto"/>
        </w:rPr>
        <w:t>Forbearance Period</w:t>
      </w:r>
      <w:r>
        <w:rPr>
          <w:rFonts w:ascii="Times New Roman" w:cs="Times New Roman" w:eastAsia="Times New Roman" w:hAnsi="Times New Roman"/>
          <w:sz w:val="18"/>
          <w:szCs w:val="18"/>
          <w:color w:val="auto"/>
        </w:rPr>
        <w:t>”), the Investor agrees to forbear from requesting or consummating any Additional Closing pursuant to the Additional Closing Options (the “</w:t>
      </w:r>
      <w:r>
        <w:rPr>
          <w:rFonts w:ascii="Times New Roman" w:cs="Times New Roman" w:eastAsia="Times New Roman" w:hAnsi="Times New Roman"/>
          <w:sz w:val="18"/>
          <w:szCs w:val="18"/>
          <w:b w:val="1"/>
          <w:bCs w:val="1"/>
          <w:color w:val="auto"/>
        </w:rPr>
        <w:t>Additional Closing Forbearance</w:t>
      </w:r>
      <w:r>
        <w:rPr>
          <w:rFonts w:ascii="Times New Roman" w:cs="Times New Roman" w:eastAsia="Times New Roman" w:hAnsi="Times New Roman"/>
          <w:sz w:val="18"/>
          <w:szCs w:val="18"/>
          <w:color w:val="auto"/>
        </w:rPr>
        <w:t>”, and together with the Conversion Forbearance and the Exercise Forbearance, the “</w:t>
      </w:r>
      <w:r>
        <w:rPr>
          <w:rFonts w:ascii="Times New Roman" w:cs="Times New Roman" w:eastAsia="Times New Roman" w:hAnsi="Times New Roman"/>
          <w:sz w:val="18"/>
          <w:szCs w:val="18"/>
          <w:b w:val="1"/>
          <w:bCs w:val="1"/>
          <w:color w:val="auto"/>
        </w:rPr>
        <w:t>Forbearances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Forbearance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56"/>
        <w:spacing w:after="0" w:line="262" w:lineRule="auto"/>
        <w:tabs>
          <w:tab w:leader="none" w:pos="84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Additional Closings under the Existing Securities Purchase Agreements. </w:t>
      </w:r>
      <w:r>
        <w:rPr>
          <w:rFonts w:ascii="Times New Roman" w:cs="Times New Roman" w:eastAsia="Times New Roman" w:hAnsi="Times New Roman"/>
          <w:sz w:val="18"/>
          <w:szCs w:val="18"/>
          <w:color w:val="auto"/>
        </w:rPr>
        <w:t>Provided that the Company is not in breach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effective as of such date that the Company shall have paid the Aggregate Payment Amount, in full, to the Investor, the Investor and the Company hereby mutually acknowledge and agree that Section 1(b)(ii) of each Existing Securities Purchase Agreement shall be of no further force or effect and no further Additional Closings shall occur thereunder (the “</w:t>
      </w:r>
      <w:r>
        <w:rPr>
          <w:rFonts w:ascii="Times New Roman" w:cs="Times New Roman" w:eastAsia="Times New Roman" w:hAnsi="Times New Roman"/>
          <w:sz w:val="18"/>
          <w:szCs w:val="18"/>
          <w:b w:val="1"/>
          <w:bCs w:val="1"/>
          <w:color w:val="auto"/>
        </w:rPr>
        <w:t>Additional Closings Waiver</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Prepayments.</w:t>
      </w:r>
    </w:p>
    <w:p>
      <w:pPr>
        <w:spacing w:after="0" w:line="225" w:lineRule="exact"/>
        <w:rPr>
          <w:rFonts w:ascii="Times New Roman" w:cs="Times New Roman" w:eastAsia="Times New Roman" w:hAnsi="Times New Roman"/>
          <w:sz w:val="18"/>
          <w:szCs w:val="18"/>
          <w:color w:val="auto"/>
        </w:rPr>
      </w:pPr>
    </w:p>
    <w:p>
      <w:pPr>
        <w:jc w:val="both"/>
        <w:ind w:left="660"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Optional Prepayments.</w:t>
      </w:r>
      <w:r>
        <w:rPr>
          <w:rFonts w:ascii="Times New Roman" w:cs="Times New Roman" w:eastAsia="Times New Roman" w:hAnsi="Times New Roman"/>
          <w:sz w:val="18"/>
          <w:szCs w:val="18"/>
          <w:color w:val="auto"/>
        </w:rPr>
        <w:t xml:space="preserve"> The Company may prepay all, or any portion, of the outstanding Aggregate Payment Amount at any time without penalty (each, an “</w:t>
      </w:r>
      <w:r>
        <w:rPr>
          <w:rFonts w:ascii="Times New Roman" w:cs="Times New Roman" w:eastAsia="Times New Roman" w:hAnsi="Times New Roman"/>
          <w:sz w:val="18"/>
          <w:szCs w:val="18"/>
          <w:b w:val="1"/>
          <w:bCs w:val="1"/>
          <w:color w:val="auto"/>
        </w:rPr>
        <w:t>Optional Prepayment</w:t>
      </w:r>
      <w:r>
        <w:rPr>
          <w:rFonts w:ascii="Times New Roman" w:cs="Times New Roman" w:eastAsia="Times New Roman" w:hAnsi="Times New Roman"/>
          <w:sz w:val="18"/>
          <w:szCs w:val="18"/>
          <w:color w:val="auto"/>
        </w:rPr>
        <w:t xml:space="preserve">”). Any Optional Prepayments made by the Company to the Investor in accordance herewith shall be applied as follows: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Note Purchase Price, by proportionally reducing each Note Installment Amount, until the Note Purchase Price is satisfied in full,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allocated pro rata to the Warrant Purchase Price and the Forbearance Payment Amount, by proportionally reducing each Installment Amount with respect to such Payment Amount, until the Aggregate Payment Amount is satisfied in full. The Investor may deliver a revised Installment Schedule to the Company reflecting any adjustments to the Installment Schedule as a result of any Optional Repayments, any Mandatory Repayments (as defined below) or pursuant to Section 7, which shall amend the Installment Schedule thereafter unless disputed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Mandatory Prepayments.</w:t>
      </w:r>
      <w:r>
        <w:rPr>
          <w:rFonts w:ascii="Times New Roman" w:cs="Times New Roman" w:eastAsia="Times New Roman" w:hAnsi="Times New Roman"/>
          <w:sz w:val="18"/>
          <w:szCs w:val="18"/>
          <w:color w:val="auto"/>
        </w:rPr>
        <w:t xml:space="preserve"> At least one (1) Trading Day prior to any proposed or intended Subsequent Placement (in each case, other than with respect to Excluded Securities (as defined below)) (each, an “</w:t>
      </w:r>
      <w:r>
        <w:rPr>
          <w:rFonts w:ascii="Times New Roman" w:cs="Times New Roman" w:eastAsia="Times New Roman" w:hAnsi="Times New Roman"/>
          <w:sz w:val="18"/>
          <w:szCs w:val="18"/>
          <w:b w:val="1"/>
          <w:bCs w:val="1"/>
          <w:color w:val="auto"/>
        </w:rPr>
        <w:t>Eligible Subsequent Placement</w:t>
      </w:r>
      <w:r>
        <w:rPr>
          <w:rFonts w:ascii="Times New Roman" w:cs="Times New Roman" w:eastAsia="Times New Roman" w:hAnsi="Times New Roman"/>
          <w:sz w:val="18"/>
          <w:szCs w:val="18"/>
          <w:color w:val="auto"/>
        </w:rPr>
        <w:t>”), the Company shall deliver to the Investor a written notice (each such notice, a “</w:t>
      </w:r>
      <w:r>
        <w:rPr>
          <w:rFonts w:ascii="Times New Roman" w:cs="Times New Roman" w:eastAsia="Times New Roman" w:hAnsi="Times New Roman"/>
          <w:sz w:val="18"/>
          <w:szCs w:val="18"/>
          <w:b w:val="1"/>
          <w:bCs w:val="1"/>
          <w:color w:val="auto"/>
        </w:rPr>
        <w:t>Mandatory Prepayment Notice</w:t>
      </w:r>
      <w:r>
        <w:rPr>
          <w:rFonts w:ascii="Times New Roman" w:cs="Times New Roman" w:eastAsia="Times New Roman" w:hAnsi="Times New Roman"/>
          <w:sz w:val="18"/>
          <w:szCs w:val="18"/>
          <w:color w:val="auto"/>
        </w:rPr>
        <w:t>”) specifying (i) the aggregate gross proceeds (less any reasonable and documented legal fees and expenses) of such Eligible Subsequent Placement (each, a “</w:t>
      </w:r>
      <w:r>
        <w:rPr>
          <w:rFonts w:ascii="Times New Roman" w:cs="Times New Roman" w:eastAsia="Times New Roman" w:hAnsi="Times New Roman"/>
          <w:sz w:val="18"/>
          <w:szCs w:val="18"/>
          <w:b w:val="1"/>
          <w:bCs w:val="1"/>
          <w:color w:val="auto"/>
        </w:rPr>
        <w:t>Subsequent Placement Proceeds Amount</w:t>
      </w:r>
      <w:r>
        <w:rPr>
          <w:rFonts w:ascii="Times New Roman" w:cs="Times New Roman" w:eastAsia="Times New Roman" w:hAnsi="Times New Roman"/>
          <w:sz w:val="18"/>
          <w:szCs w:val="18"/>
          <w:color w:val="auto"/>
        </w:rPr>
        <w:t>”), (ii) the applicable Mandatory Prepayment Amount (as defined below), and (iii) the applicable Mandatory Prepayment Date (as defined below). The Company shall pay a prepayment amount to the Investor equal to sixty-six percent (66%) of the Subsequent Placement Proceeds Amount of such Eligible Subsequent Placement (each, a “</w:t>
      </w:r>
      <w:r>
        <w:rPr>
          <w:rFonts w:ascii="Times New Roman" w:cs="Times New Roman" w:eastAsia="Times New Roman" w:hAnsi="Times New Roman"/>
          <w:sz w:val="18"/>
          <w:szCs w:val="18"/>
          <w:b w:val="1"/>
          <w:bCs w:val="1"/>
          <w:color w:val="auto"/>
        </w:rPr>
        <w:t>Mandatory Prepayment Amount</w:t>
      </w:r>
      <w:r>
        <w:rPr>
          <w:rFonts w:ascii="Times New Roman" w:cs="Times New Roman" w:eastAsia="Times New Roman" w:hAnsi="Times New Roman"/>
          <w:sz w:val="18"/>
          <w:szCs w:val="18"/>
          <w:color w:val="auto"/>
        </w:rPr>
        <w:t>”), which Mandatory Prepayment Amount shall be applied pro rata among the Payments Amounts, by proportionally reducing each Installment Amount with respect to such Payment Amount. For the avoidance of doubt, a Payment Amount’s pro rata portion of each Mandatory Prepayment Amount shall be based on the quotient of (x) such Payment Amount on the date hereof divided by (y) the Aggregate Payment Amount on the date hereof. Unless waived in writing by the Investor, on the date of the consummation of such Eligible Subsequent Placement (each, a “</w:t>
      </w:r>
      <w:r>
        <w:rPr>
          <w:rFonts w:ascii="Times New Roman" w:cs="Times New Roman" w:eastAsia="Times New Roman" w:hAnsi="Times New Roman"/>
          <w:sz w:val="18"/>
          <w:szCs w:val="18"/>
          <w:b w:val="1"/>
          <w:bCs w:val="1"/>
          <w:color w:val="auto"/>
        </w:rPr>
        <w:t>Mandatory Prepayment Date</w:t>
      </w:r>
      <w:r>
        <w:rPr>
          <w:rFonts w:ascii="Times New Roman" w:cs="Times New Roman" w:eastAsia="Times New Roman" w:hAnsi="Times New Roman"/>
          <w:sz w:val="18"/>
          <w:szCs w:val="18"/>
          <w:color w:val="auto"/>
        </w:rPr>
        <w:t>”), the Company shall pay the Investor in cash (each, a “</w:t>
      </w:r>
      <w:r>
        <w:rPr>
          <w:rFonts w:ascii="Times New Roman" w:cs="Times New Roman" w:eastAsia="Times New Roman" w:hAnsi="Times New Roman"/>
          <w:sz w:val="18"/>
          <w:szCs w:val="18"/>
          <w:b w:val="1"/>
          <w:bCs w:val="1"/>
          <w:color w:val="auto"/>
        </w:rPr>
        <w:t>Mandatory Prepayment</w:t>
      </w:r>
      <w:r>
        <w:rPr>
          <w:rFonts w:ascii="Times New Roman" w:cs="Times New Roman" w:eastAsia="Times New Roman" w:hAnsi="Times New Roman"/>
          <w:sz w:val="18"/>
          <w:szCs w:val="18"/>
          <w:color w:val="auto"/>
        </w:rPr>
        <w:t>”), without the requirement for any notice or demand or other action by the Investor or any other Person, an amount equal to applicable Mandatory Prepayment Amount.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For purposes of this Agreement,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Ordinary Shares or standard options to purchase Ordinary Shares issued to directors, officers or employees of the Company for services rendered to the Company in their capacity as such pursuant to an Approved Share Plan (as defined in the 2025 Note), provided that (A) all such issuances (taking into account the Ordinary Shares issuable upon exercise of such options) after the date hereof pursuant to this clause (i) do not, in the aggregate, exceed more than 10% of the Ordinary Shares issued and outstanding immediately prior to the date hereof and (B) the exercise price of any such options is not lowered, none of such options are amended to increase the number of shares issuable thereunder and none of the terms or conditions of any such options are otherwise materially changed in any manner that adversely affects the Investor; (ii) Ordinary Shares issued upon the conversion or exercise of Convertible Securities (as defined in the 2025 Notes) or Options (as defined in the 2025 Notes) (other than standard options to purchase Ordinary Shares issued pursuant to an Approved Share Plan that are covered by clause (i) above) issued prior to the date hereof, provided that the conversion price of any such Convertible Securities (other than standard options to purchase Ordinary Shares issued pursuant to an Approved Share Plan that are covered by clause (i) above) is not lowered, none of such Convertible Securities or Options (other than standard options to purchase Ordinary Shares issued pursuant to an Approved Share Plan that are covered by clause (i) above) are amended to increase the number of shares issuable thereunder and none of the terms or conditions of any such Convertible Securities or Options (other than standard options to purchase Ordinary Shares issued pursuant to an Approved Share Plan that are covered by clause (i) above) are otherwise materially changed in any manner that adversely affects the Investor; (iii) Ordinary Shares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Ordinary Shares are issued as “restricted securities” (as defined in Rule 144 ) and carry no registration rights that require or permit the filing of any registration statement in connection therewith during the Restricted Period,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(iv) Ordinary Shares issued pursuant to that certain Common Stock Purchase Agreement, dated as of November 21, 2024, by and between the Company and White Lion Capital, LLC.</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8" w:name="page9"/>
    <w:bookmarkEnd w:id="8"/>
    <w:p>
      <w:pPr>
        <w:jc w:val="both"/>
        <w:ind w:left="-20" w:firstLine="656"/>
        <w:spacing w:after="0" w:line="255" w:lineRule="auto"/>
        <w:tabs>
          <w:tab w:leader="none" w:pos="8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Cure Period Conversions and Exercises. </w:t>
      </w:r>
      <w:r>
        <w:rPr>
          <w:rFonts w:ascii="Times New Roman" w:cs="Times New Roman" w:eastAsia="Times New Roman" w:hAnsi="Times New Roman"/>
          <w:sz w:val="18"/>
          <w:szCs w:val="18"/>
          <w:color w:val="auto"/>
        </w:rPr>
        <w:t>For the avoidance of doubt, during a Cure Period, each Forbearance shall cease to be effective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until the applicable Forbearance Default is cured during such Cure Period (and no other Default then exists). Notwithstanding anything to the contrary herein, if the Investor converts and/or exercises (as the case may be) any portion of the Purchased Securities during a Cure Period, the aggregate Conversion Amount (as defined in the Purchased Notes) and/or the aggregate Aggregate Exercise Price (as defined in the Purchased Warrants) (as the case may be), shall be applied as follows: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Note Purchase Price in reverse order commencing on the last Note Installment Amount on the Installment Schedule, until such Note Installment Amount is paid in full, then the prior Note Installment Amount, if any, respectively, until the Note Purchase Price is satisfied in full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Warrant Purchase Price in reverse order commencing on the last Warrant Installment Amount on the Installment Schedule, until such Warrant Installment Amount is paid in full, then the prior Warrant Installment Amount, if any, respectively.</w:t>
      </w:r>
    </w:p>
    <w:p>
      <w:pPr>
        <w:spacing w:after="0" w:line="184" w:lineRule="exact"/>
        <w:rPr>
          <w:rFonts w:ascii="Times New Roman" w:cs="Times New Roman" w:eastAsia="Times New Roman" w:hAnsi="Times New Roman"/>
          <w:sz w:val="18"/>
          <w:szCs w:val="18"/>
          <w:color w:val="auto"/>
        </w:rPr>
      </w:pPr>
    </w:p>
    <w:p>
      <w:pPr>
        <w:jc w:val="both"/>
        <w:ind w:left="-20" w:firstLine="656"/>
        <w:spacing w:after="0" w:line="257" w:lineRule="auto"/>
        <w:tabs>
          <w:tab w:leader="none" w:pos="8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Upon the occurrence of a Default, the Forbearances and any waiver of any provision contained in the Existing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shall terminate and be of no further force and effect. Notwithstanding anything to the contrary herein, in the event of a Default, the Company agrees that any and all Installment Payments made hereunder shall be deemed as nonrefundable liquidated damages and not as a penalty or as payment under the Original Securities; provided that, if the Company pays the Investor an amount in cash equal to 100% of the outstanding Aggregate Payment Amount within fifteen (15) Business Days of such Default, the Investor hereby (i) grants the Additional Closing Waiver, (ii) agrees that the Note Repurchase shall have occurred and (iii) agrees that the Warrant Repurchase shall have occurred.</w:t>
      </w:r>
    </w:p>
    <w:p>
      <w:pPr>
        <w:spacing w:after="0" w:line="182" w:lineRule="exact"/>
        <w:rPr>
          <w:rFonts w:ascii="Times New Roman" w:cs="Times New Roman" w:eastAsia="Times New Roman" w:hAnsi="Times New Roman"/>
          <w:sz w:val="18"/>
          <w:szCs w:val="18"/>
          <w:color w:val="auto"/>
        </w:rPr>
      </w:pPr>
    </w:p>
    <w:p>
      <w:pPr>
        <w:ind w:left="-20" w:firstLine="656"/>
        <w:spacing w:after="0" w:line="286" w:lineRule="auto"/>
        <w:tabs>
          <w:tab w:leader="none" w:pos="8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w:t>
      </w:r>
      <w:r>
        <w:rPr>
          <w:rFonts w:ascii="Times New Roman" w:cs="Times New Roman" w:eastAsia="Times New Roman" w:hAnsi="Times New Roman"/>
          <w:sz w:val="18"/>
          <w:szCs w:val="18"/>
          <w:color w:val="auto"/>
        </w:rPr>
        <w:t>Except as specifically provided in this Agreement, all other terms and conditions of the Transaction Documents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Securities Purchase Agreements, as applicable) remain in full force and effect and are hereby ratified and confirmed in all respects.</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9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Agent Instructions</w:t>
      </w:r>
      <w:r>
        <w:rPr>
          <w:rFonts w:ascii="Times New Roman" w:cs="Times New Roman" w:eastAsia="Times New Roman" w:hAnsi="Times New Roman"/>
          <w:sz w:val="18"/>
          <w:szCs w:val="18"/>
          <w:color w:val="auto"/>
        </w:rPr>
        <w:t>. On or prior to the date hereof, the Company shall execute and deliver updated irrevocable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to the Transfer Agent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which shall irrevocably instruct the Transfer Agent to increase the reserve with respect to the Original Securities to at least 100,000,000 Ordinary Shares.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9" w:name="page10"/>
    <w:bookmarkEnd w:id="9"/>
    <w:p>
      <w:pPr>
        <w:jc w:val="both"/>
        <w:ind w:firstLine="656"/>
        <w:spacing w:after="0" w:line="262" w:lineRule="auto"/>
        <w:tabs>
          <w:tab w:leader="none" w:pos="9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This Agreement shall be deemed to be effective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upon the latest of (a) the time of due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by the Company and the Investor of this Agreement, (b) such time that the Company shall have delivered to the Investor a copy of the Irrevocable Transfer Agent Instructions, in the form acceptable to the Investor, which instructions shall have been delivered to and acknowledged in writing by the Transfer Agent, and (c) such time that the Company Legal Fee Amount is paid.</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represents and warrants to Investor as of the date hereof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4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Good Standing and Authorization. </w:t>
      </w:r>
      <w:r>
        <w:rPr>
          <w:rFonts w:ascii="Times New Roman" w:cs="Times New Roman" w:eastAsia="Times New Roman" w:hAnsi="Times New Roman"/>
          <w:sz w:val="18"/>
          <w:szCs w:val="18"/>
          <w:color w:val="auto"/>
        </w:rPr>
        <w:t>The Company is duly incorporated, validly existing and in good 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British Virgin Islands with full right, corporate, partnership, limited liability company or similar power and authority to enter into and to consummate the transactions contemplated by the Agreement and otherwise to carry out its obligations hereunder. The execution and delivery of the Agreement and the consummation by the Company of the transactions contemplated hereby have been duly authorized by the Company’s board of directors or other governing body, as applicable, and no further filing, consent or authorization is required by the Company, its Subsidiaries, their respective boards of directors or their shareholders or other governing body, on the part of the Company.</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48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Enforceability. </w:t>
      </w:r>
      <w:r>
        <w:rPr>
          <w:rFonts w:ascii="Times New Roman" w:cs="Times New Roman" w:eastAsia="Times New Roman" w:hAnsi="Times New Roman"/>
          <w:sz w:val="18"/>
          <w:szCs w:val="18"/>
          <w:color w:val="auto"/>
        </w:rPr>
        <w:t>The Agreement has been duly executed by the Company, and when delivered by the Company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hereof, will constitute the valid and legally binding obligation of the Company, enforceable against it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47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Company and the consummation by the Company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hereby will not (i) result in a violation of the certificate of incorporation, as may be amended from time to time, of the Company, the Memorandum of Association, and Articles of Association, or the certificate of formation, memorandum of association, articles of association, bylaws or other organizational documents of the Company or any of its Subsidiaries, or any share capital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Principal Market and including all applicable foreign, federal and state laws, rules and regulations, including, without limitation, the laws, rules and regulations of the British Virgin Islands, Thailand and/or the People’s Republic of China as applicable to the Company or any of its Subsidiaries or by which any property or asset of the Company or any of its Subsidiaries is bound or affected), except in the case of clauses (ii) and (iii) above, for such conflicts, defaults, rights or violations which could not, individually or in the aggregate, reasonably be expected to have a Material Adverse Effect.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The Company confirms that neither it nor to its knowledge any other Person acting on its behalf has provided the Investor or any of its agents or counsel with any information that constitutes or could reasonably be expected to constitute material, non-public information concerning the Company or any of its subsidiaries, other than the existence of the transactions contemplated by this Agreement. The Company understands and confirms that the Investor will rely on the foregoing representations in effecting transactions in securities of the Company.</w:t>
      </w:r>
    </w:p>
    <w:p>
      <w:pPr>
        <w:spacing w:after="0" w:line="179"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Investor</w:t>
      </w:r>
      <w:r>
        <w:rPr>
          <w:rFonts w:ascii="Times New Roman" w:cs="Times New Roman" w:eastAsia="Times New Roman" w:hAnsi="Times New Roman"/>
          <w:sz w:val="18"/>
          <w:szCs w:val="18"/>
          <w:color w:val="auto"/>
        </w:rPr>
        <w:t>. Investor represents and warrants to the Company as of the date hereof as follows: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2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w:t>
      </w:r>
      <w:r>
        <w:rPr>
          <w:rFonts w:ascii="Times New Roman" w:cs="Times New Roman" w:eastAsia="Times New Roman" w:hAnsi="Times New Roman"/>
          <w:sz w:val="18"/>
          <w:szCs w:val="18"/>
          <w:color w:val="auto"/>
        </w:rPr>
        <w:t>The execution, delivery and performance by the Investor of this Agreement and the consummation of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will not will not (i) result in a violation of the organizational documents of the Investor, or (ii)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(iii) result in a violation of any law, rule, regulation, order, judgment or decree (including federal and state securities laws) applicable to the Investor, except in the case of clauses (ii) and (iii) above, for such conflicts, defaults, rights or violations which could not, individually or in the aggregate, reasonably be expected to have a material adverse effect on the ability of the Investor to perform its obligations hereunder.</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8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Enforceability. </w:t>
      </w:r>
      <w:r>
        <w:rPr>
          <w:rFonts w:ascii="Times New Roman" w:cs="Times New Roman" w:eastAsia="Times New Roman" w:hAnsi="Times New Roman"/>
          <w:sz w:val="18"/>
          <w:szCs w:val="18"/>
          <w:color w:val="auto"/>
        </w:rPr>
        <w:t>This Agreement has been duly executed and delivered by Investor and is a valid and binding agreement,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Investor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6"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8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Securities. </w:t>
      </w:r>
      <w:r>
        <w:rPr>
          <w:rFonts w:ascii="Times New Roman" w:cs="Times New Roman" w:eastAsia="Times New Roman" w:hAnsi="Times New Roman"/>
          <w:sz w:val="18"/>
          <w:szCs w:val="18"/>
          <w:color w:val="auto"/>
        </w:rPr>
        <w:t>Investor owns and has valid title to the Purchased Notes and the Purchased Warrants free and clear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liens. Investor has not sold, assigned or otherwise transferred to any third party any of the Investor’s right, title or interest in or to any of the Purchased Notes or the Purchased Warrants, and the Investor has not agreed to do the same.</w:t>
      </w:r>
    </w:p>
    <w:p>
      <w:pPr>
        <w:spacing w:after="0" w:line="3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1" w:name="page12"/>
    <w:bookmarkEnd w:id="11"/>
    <w:p>
      <w:pPr>
        <w:jc w:val="both"/>
        <w:ind w:firstLine="656"/>
        <w:spacing w:after="0" w:line="253" w:lineRule="auto"/>
        <w:tabs>
          <w:tab w:leader="none" w:pos="9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Transactions and Other Material Information</w:t>
      </w:r>
      <w:r>
        <w:rPr>
          <w:rFonts w:ascii="Times New Roman" w:cs="Times New Roman" w:eastAsia="Times New Roman" w:hAnsi="Times New Roman"/>
          <w:sz w:val="18"/>
          <w:szCs w:val="18"/>
          <w:color w:val="auto"/>
        </w:rPr>
        <w:t>. The Company shall, on or before 8:30 a.m., New York City Time, on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 after the date of this Agreement, publicly issue a Report of Foreign Private Issuer on Form 6-K (the “</w:t>
      </w:r>
      <w:r>
        <w:rPr>
          <w:rFonts w:ascii="Times New Roman" w:cs="Times New Roman" w:eastAsia="Times New Roman" w:hAnsi="Times New Roman"/>
          <w:sz w:val="18"/>
          <w:szCs w:val="18"/>
          <w:b w:val="1"/>
          <w:bCs w:val="1"/>
          <w:color w:val="auto"/>
        </w:rPr>
        <w:t>6-K Filing</w:t>
      </w:r>
      <w:r>
        <w:rPr>
          <w:rFonts w:ascii="Times New Roman" w:cs="Times New Roman" w:eastAsia="Times New Roman" w:hAnsi="Times New Roman"/>
          <w:sz w:val="18"/>
          <w:szCs w:val="18"/>
          <w:color w:val="auto"/>
        </w:rPr>
        <w:t>”) disclosing all material terms of the transactions contemplated hereby. From and after the issuance of the 6-K Filing, the Investor shall not be in possession of any material, nonpublic information received from the Company, any of its Subsidiaries or any of its respective officers, directors, employees or agents, that is not disclosed in the 6-K Filing. In addition, effective upon the issuance of the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Investor or any of its affiliates, on the other hand, shall terminate. The Company shall not, and shall cause each of its Subsidiaries and each of their respective officers, directors, employees and agents, not to, provide the Investor with any material, nonpublic information regarding the Company or any of its Subsidiaries from and after the date hereof without the express written consent of the Investor. To the extent that the Company delivers any material, non-public information to the Investor without the Investor’s consent, the Company hereby covenants and agrees that the Investor shall not have any duty of confidentiality with respect to, or a duty not to trade on the basis of, such material, non-public information. The Company shall not disclose the name of the Investor in any filing, announcement, release or otherwise, unless such disclosure is required by law or regulation, except this initial 6-K Filing and any further disclosure in any Securities Act and Exchange Act filings covering the same subject matter.</w:t>
      </w:r>
    </w:p>
    <w:p>
      <w:pPr>
        <w:spacing w:after="0" w:line="185" w:lineRule="exact"/>
        <w:rPr>
          <w:rFonts w:ascii="Times New Roman" w:cs="Times New Roman" w:eastAsia="Times New Roman" w:hAnsi="Times New Roman"/>
          <w:sz w:val="18"/>
          <w:szCs w:val="18"/>
          <w:color w:val="auto"/>
        </w:rPr>
      </w:pPr>
    </w:p>
    <w:p>
      <w:pPr>
        <w:jc w:val="both"/>
        <w:ind w:firstLine="656"/>
        <w:spacing w:after="0" w:line="268" w:lineRule="auto"/>
        <w:tabs>
          <w:tab w:leader="none" w:pos="9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The parties shall reimburse Kelley Drye &amp; Warren LLP, on demand, for all costs and expenses incurred by it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preparing and delivering this Agreement in an aggregate non-accountable amount equal to $76,000, of which the Company shall pay $50,000 (the “</w:t>
      </w:r>
      <w:r>
        <w:rPr>
          <w:rFonts w:ascii="Times New Roman" w:cs="Times New Roman" w:eastAsia="Times New Roman" w:hAnsi="Times New Roman"/>
          <w:sz w:val="18"/>
          <w:szCs w:val="18"/>
          <w:b w:val="1"/>
          <w:bCs w:val="1"/>
          <w:color w:val="auto"/>
        </w:rPr>
        <w:t>Company Legal Fee Amount</w:t>
      </w:r>
      <w:r>
        <w:rPr>
          <w:rFonts w:ascii="Times New Roman" w:cs="Times New Roman" w:eastAsia="Times New Roman" w:hAnsi="Times New Roman"/>
          <w:sz w:val="18"/>
          <w:szCs w:val="18"/>
          <w:color w:val="auto"/>
        </w:rPr>
        <w:t>”) and the Investor shall pay $26,000.</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Agreement constitutes the entire understanding and agreement of the Parties with respect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supersedes all prior and/or contemporaneous oral or written proposals or agreements relating thereto all of which are merged herein. This Agreement may not be amended or any provision hereof waived in whole or in part, except by a written amendment signed by all the parties. No waiver of any provision of this Agreement shall be effective unless it is in writing and signed by an authorized representative of the waiving Party.</w:t>
      </w:r>
    </w:p>
    <w:p>
      <w:pPr>
        <w:spacing w:after="0" w:line="176" w:lineRule="exact"/>
        <w:rPr>
          <w:rFonts w:ascii="Times New Roman" w:cs="Times New Roman" w:eastAsia="Times New Roman" w:hAnsi="Times New Roman"/>
          <w:sz w:val="18"/>
          <w:szCs w:val="18"/>
          <w:color w:val="auto"/>
        </w:rPr>
      </w:pPr>
    </w:p>
    <w:p>
      <w:pPr>
        <w:ind w:right="20" w:firstLine="656"/>
        <w:spacing w:after="0" w:line="286"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Provisions. </w:t>
      </w:r>
      <w:r>
        <w:rPr>
          <w:rFonts w:ascii="Times New Roman" w:cs="Times New Roman" w:eastAsia="Times New Roman" w:hAnsi="Times New Roman"/>
          <w:sz w:val="18"/>
          <w:szCs w:val="18"/>
          <w:color w:val="auto"/>
        </w:rPr>
        <w:t>Section 9 of the 2025 Securities Purchase Agreement (other than subsections (e), (k), (q) and (r) thereof)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by reference herein, </w:t>
      </w:r>
      <w:r>
        <w:rPr>
          <w:rFonts w:ascii="Times New Roman" w:cs="Times New Roman" w:eastAsia="Times New Roman" w:hAnsi="Times New Roman"/>
          <w:sz w:val="18"/>
          <w:szCs w:val="18"/>
          <w:i w:val="1"/>
          <w:iCs w:val="1"/>
          <w:color w:val="auto"/>
        </w:rPr>
        <w:t>mutatis mutandis.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have caused their respective signature page to this Agreement to be duly executed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written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NEWGENIVF GROUP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Siu Wing Fung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Siu Wing Fung Alfred</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JAK OPPORTUNITIES VI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Antonio Ruiz-Gimenez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Antonio Ruiz-Gimenez</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Aggregate Amount Outstanding (Including Principal and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Accrued Interest) under the 2024 Original Note as of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date hereof: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Aggregate Amount Outstanding (Including Principal and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Accrued Interest) under the 2025 Original Note as of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date hereof: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$3,150,000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Aggregate Number of Ordinary Shares issuable upon</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exercise of the Original Warrants as of the date hereof: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1,143,208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38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38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Installment Schedule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4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 w:type="dxa"/>
            <w:vAlign w:val="bottom"/>
          </w:tcPr>
          <w:p>
            <w:pPr>
              <w:spacing w:after="0"/>
              <w:rPr>
                <w:sz w:val="24"/>
                <w:szCs w:val="24"/>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Pr>
          <w:p>
            <w:pPr>
              <w:spacing w:after="0"/>
              <w:rPr>
                <w:sz w:val="24"/>
                <w:szCs w:val="24"/>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194"/>
        </w:trPr>
        <w:tc>
          <w:tcPr>
            <w:tcW w:w="33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Note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Forbearance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Installment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Installment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Installment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Installment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Installment Date</w:t>
            </w:r>
          </w:p>
        </w:tc>
        <w:tc>
          <w:tcPr>
            <w:tcW w:w="2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3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June 15, 2026</w:t>
            </w:r>
            <w:r>
              <w:rPr>
                <w:rFonts w:ascii="Times New Roman" w:cs="Times New Roman" w:eastAsia="Times New Roman" w:hAnsi="Times New Roman"/>
                <w:sz w:val="29"/>
                <w:szCs w:val="29"/>
                <w:color w:val="auto"/>
                <w:vertAlign w:val="superscript"/>
              </w:rPr>
              <w:t>1</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July 30, 2026</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14, 2026</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August 29, 2026</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 2026</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2026</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13, 2026</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2026</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2026</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515,625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515,625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December 15, 2026</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515,625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753,125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2027</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2027</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2027</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1, 2027</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2027</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 1, 2027</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2027</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2027</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2027</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2027</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2027</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4,531,250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2,250,000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7,381,250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Or, if later, at such time that the Agreement is signed.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NewGen Eliminates Convertible Note and Warrant Overhang with a Significant</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Investor, Enters Into Settlement Agreement Strengthening Capital Structure</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NewGen to repurchase all outstanding convertible notes and warrants previously held by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significant investor in move to strengthen its capital structure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Settlement to eliminate potential dilution from convertible notes and warrants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Company views that this will position the Company’s market capitalization to be undervalued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relative to net assets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BANGKOK, June 16, 2026 – NewGenIVF Group Limited (Nasdaq: NIVF) (“NewGen” or the “Company”) today announced that it has entered into a Repurchase and Forbearance Agreement (the “Settlement Agreement”) with a significant investor (the “Investor”). Under the terms of the Settlement Agreement, NewGen will repurchase all outstanding convertible notes and warrants previously issued to the Investor (the “Original Securities”) pursuant to the securities purchase agreements entered into between the parties in August 2024 and April 2025 (the “Existing Securities Purchase Agreements”), and the Investor will forbear from converting the outstanding convertible notes, exercising the outstanding warrants, and effectuating additional closings under the Existing Securities Purchase Agreements, subject to the terms of the Settlement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Original Securities consist of senior convertible notes and certain warrants issued under the Existing Securities Purchase Agreements, the outstanding amounts and terms of which are set forth in the Settlement Agreement and the Company’s prior filings with the SEC.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today, the Investor shall forbear conversion of existing notes, exercise of warrants, and effectuating additional closings under the Existing Securities Purchase Agreements, for so long as the Company is not in default of its obligations thereunder. The convertible notes will be repurchased and cancelled upon full payment of the note purchase price, and the warrants will be repurchased and cancelled upon full payment of the warrant purchase price, removing potential equity dilution.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emerge from the Settlement Agreement with a more simplified capital structure that provides greater clarity for existing and prospective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consideration under the Settlement Agreement is payable pursuant to a scheduled instalment payment plan extending through late 2027. The Company may prepay all or any portion of the outstanding amounts at any time without penalty. Details of the Settlement Agreement may be viewed in the Company’s Form-6-K filed with the SEC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and the board believe that the extinguishment of the potential dilution represents a meaningful reset for the Company’s capital structure and equity value profile. Following the removal of these instruments, management believes the Company’s equity value will more accurately reflect its underlying net asset position and long-term value potential. The Company views that it is better positioned for improved investor visibility and continued execution of initiatives intended to enhance shareholder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Alfred Siu, Founder, Chairman and Chief Executive Officer of NewGen, commented, “This settlement represents a pivotal moment for NewGen. By eliminating potential dilution from the convertible note and warrants, we believe we are strengthening our capital structure. With a clear capital structure, we believe the market will have greater clarity to recognize the intrinsic value of our diversified portfolio of assets. We remain committed to executing on our strategic initiatives and delivering long-term value for our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continue to evaluate strategic alternatives to further enhance shareholder value, including potential future financings that do not carry similar dilutive overhang structures. With a clean capital structure in place, the Company is better positioned to pursue value-accretive strategic investments, including the potential expansion of its existing stake in K25.ai. In parallel, management recently adopted a Digital Asset Treasury strategy as part of its broader plan to diversify reserve assets and enhance long-term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NewGenIVF Group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NewGenIVF Group is a tech-forward, diversified, multi-jurisdictional growth company pursuing opportunities across real estate development, digital asset innovation and reproductive health solutions. The Company operates through “NewGenProperty,” focused on real estate development projects in the UAE’s Ras Al Khaimah Emirate; “NewGenDigital,” focused on digital asset and DeFi solutions; and “NewGenSup,” focused on health and longevity products and solutions. NewGenIVF’s legacy business involves IVF and assisted reproductive treatment services across Asia. To learn more, visit www.nivf.global. The information contained on, or accessible through, NewGenIVF’s website is not incorporated by reference into this press release and should not be considered part of this press release.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statements”within the meaning of Section 21E of the Securities Exchange Act of 1934, as amended, Section 27A of the Securities Act of 1933, as amended, and the safe harbor provisions of the U.S. Private Securities Litigation Reform Act of 1995. Forward-looking statements can be identified by terminology such as “will,” “expects,” “anticipates,” “future,” “intends,” “plans,” “believes,” “estimates,” “confident,” “committed,” “positioned,” “outlook,” “would,” “may,” “potential,” “aim,” “seek,” “project,” and similar expressions, or their negatives, although not all forward-looking statements contain these identifying words.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in this press release include, but are not limited to, statements that: the Company will repurchase all outstanding convertible notes and warrants previously issued to the Investor; the anticipated effect of the Settlement Agreement and the Investor’s forbearance in reducing near-term conversion and exercise risk and simplifying the Company’s capital structure; the expectation that the Company is better positioned for improved investor visibility, and that the market would recognise its net asset value; the Company’s ability to satisfy its scheduled instalment payment obligations through late 2027 and to exercise the optional prepayment feature; the Company’s stated intention to pursue the potential expansion of its existing stake in K25.ai; management’s planned implementation of its Digital Asset Treasury strategy; and the Company’s stated intention to continue evaluating opportunities to further strengthen its balance sheet and capital structure.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the Company’s current expectations, estimates, projections and assumptions as of the date of this press release and are subject to known and unknown risks, uncertainties and other factors that may cause actual results, performance or achievements to differ materially from those expressed or implied. These risks and uncertainties include, among others: the risk that the Company fails to meet one or more of its scheduled installment payment obligations, which could result in termination of the Investor’s forbearances and reinstatement of the Investor’s conversion, exercise and additional closing rights; market risks which may impact investor visibility and market recognition of the Company’s value; the Company’s ability to maintain sufficient liquidity to fund ongoing operations and satisfy its payment obligations under the Settlement Agreement through late 2027; risks associated with the Company’s Digital Asset Treasury strategy, including the price volatility of digital assets; evolving and uncertain regulatory treatment of digital assets and staking activities; management’s limited prior experience in the digital asset sector; risks related to the Company’s ongoing business transformation and the strain such transformation places on management and operational resources; the risk that the Company’s potential expansion of its stake in K25.ai or the valuation of that investment is not realized or declines; and other risks and uncertainties described in the Company’s Annual Report on Form 20-F and the Company’s other filings with the U.S. Securities and Exchange Commission.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information provided in this press release is as of the date of this press release. The Company undertakes no obligation to update or revise any forward-looking statements, whether as a result of new information, future events or otherwise, except as required by applicable securities laws. Readers are cautioned not to place undue reliance on forward-looking statements, which speak only as of the date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537-3847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NewgenivfIR@icrinc.com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2">
    <w:nsid w:val="3D1B58BA"/>
    <w:multiLevelType w:val="hybridMultilevel"/>
    <w:lvl w:ilvl="0">
      <w:lvlJc w:val="left"/>
      <w:lvlText w:val="(%1)"/>
      <w:numFmt w:val="lowerRoman"/>
      <w:start w:val="10"/>
    </w:lvl>
    <w:lvl w:ilvl="1">
      <w:lvlJc w:val="left"/>
      <w:lvlText w:val="%2."/>
      <w:numFmt w:val="decimal"/>
      <w:start w:val="5"/>
    </w:lvl>
    <w:lvl w:ilvl="2">
      <w:lvlJc w:val="left"/>
      <w:lvlText w:val="%3"/>
      <w:numFmt w:val="lowerLetter"/>
      <w:start w:val="1"/>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decimal"/>
      <w:start w:val="11"/>
    </w:lvl>
    <w:lvl w:ilvl="1">
      <w:lvlJc w:val="left"/>
      <w:lvlText w:val="%2."/>
      <w:numFmt w:val="lowerLetter"/>
      <w:start w:val="1"/>
    </w:lvl>
  </w:abstractNum>
  <w:abstractNum w:abstractNumId="5">
    <w:nsid w:val="41B71EFB"/>
    <w:multiLevelType w:val="hybridMultilevel"/>
    <w:lvl w:ilvl="0">
      <w:lvlJc w:val="left"/>
      <w:lvlText w:val="%1."/>
      <w:numFmt w:val="decimal"/>
      <w:start w:val="13"/>
    </w:lvl>
    <w:lvl w:ilvl="1">
      <w:lvlJc w:val="left"/>
      <w:lvlText w:val="%2."/>
      <w:numFmt w:val="lowerLetter"/>
      <w:start w:val="1"/>
    </w:lvl>
  </w:abstractNum>
  <w:abstractNum w:abstractNumId="6">
    <w:nsid w:val="79E2A9E3"/>
    <w:multiLevelType w:val="hybridMultilevel"/>
    <w:lvl w:ilvl="0">
      <w:lvlJc w:val="left"/>
      <w:lvlText w:val="%1."/>
      <w:numFmt w:val="decimal"/>
      <w:start w:val="14"/>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2026-06-16T07:31:22Z</dcterms:created>
  <dcterms:modified xsi:type="dcterms:W3CDTF">2026-06-16T07:31:22Z</dcterms:modified>
</cp:coreProperties>
</file>