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9267-6k_newgenivf.htm"/>
      <w:bookmarkStart w:id="1" w:name="ksea03092676k_newgenivf"/>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001-42004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36/39-36/40, 13th Floor, PS Tower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Sukhumvit 21 Road (Asoke)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Khlong Toei Nuea Sub-district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Watthana District, Bangkok 10110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the Board of Directors of NewGenIvf Group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approved a reverse stock split of all of the Company’s issued and unissued shares, including the Class A ordinary shares with no par value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Class B ordinary shares with no par value, and preferred shares with no par value, at an exchange ratio of one (1) share for eight (8) shares or as otherwise determined by the Chief Executive Officer of the Company (the “</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Pursuant to the BVI Business Companies Act (as amended) and the Company’s M&amp;A, the Company’s Board of Directors is authorized to effect the Reverse Share Split without the approval of the Company’s shareholders. Accordingly, no shareholder vote, consent or approval is required or will be sought in respect of the Reverse Share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be effective at 12:01 a.m. (ET) on October 23, 2026 (the “Record Date”) and the Company’s Class A Ordinary Shares will begin trading on the Nasdaq Capital Market (“Nasdaq”) on a split-adjusted basis at the opening of market on October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will continue to trade on the Nasdaq Capital Market under the trading symbol “NIVF” but will trade under the following new CUSIP number: G0544E162. Based on the total outstanding Class A Ordinary Shares as of October 21, 2026, the Reverse Stock Split is expected to reduce the number of outstanding Class A Ordinary Shares of the Company from approximately 9,821,197 to approximately 1,227,650 Class A Ordinary Shares. Every eight (8) outstanding Class A Ordinary Shares will be combined into and automatically become one post-Reverse Stock Split Class A Ordinary Share. No fractional shares will be issued in connection with the Reverse Stock Split. Instead, the Company will issue one full post-Reverse Stock Split Class A Ordinary Share to any shareholder at a participant level who would have been entitled to receive a fractional share as a result of the process. The actual number of outstanding Class A Ordinary Shares may be greater on the Record Date, due to share issuances pursuant to convertible note exercises.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Reverse Stock Split, all options, warrants and other convertible securities of the Company outstanding immediately prior to the Reverse Stock Split will be adjusted by dividing the number of Class A Ordinary Shares into which the options, warrants and other convertible securities are exercisable or convertible by eight (8) in accordance with the terms of the plans, agreements or arrangements governing such options, warrants and other convertible securities and subject to rounding to the nearest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amendment to the Company’s M&amp;A will be required to be made in relation to the Reverse Share Split, as (i) the Reverse Share Split will have no effect upon the par value of the ordinary shares, which is currently nil and will remain at nil after the Reverse Share Split is effected, and (ii) the number of shares authorized to be issued under the Company’s M&amp;A is unlimited and therefore will not be affected by the Reverse Share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21, 2026</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590"/>
        <w:gridCol w:w="2930"/>
      </w:tblGrid>
      <w:tr>
        <w:trPr/>
        <w:tc>
          <w:tcPr>
            <w:tcW w:w="75" w:type="dxa"/>
            <w:tcBorders/>
            <w:vAlign w:val="center"/>
          </w:tcPr>
          <w:p>
            <w:pPr>
              <w:pStyle w:val="TableContents"/>
              <w:bidi w:val="0"/>
              <w:spacing w:before="0" w:after="283"/>
              <w:jc w:val="left"/>
              <w:rPr/>
            </w:pPr>
            <w:r>
              <w:rPr/>
              <w:t> </w:t>
            </w:r>
          </w:p>
        </w:tc>
        <w:tc>
          <w:tcPr>
            <w:tcW w:w="3520" w:type="dxa"/>
            <w:gridSpan w:val="2"/>
            <w:tcBorders/>
            <w:vAlign w:val="center"/>
          </w:tcPr>
          <w:p>
            <w:pPr>
              <w:pStyle w:val="TableContents"/>
              <w:bidi w:val="0"/>
              <w:spacing w:before="0" w:after="283"/>
              <w:jc w:val="left"/>
              <w:rPr>
                <w:b/>
                <w:sz w:val="20"/>
              </w:rPr>
            </w:pPr>
            <w:r>
              <w:rPr>
                <w:b/>
                <w:sz w:val="20"/>
              </w:rPr>
              <w:t>NewGenIvf Group Limited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2930" w:type="dxa"/>
            <w:tcBorders>
              <w:bottom w:val="single" w:sz="12" w:space="0" w:color="000000"/>
            </w:tcBorders>
            <w:tcMar>
              <w:bottom w:w="30" w:type="dxa"/>
            </w:tcMar>
            <w:vAlign w:val="center"/>
          </w:tcPr>
          <w:p>
            <w:pPr>
              <w:pStyle w:val="TableContents"/>
              <w:bidi w:val="0"/>
              <w:spacing w:before="0" w:after="283"/>
              <w:jc w:val="left"/>
              <w:rPr>
                <w:sz w:val="20"/>
              </w:rPr>
            </w:pPr>
            <w:r>
              <w:rPr>
                <w:sz w:val="20"/>
              </w:rPr>
              <w:t>/s/ Wing Fung Alfred Siu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2930" w:type="dxa"/>
            <w:tcBorders/>
            <w:vAlign w:val="center"/>
          </w:tcPr>
          <w:p>
            <w:pPr>
              <w:pStyle w:val="TableContents"/>
              <w:bidi w:val="0"/>
              <w:spacing w:before="0" w:after="283"/>
              <w:jc w:val="left"/>
              <w:rPr>
                <w:sz w:val="20"/>
              </w:rPr>
            </w:pPr>
            <w:r>
              <w:rPr>
                <w:sz w:val="20"/>
              </w:rPr>
              <w:t>Wing Fung Alfred Siu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2930" w:type="dxa"/>
            <w:tcBorders/>
            <w:vAlign w:val="center"/>
          </w:tcPr>
          <w:p>
            <w:pPr>
              <w:pStyle w:val="TableContents"/>
              <w:bidi w:val="0"/>
              <w:spacing w:before="0" w:after="283"/>
              <w:jc w:val="left"/>
              <w:rPr>
                <w:sz w:val="20"/>
              </w:rPr>
            </w:pPr>
            <w:r>
              <w:rPr>
                <w:sz w:val="20"/>
              </w:rPr>
              <w:t>Chairman of the Board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666</Words>
  <Characters>3412</Characters>
  <CharactersWithSpaces>4087</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