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Fong Hei Yue 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1/F, PIER 2, CENTRAL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HONG KONG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NewGenIvf Group Ltd</w:t>
              </w:r>
            </w:hyperlink>
            <w:r>
              <w:rPr/>
              <w:t xml:space="preserve"> [ </w:t>
            </w:r>
            <w:r>
              <w:rPr>
                <w:rFonts w:ascii="Times;serif" w:hAnsi="Times;serif"/>
                <w:color w:val="0000FF"/>
                <w:sz w:val="24"/>
                <w:shd w:fill="FFFFFF" w:val="clear"/>
              </w:rPr>
              <w:t>NIVF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61"/>
        <w:gridCol w:w="92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272,140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272,140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345,787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grant of stock options to acquire 272,140 Class B Ordinary Shares of the Issuer at an exercise price of US$0.0001 per share, made pursuant to the Issuer's 2024 Share Incentive Plan and the Employee Stock Option Agreement, dated August 17, 2026, between the Issuer and the Reporting Person (the "Option Agreement"). The options vest upon grant and expire on August 17, 2033 (Grant Date + 7 years), subject to earlier termination as provided in the Option Agreement and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 Yue Tina Fong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968" TargetMode="External"/><Relationship Id="rId5" Type="http://schemas.openxmlformats.org/officeDocument/2006/relationships/hyperlink" Target="http://www.sec.gov/cgi-bin/browse-edgar?action=getcompany&amp;CIK=00019816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3535</Characters>
  <CharactersWithSpaces>4126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