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ea0305084-f1a2_newgenivf.htm"/>
      <w:bookmarkStart w:id="1" w:name="ksea0305084f1a2_newgenivf"/>
      <w:bookmarkEnd w:id="0"/>
      <w:bookmarkEnd w:id="1"/>
      <w:r>
        <w:rPr>
          <w:rFonts w:ascii="Times New Roman;Times;Serif" w:hAnsi="Times New Roman;Times;Serif"/>
          <w:b/>
          <w:i w:val="false"/>
          <w:caps w:val="false"/>
          <w:smallCaps w:val="false"/>
          <w:sz w:val="20"/>
        </w:rPr>
        <w:t>As publicly filed with the Securities and Exchange Commission on September 10, 2026</w:t>
      </w:r>
    </w:p>
    <w:p>
      <w:pPr>
        <w:pStyle w:val="TextBody"/>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333-298442</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2</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F-1</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20" w:type="dxa"/>
        <w:jc w:val="left"/>
        <w:tblInd w:w="0" w:type="dxa"/>
        <w:tblLayout w:type="fixed"/>
        <w:tblCellMar>
          <w:top w:w="0" w:type="dxa"/>
          <w:left w:w="0" w:type="dxa"/>
          <w:bottom w:w="28" w:type="dxa"/>
          <w:right w:w="0" w:type="dxa"/>
        </w:tblCellMar>
      </w:tblPr>
      <w:tblGrid>
        <w:gridCol w:w="2585"/>
        <w:gridCol w:w="60"/>
        <w:gridCol w:w="2405"/>
        <w:gridCol w:w="60"/>
        <w:gridCol w:w="1910"/>
      </w:tblGrid>
      <w:tr>
        <w:trPr/>
        <w:tc>
          <w:tcPr>
            <w:tcW w:w="25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8090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58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0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1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Wing Fung Alfred Siu</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36/39-36/40, 13th Floor, PS Tower</w:t>
      </w:r>
      <w:r>
        <w:rPr>
          <w:rFonts w:ascii="Times New Roman;Times;Serif" w:hAnsi="Times New Roman;Times;Serif"/>
          <w:b w:val="false"/>
          <w:i w:val="false"/>
          <w:caps w:val="false"/>
          <w:smallCaps w:val="false"/>
          <w:sz w:val="20"/>
        </w:rPr>
        <w:t xml:space="preserve"> </w:t>
        <w:br/>
      </w:r>
      <w:r>
        <w:rPr>
          <w:rFonts w:ascii="Times New Roman;Times;Serif" w:hAnsi="Times New Roman;Times;Serif"/>
          <w:b/>
          <w:i w:val="false"/>
          <w:caps w:val="false"/>
          <w:smallCaps w:val="false"/>
          <w:sz w:val="20"/>
        </w:rPr>
        <w:t>Sukhumvit 21 Road (Asoke)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Khlong Toei Nuea Sub-district</w:t>
      </w:r>
      <w:r>
        <w:rPr>
          <w:rFonts w:ascii="Times New Roman;Times;Serif" w:hAnsi="Times New Roman;Times;Serif"/>
          <w:b w:val="false"/>
          <w:i w:val="false"/>
          <w:caps w:val="false"/>
          <w:smallCaps w:val="false"/>
          <w:sz w:val="20"/>
        </w:rPr>
        <w:t xml:space="preserve"> </w:t>
        <w:br/>
      </w:r>
      <w:r>
        <w:rPr>
          <w:rFonts w:ascii="Times New Roman;Times;Serif" w:hAnsi="Times New Roman;Times;Serif"/>
          <w:b/>
          <w:i w:val="false"/>
          <w:caps w:val="false"/>
          <w:smallCaps w:val="false"/>
          <w:sz w:val="20"/>
        </w:rPr>
        <w:t>Watthana District, Bangkok 10110</w:t>
      </w:r>
      <w:r>
        <w:rPr>
          <w:rFonts w:ascii="Times New Roman;Times;Serif" w:hAnsi="Times New Roman;Times;Serif"/>
          <w:b w:val="false"/>
          <w:i w:val="false"/>
          <w:caps w:val="false"/>
          <w:smallCaps w:val="false"/>
          <w:sz w:val="20"/>
        </w:rPr>
        <w:t xml:space="preserve"> </w:t>
        <w:br/>
      </w:r>
      <w:r>
        <w:rPr>
          <w:rFonts w:ascii="Times New Roman;Times;Serif" w:hAnsi="Times New Roman;Times;Serif"/>
          <w:b/>
          <w:i w:val="false"/>
          <w:caps w:val="false"/>
          <w:smallCaps w:val="false"/>
          <w:sz w:val="20"/>
        </w:rPr>
        <w:t>Thailand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+1 (212) 537-4406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and telephone number,</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Street,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10168</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947-7200</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485"/>
        <w:gridCol w:w="60"/>
        <w:gridCol w:w="2645"/>
      </w:tblGrid>
      <w:tr>
        <w:trPr/>
        <w:tc>
          <w:tcPr>
            <w:tcW w:w="34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 Lin, Esq.</w:t>
              <w:br/>
              <w:t>Han Kun Law Offices LLP</w:t>
              <w:br/>
              <w:t>Rooms 4301-10, 43/F., Gloucester Tower</w:t>
              <w:br/>
              <w:t>The Landmark</w:t>
              <w:br/>
              <w:t>15 Queen’s Road Central</w:t>
              <w:br/>
              <w:t>Hong Kong</w:t>
              <w:br/>
              <w:t>+852 2820 5600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Anthony W. Basch, Esq.</w:t>
              <w:br/>
              <w:t>Alexander W. Powell Jr., Esq.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Chunyan Shuai, Esq.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Kaufman &amp; Canoles P.C.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Two James Center, 14th Floor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1021 East Cary Street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Richmond, Virginia 23219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Tel: +1 (804) 771-5700</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any of the securities being registered on this form are to be offered on a delayed or continuous basis pursuant to Rule 415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8115" w:type="dxa"/>
        <w:jc w:val="left"/>
        <w:tblInd w:w="0" w:type="dxa"/>
        <w:tblLayout w:type="fixed"/>
        <w:tblCellMar>
          <w:top w:w="0" w:type="dxa"/>
          <w:left w:w="0" w:type="dxa"/>
          <w:bottom w:w="0" w:type="dxa"/>
          <w:right w:w="0" w:type="dxa"/>
        </w:tblCellMar>
      </w:tblPr>
      <w:tblGrid>
        <w:gridCol w:w="2750"/>
        <w:gridCol w:w="2630"/>
        <w:gridCol w:w="2735"/>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SEPTEMBER 10,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5,454,545 Class A Ordinary Shares and/or Up to 5,454,545 Pre-Funded Warrants to Purchase Up to</w:t>
        <w:br/>
        <w:t>5,454,545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5,454,545 Class A Ordinary Shares Underlying the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4,364,044 Class A Ordinary Shares Offered by the 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954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457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on a “best efforts” basis, up to 5,454,545 Class A Ordinary Shares (the “Class A Ordinary Shares”) at an assumed public offering price of $1.1 per share, which was the last reported sale price of our Class A Ordinary Shares on The Nasdaq Capital Market on September 9, 2026. We are also offering to each purchaser whose purchase of Class A Ordinary Shares in this offering would otherwise result in the purchaser, together with its affiliates and certain related parties, beneficially owning more than 4.99% (or, at the election of the purchaser, 9.99%) of our outstanding Class A Ordinary Shares immediately following the consummation of this offering, the opportunity to purchase, in lieu of Class A Ordinary Shares, pre-funded warrants to purchase Class A Ordinary Shares (the “Pre-Funded Warrants”). The purchase price of each Pre-Funded Warrant will equal the public offering price per Class A Ordinary Share less the $0.00001 per share exercise price of the Pre-Funded Warrant. The Pre-Funded Warrants will be immediately exercisable, subject to the beneficial ownership limitation described herein, and may be exercised at any time until exercised in full. For each Pre-Funded Warrant we sell, the number of Class A Ordinary Shares we are offering will be decreased on a one-for-one basis. See “Description of Securities We Are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statement of which this prospectus forms a part, we are also registering up to 5,454,545 Class A Ordinary Shares issuable upon exercise of the Pre-Funded Warrants offered hereby. No units, common warrants or other securities are being offered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offer and sale, from time to time, by Vanquish Funding Group Inc., White Lion Capital LLC, and Pacific Pier Capital II, LP (collectively, the “Selling Securityholders”), of up to 4,364,044 Class A Ordinary Shares issuable upon conversion of certain outstanding convertible promissory notes held by the Selling Securityholders. We are registering these shares pursuant to piggyback registration rights granted to the Selling Securityholders under the terms of such notes and/or the securities purchase agreements pursuant to which they were issued. We will not receive any proceeds from the sale of Class A Ordinary Shares by the Selling Securityholders. See “Selling Securityholders” and “Plan of Distribution.”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The number of Class A Ordinary Shares and Class B Ordinary Shares currently issued and outstanding is 2,404,787 and 12,643 as of September 9, 2026. Each Class A Ordinary Share is entitled to one (1) vote and each Class B Ordinary Share is entitled to one hundred (100) votes. Each Class B Ordinary Share is convertible into one Class A Ordinary Share at any time by the holder thereof, while Class A Ordinary Shares are not convertible into Class B Ordinary Shares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for the offered securities will be determined at the time of pricing and may be at a discount to the current market price at the time. Therefore, the assumed public offering price used throughout this prospectus may not be indicative of the final offering price. The final public offering price will be determined through negotiation between us, the placement agent and the investors based upon a number of factors, including our history and our prospects, the industry in which we operate, our past and present operating results, the previous experience of our executive officers and the general condition of the securities markets at the time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best-efforts offering and the placement agent does not have an obligation to purchase any securities.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 Because there is no minimum offering amount, investors could be in a position where they have invested in our company, but we are unable to fulfill our objectives due to a lack of interest in this offering. Also, any proceeds from the sale of securities offered by us will be available for our immediate use despite uncertainty about whether we would be able to use such funds to effectively implement our business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 2026, unless we decide to terminate the offering (which we may do at any time in our discretion) prior to that date. We will have one closing for all the securities purchased in this offering. The public offering price per Class A Ordinary Share and per Pre-Funded Warrant will be fixed for the duration of this offering. The offering will settle delivery versus payment (“DVP”). Accordingly, we and the placement agent have not made any arrangements to place investor funds in an escrow account or trust account since the placement agent will not receive investor funds in connection with the sale of the securities offered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this offering, and assuming that the Pre-Funded Warrants, if any, are exercised in full, our issued and outstanding shares will consist of 7,859,332 Class A Ordinary Shares and 12,643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issuances of Class B Ordinary Shares may be dilutive to holders of our Class A Ordinary Shares. It could have the effect of increasing the overall voting power of Class B Shareholders relative to Class A Shareholders, diluting, and diminishing the influence and control of Class A Shareholders over our company’s affairs.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currently trade on The Nasdaq Capital Market under the symbol “NIVF.” The last reported closing price of our Class A Ordinary Shares September 9, 2026 was $1.10.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as defined in Rule 405 under the U.S. Securities Act of 1933, as amended, or the Securities Act, thus we are eligible for reduced public company reporting requirements, and are permitted to rely on certain exemptions from Nasdaq corporate governance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(“NewGenIvf,” “Company,” “our,” “we,” or “us”) is a British Virgin Islands holding company with our operations conducted through our subsidiaries in the Cayman Islands (our wholly-owned subsidiary, NewGenIvf Limited), British Virgin Islands (our wholly-owned subsidiaries, NewGenDigital Limited and NewGenProperty Limited) and the United States of America (our wholly-owned subsidiary, Microsort Lab Services LLC) and in Asia (Hong Kong, Thailand, Kyrgyzstan, and the Kingdom of Cambodia). Under this holding company structure, investors are purchasing equity interests in NewGenIvf, a British Virgin Islands holding company, and obtaining indirect ownership interests in our Cayman Islands, British Virgin Islands, United States of America and Asian operating subsidiaries. Substantially all of NewGenIvf’s operations and assets are based in Thailand, Cambodia and Kyrgyzstan. As a result, its businesses and operations are subject to the changing economic conditions prevailing from time to time in such countries.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continued listing requirements, subject to meeting specific compliance criteria within designated timeframes. As of the date of this prospectus, in accordance with the Panel’s extension, the Company has already made progress on its compliance plan, including carrying out a 1-for-20 reverse stock split of its issued and unissued shares which was effected on February 11, 2025.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On September 1, 2026, the Company effected a 1-for-3 reverse stock split of its issued and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contained or incorporated in this prospectus is accurate only as of the date of this prospectus, regardless of the time of delivery of this prospectus or any sale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being offered pursuant to this prospectus involves a high degree of risk, including the risk of losing your entire investment.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starting on page 32 to read about the factors you should consider before buying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or the SEC, nor any state or other foreign securities commission has approved nor disapproved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8"/>
        <w:gridCol w:w="60"/>
        <w:gridCol w:w="441"/>
        <w:gridCol w:w="1766"/>
        <w:gridCol w:w="60"/>
        <w:gridCol w:w="60"/>
        <w:gridCol w:w="867"/>
        <w:gridCol w:w="2027"/>
        <w:gridCol w:w="60"/>
        <w:gridCol w:w="60"/>
        <w:gridCol w:w="157"/>
        <w:gridCol w:w="1110"/>
        <w:gridCol w:w="79"/>
      </w:tblGrid>
      <w:tr>
        <w:trPr/>
        <w:tc>
          <w:tcPr>
            <w:tcW w:w="34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 </w:t>
              <w:br/>
              <w:t>CLASS A</w:t>
              <w:br/>
              <w:t>ORDINARY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w:t>
              <w:br/>
              <w:t>PRE-FUNDED 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GROSS</w:t>
              <w:br/>
              <w:t>PROCEEDS</w:t>
            </w:r>
            <w:r>
              <w:rPr>
                <w:rFonts w:ascii="Times New Roman;Times;Serif" w:hAnsi="Times New Roman;Times;Serif"/>
                <w:b/>
                <w:position w:val="7"/>
                <w:sz w:val="16"/>
                <w:sz w:val="20"/>
              </w:rPr>
              <w:t>(4)</w:t>
            </w:r>
          </w:p>
        </w:tc>
        <w:tc>
          <w:tcPr>
            <w:tcW w:w="79" w:type="dxa"/>
            <w:tcBorders/>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offering price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w:t>
            </w:r>
          </w:p>
        </w:tc>
        <w:tc>
          <w:tcPr>
            <w:tcW w:w="1766"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202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6,000,000</w:t>
            </w:r>
          </w:p>
        </w:tc>
        <w:tc>
          <w:tcPr>
            <w:tcW w:w="79" w:type="dxa"/>
            <w:tcBorders/>
            <w:shd w:fill="CCEEFF" w:val="clear"/>
            <w:vAlign w:val="center"/>
          </w:tcPr>
          <w:p>
            <w:pPr>
              <w:pStyle w:val="TableContents"/>
              <w:bidi w:val="0"/>
              <w:spacing w:before="0" w:after="283"/>
              <w:jc w:val="left"/>
              <w:rPr/>
            </w:pPr>
            <w:r>
              <w:rPr/>
              <w:t> </w:t>
            </w:r>
          </w:p>
        </w:tc>
      </w:tr>
      <w:tr>
        <w:trPr/>
        <w:tc>
          <w:tcPr>
            <w:tcW w:w="34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Placement Agent Fees</w:t>
            </w:r>
            <w:r>
              <w:rPr>
                <w:rFonts w:ascii="Times New Roman;Times;Serif" w:hAnsi="Times New Roman;Times;Serif"/>
                <w:position w:val="7"/>
                <w:sz w:val="16"/>
                <w:sz w:val="20"/>
              </w:rPr>
              <w:t xml:space="preserve">(2)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w:t>
            </w:r>
          </w:p>
        </w:tc>
        <w:tc>
          <w:tcPr>
            <w:tcW w:w="1766" w:type="dxa"/>
            <w:tcBorders/>
            <w:shd w:fill="FFFFFF" w:val="clear"/>
            <w:vAlign w:val="center"/>
          </w:tcPr>
          <w:p>
            <w:pPr>
              <w:pStyle w:val="TableContents"/>
              <w:bidi w:val="0"/>
              <w:spacing w:before="0" w:after="283"/>
              <w:jc w:val="right"/>
              <w:rPr/>
            </w:pPr>
            <w:r>
              <w:rPr/>
              <w:t>0.088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2027"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110" w:type="dxa"/>
            <w:tcBorders/>
            <w:shd w:fill="FFFFFF" w:val="clear"/>
            <w:vAlign w:val="center"/>
          </w:tcPr>
          <w:p>
            <w:pPr>
              <w:pStyle w:val="TableContents"/>
              <w:bidi w:val="0"/>
              <w:spacing w:before="0" w:after="283"/>
              <w:jc w:val="right"/>
              <w:rPr/>
            </w:pPr>
            <w:r>
              <w:rPr/>
              <w:t>480,000</w:t>
            </w:r>
          </w:p>
        </w:tc>
        <w:tc>
          <w:tcPr>
            <w:tcW w:w="79" w:type="dxa"/>
            <w:tcBorders/>
            <w:shd w:fill="FFFFFF" w:val="clear"/>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to the Company before expenses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w:t>
            </w:r>
          </w:p>
        </w:tc>
        <w:tc>
          <w:tcPr>
            <w:tcW w:w="1766" w:type="dxa"/>
            <w:tcBorders/>
            <w:shd w:fill="CCEEFF" w:val="clear"/>
            <w:vAlign w:val="center"/>
          </w:tcPr>
          <w:p>
            <w:pPr>
              <w:pStyle w:val="TableContents"/>
              <w:bidi w:val="0"/>
              <w:spacing w:before="0" w:after="283"/>
              <w:jc w:val="right"/>
              <w:rPr/>
            </w:pPr>
            <w:r>
              <w:rPr/>
              <w:t>1.012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202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5,520,000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 per Class A Ordinary Share is assumed to be US$1.1, which is the last reported sale price of our Class A Ordinary Share, as reported on the Nasdaq Capital Market on September 9,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The placement agent for this offering is Aegis Capital Corp. We have agreed to pay Aegis Capital Corp. a cash placement fee equal to eight percent (8.0%) of the gross proceeds of this offering. We have also agreed to reimburse the placement agent for certain of its expenses. See “Plan of Distribution” for a description of the compensation payable to the placement agent.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(3)</w:t>
            </w:r>
          </w:p>
        </w:tc>
        <w:tc>
          <w:tcPr>
            <w:tcW w:w="9889" w:type="dxa"/>
            <w:tcBorders/>
            <w:vAlign w:val="center"/>
          </w:tcPr>
          <w:p>
            <w:pPr>
              <w:pStyle w:val="TableContents"/>
              <w:bidi w:val="0"/>
              <w:spacing w:before="0" w:after="283"/>
              <w:jc w:val="both"/>
              <w:rPr/>
            </w:pPr>
            <w:r>
              <w:rPr/>
              <w:t>The total amount of expenses related to this offering is set forth in the section titled “Expenses Relating to This Offering”.</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(4)</w:t>
            </w:r>
          </w:p>
        </w:tc>
        <w:tc>
          <w:tcPr>
            <w:tcW w:w="9929" w:type="dxa"/>
            <w:tcBorders/>
            <w:vAlign w:val="center"/>
          </w:tcPr>
          <w:p>
            <w:pPr>
              <w:pStyle w:val="TableContents"/>
              <w:bidi w:val="0"/>
              <w:spacing w:before="0" w:after="283"/>
              <w:jc w:val="both"/>
              <w:rPr/>
            </w:pPr>
            <w:r>
              <w:rPr/>
              <w:t>Total gross proceeds are calculated assuming the sale of all of the securities being offered in this offering, including any Pre-Funded Warrants sold in lieu of Class A Ordinary Shares. Gross proceeds do not include the nominal exercise price of $0.00001 per share payable upon exercise of the Pre-Funded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complete this offering, net proceeds will be delivered to us on the closing date. We expect to deliver the securities against payment in U.S. dollars in New York, NY to investors on or about [●], 2026, subject to satisfaction of certain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Aegis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295"/>
        <w:gridCol w:w="60"/>
        <w:gridCol w:w="455"/>
      </w:tblGrid>
      <w:tr>
        <w:trPr/>
        <w:tc>
          <w:tcPr>
            <w:tcW w:w="72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95" w:type="dxa"/>
            <w:tcBorders/>
            <w:shd w:fill="CCEEFF" w:val="clear"/>
            <w:vAlign w:val="center"/>
          </w:tcPr>
          <w:p>
            <w:pPr>
              <w:pStyle w:val="TableContents"/>
              <w:bidi w:val="0"/>
              <w:spacing w:before="0" w:after="283"/>
              <w:jc w:val="both"/>
              <w:rPr/>
            </w:pPr>
            <w:hyperlink w:anchor="k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295" w:type="dxa"/>
            <w:tcBorders/>
            <w:shd w:fill="FFFFFF" w:val="clear"/>
            <w:vAlign w:val="center"/>
          </w:tcPr>
          <w:p>
            <w:pPr>
              <w:pStyle w:val="TableContents"/>
              <w:bidi w:val="0"/>
              <w:spacing w:before="0" w:after="283"/>
              <w:jc w:val="both"/>
              <w:rPr/>
            </w:pPr>
            <w:hyperlink w:anchor="k_002">
              <w:r>
                <w:rPr>
                  <w:rStyle w:val="InternetLink"/>
                  <w:rFonts w:ascii="Times New Roman;Times;Serif" w:hAnsi="Times New Roman;Times;Serif"/>
                  <w:b w:val="false"/>
                  <w:i w:val="false"/>
                  <w:caps w:val="false"/>
                  <w:smallCaps w:val="false"/>
                  <w:sz w:val="20"/>
                </w:rPr>
                <w:t>Glossary of Defined Terms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295" w:type="dxa"/>
            <w:tcBorders/>
            <w:shd w:fill="CCEEFF" w:val="clear"/>
            <w:vAlign w:val="center"/>
          </w:tcPr>
          <w:p>
            <w:pPr>
              <w:pStyle w:val="TableContents"/>
              <w:bidi w:val="0"/>
              <w:spacing w:before="0" w:after="283"/>
              <w:jc w:val="both"/>
              <w:rPr/>
            </w:pPr>
            <w:hyperlink w:anchor="k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95" w:type="dxa"/>
            <w:tcBorders/>
            <w:shd w:fill="FFFFFF" w:val="clear"/>
            <w:vAlign w:val="center"/>
          </w:tcPr>
          <w:p>
            <w:pPr>
              <w:pStyle w:val="TableContents"/>
              <w:bidi w:val="0"/>
              <w:spacing w:before="0" w:after="283"/>
              <w:jc w:val="both"/>
              <w:rPr/>
            </w:pPr>
            <w:hyperlink w:anchor="k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295" w:type="dxa"/>
            <w:tcBorders/>
            <w:shd w:fill="CCEEFF" w:val="clear"/>
            <w:vAlign w:val="center"/>
          </w:tcPr>
          <w:p>
            <w:pPr>
              <w:pStyle w:val="TableContents"/>
              <w:bidi w:val="0"/>
              <w:spacing w:before="0" w:after="283"/>
              <w:jc w:val="both"/>
              <w:rPr/>
            </w:pPr>
            <w:hyperlink w:anchor="k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295" w:type="dxa"/>
            <w:tcBorders/>
            <w:shd w:fill="FFFFFF" w:val="clear"/>
            <w:vAlign w:val="center"/>
          </w:tcPr>
          <w:p>
            <w:pPr>
              <w:pStyle w:val="TableContents"/>
              <w:bidi w:val="0"/>
              <w:spacing w:before="0" w:after="283"/>
              <w:jc w:val="both"/>
              <w:rPr/>
            </w:pPr>
            <w:hyperlink w:anchor="k_006">
              <w:r>
                <w:rPr>
                  <w:rStyle w:val="InternetLink"/>
                  <w:rFonts w:ascii="Times New Roman;Times;Serif" w:hAnsi="Times New Roman;Times;Serif"/>
                  <w:b w:val="false"/>
                  <w:i w:val="false"/>
                  <w:caps w:val="false"/>
                  <w:smallCaps w:val="false"/>
                  <w:sz w:val="20"/>
                </w:rPr>
                <w:t>Management</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295" w:type="dxa"/>
            <w:tcBorders/>
            <w:shd w:fill="CCEEFF" w:val="clear"/>
            <w:vAlign w:val="center"/>
          </w:tcPr>
          <w:p>
            <w:pPr>
              <w:pStyle w:val="TableContents"/>
              <w:bidi w:val="0"/>
              <w:spacing w:before="0" w:after="283"/>
              <w:jc w:val="both"/>
              <w:rPr/>
            </w:pPr>
            <w:hyperlink w:anchor="k_007">
              <w:r>
                <w:rPr>
                  <w:rStyle w:val="InternetLink"/>
                  <w:rFonts w:ascii="Times New Roman;Times;Serif" w:hAnsi="Times New Roman;Times;Serif"/>
                  <w:b w:val="false"/>
                  <w:i w:val="false"/>
                  <w:caps w:val="false"/>
                  <w:smallCaps w:val="false"/>
                  <w:sz w:val="20"/>
                </w:rPr>
                <w:t>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7295" w:type="dxa"/>
            <w:tcBorders/>
            <w:shd w:fill="FFFFFF" w:val="clear"/>
            <w:vAlign w:val="center"/>
          </w:tcPr>
          <w:p>
            <w:pPr>
              <w:pStyle w:val="TableContents"/>
              <w:bidi w:val="0"/>
              <w:spacing w:before="0" w:after="283"/>
              <w:jc w:val="both"/>
              <w:rPr/>
            </w:pPr>
            <w:hyperlink w:anchor="k_008">
              <w:r>
                <w:rPr>
                  <w:rStyle w:val="InternetLink"/>
                  <w:rFonts w:ascii="Times New Roman;Times;Serif" w:hAnsi="Times New Roman;Times;Serif"/>
                  <w:b w:val="false"/>
                  <w:i w:val="false"/>
                  <w:caps w:val="false"/>
                  <w:smallCaps w:val="false"/>
                  <w:sz w:val="20"/>
                </w:rPr>
                <w:t>Listing Details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295" w:type="dxa"/>
            <w:tcBorders/>
            <w:shd w:fill="CCEEFF" w:val="clear"/>
            <w:vAlign w:val="center"/>
          </w:tcPr>
          <w:p>
            <w:pPr>
              <w:pStyle w:val="TableContents"/>
              <w:bidi w:val="0"/>
              <w:spacing w:before="0" w:after="283"/>
              <w:jc w:val="both"/>
              <w:rPr/>
            </w:pPr>
            <w:hyperlink w:anchor="k_009">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295" w:type="dxa"/>
            <w:tcBorders/>
            <w:shd w:fill="FFFFFF" w:val="clear"/>
            <w:vAlign w:val="center"/>
          </w:tcPr>
          <w:p>
            <w:pPr>
              <w:pStyle w:val="TableContents"/>
              <w:bidi w:val="0"/>
              <w:spacing w:before="0" w:after="283"/>
              <w:jc w:val="both"/>
              <w:rPr/>
            </w:pPr>
            <w:hyperlink w:anchor="k_010">
              <w:r>
                <w:rPr>
                  <w:rStyle w:val="InternetLink"/>
                  <w:rFonts w:ascii="Times New Roman;Times;Serif" w:hAnsi="Times New Roman;Times;Serif"/>
                  <w:b w:val="false"/>
                  <w:i w:val="false"/>
                  <w:caps w:val="false"/>
                  <w:smallCaps w:val="false"/>
                  <w:sz w:val="20"/>
                </w:rPr>
                <w:t>Dividend Policy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295" w:type="dxa"/>
            <w:tcBorders/>
            <w:shd w:fill="CCEEFF" w:val="clear"/>
            <w:vAlign w:val="center"/>
          </w:tcPr>
          <w:p>
            <w:pPr>
              <w:pStyle w:val="TableContents"/>
              <w:bidi w:val="0"/>
              <w:spacing w:before="0" w:after="283"/>
              <w:jc w:val="both"/>
              <w:rPr/>
            </w:pPr>
            <w:hyperlink w:anchor="k_011">
              <w:r>
                <w:rPr>
                  <w:rStyle w:val="InternetLink"/>
                  <w:rFonts w:ascii="Times New Roman;Times;Serif" w:hAnsi="Times New Roman;Times;Serif"/>
                  <w:b w:val="false"/>
                  <w:i w:val="false"/>
                  <w:caps w:val="false"/>
                  <w:smallCaps w:val="false"/>
                  <w:sz w:val="20"/>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295" w:type="dxa"/>
            <w:tcBorders/>
            <w:shd w:fill="FFFFFF" w:val="clear"/>
            <w:vAlign w:val="center"/>
          </w:tcPr>
          <w:p>
            <w:pPr>
              <w:pStyle w:val="TableContents"/>
              <w:bidi w:val="0"/>
              <w:spacing w:before="0" w:after="283"/>
              <w:jc w:val="both"/>
              <w:rPr/>
            </w:pPr>
            <w:hyperlink w:anchor="k_0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295" w:type="dxa"/>
            <w:tcBorders/>
            <w:shd w:fill="CCEEFF" w:val="clear"/>
            <w:vAlign w:val="center"/>
          </w:tcPr>
          <w:p>
            <w:pPr>
              <w:pStyle w:val="TableContents"/>
              <w:bidi w:val="0"/>
              <w:spacing w:before="0" w:after="283"/>
              <w:jc w:val="both"/>
              <w:rPr/>
            </w:pPr>
            <w:hyperlink w:anchor="k_013">
              <w:r>
                <w:rPr>
                  <w:rStyle w:val="InternetLink"/>
                  <w:rFonts w:ascii="Times New Roman;Times;Serif" w:hAnsi="Times New Roman;Times;Serif"/>
                  <w:b w:val="false"/>
                  <w:i w:val="false"/>
                  <w:caps w:val="false"/>
                  <w:smallCaps w:val="false"/>
                  <w:sz w:val="20"/>
                </w:rPr>
                <w:t>Business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295" w:type="dxa"/>
            <w:tcBorders/>
            <w:shd w:fill="FFFFFF" w:val="clear"/>
            <w:vAlign w:val="center"/>
          </w:tcPr>
          <w:p>
            <w:pPr>
              <w:pStyle w:val="TableContents"/>
              <w:bidi w:val="0"/>
              <w:spacing w:before="0" w:after="283"/>
              <w:jc w:val="both"/>
              <w:rPr/>
            </w:pPr>
            <w:hyperlink w:anchor="k_014">
              <w:r>
                <w:rPr>
                  <w:rStyle w:val="InternetLink"/>
                  <w:rFonts w:ascii="Times New Roman;Times;Serif" w:hAnsi="Times New Roman;Times;Serif"/>
                  <w:b w:val="false"/>
                  <w:i w:val="false"/>
                  <w:caps w:val="false"/>
                  <w:smallCaps w:val="false"/>
                  <w:sz w:val="20"/>
                </w:rPr>
                <w:t>Principal Shareholders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7295" w:type="dxa"/>
            <w:tcBorders/>
            <w:shd w:fill="CCEEFF" w:val="clear"/>
            <w:vAlign w:val="center"/>
          </w:tcPr>
          <w:p>
            <w:pPr>
              <w:pStyle w:val="TableContents"/>
              <w:bidi w:val="0"/>
              <w:spacing w:before="0" w:after="283"/>
              <w:jc w:val="both"/>
              <w:rPr/>
            </w:pPr>
            <w:hyperlink w:anchor="k_014a">
              <w:r>
                <w:rPr>
                  <w:rStyle w:val="InternetLink"/>
                  <w:rFonts w:ascii="Times New Roman;Times;Serif" w:hAnsi="Times New Roman;Times;Serif"/>
                  <w:b w:val="false"/>
                  <w:i w:val="false"/>
                  <w:caps w:val="false"/>
                  <w:smallCaps w:val="false"/>
                  <w:sz w:val="20"/>
                </w:rPr>
                <w:t>S</w:t>
              </w:r>
            </w:hyperlink>
            <w:hyperlink w:anchor="k_014a">
              <w:r>
                <w:rPr>
                  <w:rStyle w:val="InternetLink"/>
                  <w:rFonts w:ascii="Times New Roman;Times;Serif" w:hAnsi="Times New Roman;Times;Serif"/>
                  <w:b w:val="false"/>
                  <w:i w:val="false"/>
                  <w:caps w:val="false"/>
                  <w:smallCaps w:val="false"/>
                  <w:sz w:val="20"/>
                </w:rPr>
                <w:t>ELLING</w:t>
              </w:r>
            </w:hyperlink>
            <w:hyperlink w:anchor="k_014a">
              <w:r>
                <w:rPr>
                  <w:rStyle w:val="InternetLink"/>
                  <w:rFonts w:ascii="Times New Roman;Times;Serif" w:hAnsi="Times New Roman;Times;Serif"/>
                  <w:b w:val="false"/>
                  <w:i w:val="false"/>
                  <w:caps w:val="false"/>
                  <w:smallCaps w:val="false"/>
                  <w:sz w:val="20"/>
                </w:rPr>
                <w:t xml:space="preserve"> S</w:t>
              </w:r>
            </w:hyperlink>
            <w:hyperlink w:anchor="k_014a">
              <w:r>
                <w:rPr>
                  <w:rStyle w:val="InternetLink"/>
                  <w:rFonts w:ascii="Times New Roman;Times;Serif" w:hAnsi="Times New Roman;Times;Serif"/>
                  <w:b w:val="false"/>
                  <w:i w:val="false"/>
                  <w:caps w:val="false"/>
                  <w:smallCaps w:val="false"/>
                  <w:sz w:val="20"/>
                </w:rPr>
                <w:t>ECURITYHOLDERS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7295" w:type="dxa"/>
            <w:tcBorders/>
            <w:shd w:fill="FFFFFF" w:val="clear"/>
            <w:vAlign w:val="center"/>
          </w:tcPr>
          <w:p>
            <w:pPr>
              <w:pStyle w:val="TableContents"/>
              <w:bidi w:val="0"/>
              <w:spacing w:before="0" w:after="283"/>
              <w:jc w:val="both"/>
              <w:rPr/>
            </w:pPr>
            <w:hyperlink w:anchor="k_015">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7295" w:type="dxa"/>
            <w:tcBorders/>
            <w:shd w:fill="CCEEFF" w:val="clear"/>
            <w:vAlign w:val="center"/>
          </w:tcPr>
          <w:p>
            <w:pPr>
              <w:pStyle w:val="TableContents"/>
              <w:bidi w:val="0"/>
              <w:spacing w:before="0" w:after="283"/>
              <w:jc w:val="both"/>
              <w:rPr/>
            </w:pPr>
            <w:hyperlink w:anchor="k_016">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7295" w:type="dxa"/>
            <w:tcBorders/>
            <w:shd w:fill="FFFFFF" w:val="clear"/>
            <w:vAlign w:val="center"/>
          </w:tcPr>
          <w:p>
            <w:pPr>
              <w:pStyle w:val="TableContents"/>
              <w:bidi w:val="0"/>
              <w:spacing w:before="0" w:after="283"/>
              <w:jc w:val="both"/>
              <w:rPr/>
            </w:pPr>
            <w:hyperlink w:anchor="k_017">
              <w:r>
                <w:rPr>
                  <w:rStyle w:val="InternetLink"/>
                  <w:rFonts w:ascii="Times New Roman;Times;Serif" w:hAnsi="Times New Roman;Times;Serif"/>
                  <w:b w:val="false"/>
                  <w:i w:val="false"/>
                  <w:caps w:val="false"/>
                  <w:smallCaps w:val="false"/>
                  <w:sz w:val="20"/>
                </w:rPr>
                <w:t>Taxation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7295" w:type="dxa"/>
            <w:tcBorders/>
            <w:shd w:fill="CCEEFF" w:val="clear"/>
            <w:vAlign w:val="center"/>
          </w:tcPr>
          <w:p>
            <w:pPr>
              <w:pStyle w:val="TableContents"/>
              <w:bidi w:val="0"/>
              <w:spacing w:before="0" w:after="283"/>
              <w:jc w:val="both"/>
              <w:rPr/>
            </w:pPr>
            <w:hyperlink w:anchor="k_018">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295" w:type="dxa"/>
            <w:tcBorders/>
            <w:shd w:fill="FFFFFF" w:val="clear"/>
            <w:vAlign w:val="center"/>
          </w:tcPr>
          <w:p>
            <w:pPr>
              <w:pStyle w:val="TableContents"/>
              <w:bidi w:val="0"/>
              <w:spacing w:before="0" w:after="283"/>
              <w:jc w:val="both"/>
              <w:rPr/>
            </w:pPr>
            <w:hyperlink w:anchor="k_019">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295" w:type="dxa"/>
            <w:tcBorders/>
            <w:shd w:fill="CCEEFF" w:val="clear"/>
            <w:vAlign w:val="center"/>
          </w:tcPr>
          <w:p>
            <w:pPr>
              <w:pStyle w:val="TableContents"/>
              <w:bidi w:val="0"/>
              <w:spacing w:before="0" w:after="283"/>
              <w:jc w:val="both"/>
              <w:rPr/>
            </w:pPr>
            <w:hyperlink w:anchor="k_020">
              <w:r>
                <w:rPr>
                  <w:rStyle w:val="InternetLink"/>
                  <w:rFonts w:ascii="Times New Roman;Times;Serif" w:hAnsi="Times New Roman;Times;Serif"/>
                  <w:b w:val="false"/>
                  <w:i w:val="false"/>
                  <w:caps w:val="false"/>
                  <w:smallCaps w:val="false"/>
                  <w:sz w:val="20"/>
                </w:rPr>
                <w:t>Expenses Relating to This Offering</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295" w:type="dxa"/>
            <w:tcBorders/>
            <w:shd w:fill="FFFFFF" w:val="clear"/>
            <w:vAlign w:val="center"/>
          </w:tcPr>
          <w:p>
            <w:pPr>
              <w:pStyle w:val="TableContents"/>
              <w:bidi w:val="0"/>
              <w:spacing w:before="0" w:after="283"/>
              <w:jc w:val="both"/>
              <w:rPr/>
            </w:pPr>
            <w:hyperlink w:anchor="k_021">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7295" w:type="dxa"/>
            <w:tcBorders/>
            <w:shd w:fill="CCEEFF" w:val="clear"/>
            <w:vAlign w:val="center"/>
          </w:tcPr>
          <w:p>
            <w:pPr>
              <w:pStyle w:val="TableContents"/>
              <w:bidi w:val="0"/>
              <w:spacing w:before="0" w:after="283"/>
              <w:jc w:val="both"/>
              <w:rPr/>
            </w:pPr>
            <w:hyperlink w:anchor="k_022">
              <w:r>
                <w:rPr>
                  <w:rStyle w:val="InternetLink"/>
                  <w:rFonts w:ascii="Times New Roman;Times;Serif" w:hAnsi="Times New Roman;Times;Serif"/>
                  <w:b w:val="false"/>
                  <w:i w:val="false"/>
                  <w:caps w:val="false"/>
                  <w:smallCaps w:val="false"/>
                  <w:sz w:val="20"/>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k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and any free writing prospectus prepared by or on behalf of us or to which we have referred you. Neither we nor the placement agent have authorized anyone to provide you with different information. Neither we nor the placement agent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For the avoidance of doubt, no offer or invitation to subscribe for ordinary shares is made to the public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placement agent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“us,” “our” and the “Company” refer to NewGenIvf Group Limited and its subsidiaries including but not limited to, NewGenIvf Limited, a Cayman Islands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U.S. dollar. Unless otherwise expressly stated or the context otherwise requires, references in this prospectus to “dollars” or “$” are to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and presented in accordance with accounting principles generally accepted in the United States of America,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Class A Ordinary Shares and Class B Ordinary Shares currently issued and outstanding is 2,404,787 and 12,643 as of September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k_002"/>
      <w:bookmarkEnd w:id="3"/>
      <w:r>
        <w:rPr>
          <w:rFonts w:ascii="Times New Roman;Times;Serif" w:hAnsi="Times New Roman;Times;Serif"/>
          <w:b/>
          <w:i w:val="false"/>
          <w:caps w:val="false"/>
          <w:smallCaps w:val="false"/>
          <w:sz w:val="20"/>
        </w:rPr>
        <w:t>GLOSSARY OF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the context otherwise requires, references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ASCA” means A SPAC I Acquisition Corp.,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SPAC I Mini Acquisition Corp.” means A SPAC I Mini Acquisition Corp.,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the transactions contemplated by the Merger Agreement, pursuant to which (i) ASCA reincorporated to the British Virgin Islands by merging with and into the Company; and (ii) Merger Sub merged with and into Legacy NewGenIvf, resulting in Legacy NewGenIvf being a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means 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Act” means BVI Business Companies Act (As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 means Class A ordinary shares of the Company, no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 means (x) the Company’s Class B ordinary shares with no par value per share, and (y) any shares into which such ordinary shares shall have been changed or any shares resulting from a reclassification of such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consummation of the Business Combination, which occurred on April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NewGenIvf Group Limited, a British Virgin Islands business company, the surviving entity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Eighth Reverse Stock Split” means the 1-for-3 reverse stock split effected by the Company on September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First Reverse Stock Split” means the 1-for-20 reverse stock split effected by the Company on February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Fourth Reverse Stock Split” means the 1-for-5 reverse stock split effected by the Company on December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Fifth Reverse Stock Split” means the 1-for-3 reverse stock split effected by the Company on January 26,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Legacy NewGenIvf” means NewGenIvf Limited, a Cayman Islands exempted company, which became a wholly owned subsidiary of ASCA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the Merger Agreement entered into on February 15, 2023, and as amended on June 12, 2023 and December 6, 2023, between ASCA, A SPAC I Mini Acquisition Corp., Merger Sub, Legacy NewGenIvf, and certain shareholders of Legacy NewGenIvf, pursuant to which the Reincorporation Merger and Acquisition Merger were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means A SPAC I Mini Sub Acquisition Corp., a Cayman Islands exempted company and former wholly-owned subsidiary of A SPAC I Mini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Memorandum and Articles of Association” means the Company’s Amended and Restated Memorandum and Articles of Association, as and restated on July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NewGenIvf” means NewGenIvf Group Limited, a British Virgin Islands business company, the surviving entity of the Business Combination, unless the context so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Class A Ordinary Shares and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Preferred Shares” means preferred shares of the Company, no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Reincorporation Merger” means the first step of the Business Combination which occurred pursuant to the Merger Agreement, in which ASCA reincorporated to the British Virgin Islands by merging with and into A SPAC I Mini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Reverse Stock Splits” means the First Reverse Stock Split, the Second Reverse Stock Split, the Third Reverse Stock Split, the Fourth Reverse Stock Split, the Fifth Reverse Stock Split, the Sixth Reverse Stock Split, the Seventh Reverse Stock Split, and the Eighth Reverse Stock Split In this registration statement, where we state historical share and per-share numbers, we have, where appropriate, reflected a retroactive adjustment due to the Reverse Stock Splits in parentheses.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Second Reverse Stock Split” means the 1-for-10 reverse stock split effected by the Company on May 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Seventh Reverse Stock Split” means the 1-for-3 reverse stock split effected by the Company on July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Sixth Reverse Stock Split” means the 1-for-4 reverse stock split effected by the Company on March 16,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Third Reverse Stock Split” means the 1-for-5 reverse stock split effected by the Company on August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4" w:name="k_003"/>
      <w:bookmarkEnd w:id="4"/>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the context otherwise requires, all references in this Prospectus Summary to “NewGenIvf,” “we,” “our,” and “us” refer to Legacy NewGenIvf and its subsidiaries including those that existed prior to the Closing if described in relation to a date prior to April 3, 2024. Any references to “NewGenIvf,” “we,” “our,” and “us” with respect to the present time, a future time, or a date after April 3, 2024 refers to NewGenIvf, a British Virgin Islands company, and its subsidiaries, whose existence continued after the Closing.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assisted reproductive services (“ARS”) provider in Asia-Pacific. Since the opening of our first clinic in Thailand in 2014, we have established ourselves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History and Development of the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Business Combination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3, 2024, the Business Combination was consummated with the Company as the surviving entity.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NewGenIvf’s Business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 focus on providing fertility treatments to fulfil the dreams of building families, NewGenIvf mainly offers two services, namely: (i) in vitro fertilization (“IVF”) treatment service, comprising traditional IVF and egg donation; and (ii) surrogacy and ancillary caring services. Currently, we have three clinics: one clinic in Thailand, one clinic in Cambodia, and one clinic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IVF treatment service: </w:t>
            </w:r>
            <w:r>
              <w:rPr>
                <w:rFonts w:ascii="Times New Roman;Times;Serif" w:hAnsi="Times New Roman;Times;Serif"/>
                <w:sz w:val="20"/>
              </w:rPr>
              <w:t>For the years ended December 31, 2025 and 2024, we generated approximately 82.6% and 100% respectively of 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Fertility referral services: </w:t>
            </w:r>
            <w:r>
              <w:rPr>
                <w:rFonts w:ascii="Times New Roman;Times;Serif" w:hAnsi="Times New Roman;Times;Serif"/>
                <w:sz w:val="20"/>
              </w:rPr>
              <w:t>We also generate revenue from fertility referral services in Kyrgyzstan. For the years ended December 31, 2025 and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NewGenIvf’s revenue was US$5,433,375 and US$4,726,433, and its net income/(loss) was US$(474,101) and US$9,728,723, respectively.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Competitive Strengths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the following competitive strengths have positioned it to meet growing opportunities in the fertility market across Asia-Pacific, and have differentiated it from its competitors: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Broad-range Assisted Reproductive Service (“ARS”) Provider Offering Comprehensive Fertility Treatment Services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focuses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Attractive Market with Significant Demand and Fast Growth</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operates in the ARS market in Asia Pacific, positioning it to leverage on an attractive market with compelling underlying growth potential.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agents and sub-agents throughout China and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Exclusively Owned and Licensed Technology for Family Planning and Access to Mature Fertility Technologies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MicroSort Technology:</w:t>
            </w:r>
            <w:r>
              <w:rPr>
                <w:rFonts w:ascii="Times New Roman;Times;Serif" w:hAnsi="Times New Roman;Times;Serif"/>
                <w:b w:val="false"/>
                <w:i w:val="false"/>
                <w:caps w:val="false"/>
                <w:smallCaps w:val="false"/>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Preimplantation Genetic Screening (“PGS”)</w:t>
            </w:r>
            <w:r>
              <w:rPr>
                <w:rFonts w:ascii="Times New Roman;Times;Serif" w:hAnsi="Times New Roman;Times;Serif"/>
                <w:b w:val="false"/>
                <w:i w:val="false"/>
                <w:caps w:val="false"/>
                <w:smallCaps w:val="false"/>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Next-Generation Sequencing (“NGS”)</w:t>
            </w:r>
            <w:r>
              <w:rPr>
                <w:rFonts w:ascii="Times New Roman;Times;Serif" w:hAnsi="Times New Roman;Times;Serif"/>
                <w:b w:val="false"/>
                <w:i w:val="false"/>
                <w:caps w:val="false"/>
                <w:smallCaps w:val="false"/>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Preimplantation Genetic Diagnosis (“PGD”)</w:t>
            </w:r>
            <w:r>
              <w:rPr>
                <w:rFonts w:ascii="Times New Roman;Times;Serif" w:hAnsi="Times New Roman;Times;Serif"/>
                <w:b w:val="false"/>
                <w:i w:val="false"/>
                <w:caps w:val="false"/>
                <w:smallCaps w:val="false"/>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Well Established Brand with Reliable Reputation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benefits from the favourable geographic locations of its clinics, especially its clinic in Thailand. Located in central Bangkok and situated in one of the biggest shopping malls of the city, the clinic is located in close proximity to various transportation facilities and popular tourist attractions, such as the Erawan Shrine. In this regard, NewGenIvf believes that its business has benefited from, and will continue to benefit from, the convenience of its locations.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its established client service history, accumulated experience as well as its continuous upgrades and development of treatment models, NewGenIvf believes that it will be able to better monetize its brands through its business.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Experienced Management Team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Strategies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vision is to provide tailored ARS solutions to fulfil patients’ dreams of becoming a parent. To realize this vision, NewGenIvf plans to adopt the following strategies: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Offer Broad Fertility Services for Fertility Tourists across Asia Pacific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Continue to Invest in Laboratories and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Increase Brand Awareness and Market Share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is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 ARS market in Asia-Pacific.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Expand Service Reach Through Acquisitions and Partnerships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28, 2025, NewGenIvf completed its acquisition of the MicroSort Business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Business (as defined in the Purchase Agreement) from GIVF for a cash consideration of $750,000 and a share consideration of 125,000 Class A Ordinary Shares (equivalent to 4.63 Class A Ordinary Shares adjusted for the Reverse Stock Splits) (“MicroSort Acquisition”).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15, 2026, NewGenIvf signed a strategic investment agreement (“PredicXion Agreement”) with PredicXion Group Limited (“PredicXion”) and Kong Yiu Cheung, PredicXion’s sole shareholder (the “Seller”) for the acquisition of up to a 10% equity interest in PredicXion (the “PredicXion Acquisition”) at a pre-money valuation of US$100,000,000. On May 28, 2026, the Company entered into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74,074 Class A Ordinary Shares adjusted for Reverse Stock Split) at a share price of US$1.50 per share (equivalent to US$13.5 per Class A Ordinary Shares adjusted for Reverse Stock Split). Pursuant to the First PredicXion SPA, the Company shall have an option exercisable at any time within three months after signing the First PredicXion SPA, to acquire an additional 8% of PredicXion’s fully diluted equity at the same pre-money valuation of US$100,000,000 (“Top-up Option”).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Company paid a cash deposit of US$300,000 upon signing of the Top-Up SPA, and shall pay the balance of $1,700,000 by August 30, 2026.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parties agreed that the aggregate cash deposit to be paid pursuant to the First PredicXion Top-Up SPA and the Second PredicXion Top-Up SPA shall be US$800,000, payable upon the signing of the Second PredicXion Top-Up SPA, and the balance of $1,000,000 of First PredicXion Top-Up SPA and the balance of $1,900,000 of the Second PredicXion Top-Up SPA shall be paid by the Company to the Seller by August 31, 2026 and September 30, 2026 respectively. On July 27, 2026, NewGenIvf entered into a definitive agreement to acquire an additional 3% equity interest in PredicXion at a US$250 million equity valuation. The aggregate consideration of US$7,500,000 consists of (i) US$3,750,000 payable in cash or in digital assets, and (ii) 2,500,000 Class A ordinary shares (equivalent to 833,333 Class A Ordinary Shares adjusted for Reverse Stock Split) of the Company at a share price of US$1.50 per share (US$4.5 per share after adjusted for the Reverse Stock Split on September 1, 2026). On August 27, 2026, a further payment of US$200,000 in digital assets were made to the Seller and the Seller agreed to extend the August 30, 2026 payment deadline to October 31, 2026, subject to the payment of an annual interest of 10% on the outstanding amount until it is paid. As of the date of this prospectus, the acquisition of 2% of the equity interest in PredicXion has been completed, and the total committed but not yet paid consideration for the acquisition of 11% of the equity interest in PredicXion is US$6,262,500.</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20" w:right="2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White Lion Transaction</w:t>
      </w:r>
    </w:p>
    <w:p>
      <w:pPr>
        <w:pStyle w:val="TextBody"/>
        <w:bidi w:val="0"/>
        <w:spacing w:before="0" w:after="0"/>
        <w:ind w:left="7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from time to time, up to One Hundred Million Dollars ($100,000,000) in aggregate gross purchase price of newly issued Class A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Subject to the satisfaction of certain customary conditions including, without limitation, the effectiveness of the registration statement registering the resale of the shares issuable pursuant to the White Lion Purchase Agreement, the Company’s right to sell shares to White Lion commenced on the date of the execution of White Lion Purchase Agreement and extends until (i) 36 months from the date of execution of the White Lion Purchase Agreement, or (ii) at the Company’s option, until 65 months from the date of the execution of the White Lion Purchase Agreement in the event that $100,000,000 of purchases under the White Lion Purchase Agreement have been completed prior to the 36 month anniversary of the Execution Date (the “Commitment Period”).</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the Commitment Period, subject to the terms and conditions of the White Lion Purchase Agreement, the Company may exercise its right to sell its Class A Ordinary Shares to White Lion. The Company may deliver a Regular Purchase Notice (as such term is defined in the White Lion Purchase Agreement), pursuant to which the Company can require White Lion to purchase up to a number of Ordinary Shares equal to the lesser of (i) $3,000,000 divided by the highest closing price of the Ordinary Shares over the most recent five (5) Business Days immediately preceding the Purchase Notice, or (ii) 40% of Average Daily Trading Volume (as such term is defined in the White Lion Purchase Agreement), subject to a maximum Investment Limit of $3,000,000.</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may also deliver a Rapid Purchase Notice (as such term is defined in the White Lion Purchase Agreement), pursuant to which the Company may require White Lion to purchase up to a number of Ordinary Shares equal to $3,000,000 divided by the highest closing price of the Ordinary Shares over the most recent five business days immediately prior to the receipt of the notice. White Lion may waive such limits under any notice at its discretion and purchase additional shares.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price to be paid by White Lion for any shares that the Company requires White Lion to purchase will depend on the type of purchase notice that the Company delivers. For shares being issued pursuant to a Regular Purchase Notice, the purchase price per share will be the lower of (i) the closing price of Ordinary Shares prior to the receipt of the applicable Purchase Notice, or (ii) the product of (a) the lowest daily VWAP of the Ordinary Shares during the Regular Purchase Valuation Period (as defined in the White Lion Purchase Agreement), and (b) 98%.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shares being issued pursuant to a Rapid Purchase Notice, the Company may opt for the purchase price per share to be (i) equal to the lowest traded price of the Ordinary Shares on the date that the notice is delivered, or (ii) 97% of the lowest traded price of the Ordinary Shares one hour following White Lion’s written confirmation of the acceptance of the Rapid Purchase Notice.</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 purchase notice shall result in White Lion beneficially owning (as calculated pursuant to Section 13(d) of the Securities Exchange Act of 1934, as amended, and Rule 13d-3 thereunder) more than 4.99% (subject to increase, in the sole discretion of White Lion, to 9.99%) of the number of Class A Ordinary Shares outstanding immediately prior to the issuance of Class A Ordinary Shares issuable pursuant to a purchase notice.</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has the right to terminate the White Lion Purchase Agreement in the event of a material breach of the White Lion Purchase Agreement by White Lion. The White Lion Purchase Agreement also automatically terminates upon the earlier of (i) the end of the Commitment Period and (ii) the date that the Company commences a voluntary bankruptcy proceeding, a custodian is appointed for the Company or for all or substantially all of its property, or the Company makes a general assignment for the benefit of its creditors.</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consideration for the commitments of White Lion, as described above, the Company agreed to issue to White Lion 700,000 Class A Ordinary Shares (“Commitment Shares” and equivalent to 1.3 Class A Ordinary Shares adjusted for the Reverse Stock Splits). Additional Class A Ordinary Shares may be issued to White Lion under certain conditions, including in connection with material transactions or upon achieving specified investment thresholds. The Commitment Shares will be fully earned by White Lion regardless of termination of the White Lion Purchase Agreement.</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White Lion Purchase Agreement and the RRA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31, 2025, the Company entered into a binding term sheet (“Term Sheet”) with White Lion setting out the principal terms and conditions for a Digital Assets Purchase Agreement. Pursuant to the Term Sheet, NewGen will have the option, but not the obligation, to sell to White Lion shares of common stock of the Company up to a total amount equivalent to the value of 600,000 Solana tokens over an initial period of 24 months. Upon a sale of shares, the Company will be compensated by White Lion in Solana tokens rather than cash.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Model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 focus on providing fertility treatments to fulfil couples and individuals’ dreams of raising children, NewGenIvf offers mainly two services, namely: (i) IVF treatment service, comprising traditional IVF and egg donation; and (ii) surrogacy and ancillary caring services. The following table sets forth NewGenIvf’s revenue by service offerings and as a percentage of total revenue for the periods indicated: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7890" w:type="dxa"/>
        <w:jc w:val="left"/>
        <w:tblInd w:w="0" w:type="dxa"/>
        <w:tblLayout w:type="fixed"/>
        <w:tblCellMar>
          <w:top w:w="0" w:type="dxa"/>
          <w:left w:w="0" w:type="dxa"/>
          <w:bottom w:w="0" w:type="dxa"/>
          <w:right w:w="0" w:type="dxa"/>
        </w:tblCellMar>
      </w:tblPr>
      <w:tblGrid>
        <w:gridCol w:w="3920"/>
        <w:gridCol w:w="60"/>
        <w:gridCol w:w="60"/>
        <w:gridCol w:w="980"/>
        <w:gridCol w:w="60"/>
        <w:gridCol w:w="60"/>
        <w:gridCol w:w="60"/>
        <w:gridCol w:w="560"/>
        <w:gridCol w:w="215"/>
        <w:gridCol w:w="60"/>
        <w:gridCol w:w="60"/>
        <w:gridCol w:w="980"/>
        <w:gridCol w:w="60"/>
        <w:gridCol w:w="60"/>
        <w:gridCol w:w="60"/>
        <w:gridCol w:w="560"/>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ind w:left="0" w:right="0" w:hanging="200"/>
              <w:jc w:val="left"/>
              <w:rPr/>
            </w:pPr>
            <w:r>
              <w:rPr/>
              <w:t> </w:t>
            </w:r>
          </w:p>
        </w:tc>
      </w:tr>
      <w:tr>
        <w:trPr/>
        <w:tc>
          <w:tcPr>
            <w:tcW w:w="3920" w:type="dxa"/>
            <w:tcBorders/>
            <w:shd w:fill="CCEEFF" w:val="clear"/>
            <w:vAlign w:val="center"/>
          </w:tcPr>
          <w:p>
            <w:pPr>
              <w:pStyle w:val="TableContents"/>
              <w:bidi w:val="0"/>
              <w:spacing w:before="0" w:after="283"/>
              <w:jc w:val="left"/>
              <w:rPr/>
            </w:pPr>
            <w:r>
              <w:rPr/>
              <w:t>IVF Treatment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920" w:type="dxa"/>
            <w:tcBorders/>
            <w:shd w:fill="FFFFFF" w:val="clear"/>
            <w:vAlign w:val="center"/>
          </w:tcPr>
          <w:p>
            <w:pPr>
              <w:pStyle w:val="TableContents"/>
              <w:bidi w:val="0"/>
              <w:spacing w:before="0" w:after="283"/>
              <w:jc w:val="left"/>
              <w:rPr/>
            </w:pPr>
            <w:r>
              <w:rPr/>
              <w:t>Surrogacy and Ancillary Caring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920" w:type="dxa"/>
            <w:tcBorders/>
            <w:shd w:fill="CCEEFF" w:val="clear"/>
            <w:vAlign w:val="center"/>
          </w:tcPr>
          <w:p>
            <w:pPr>
              <w:pStyle w:val="TableContents"/>
              <w:bidi w:val="0"/>
              <w:spacing w:before="0" w:after="283"/>
              <w:jc w:val="left"/>
              <w:rPr/>
            </w:pPr>
            <w:r>
              <w:rPr/>
              <w:t>Fertility referral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820,570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17.4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92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IVF Treatment Service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the revenue from NewGenIvf’s IVF treatments was US$5,433,375 and US$3,905,863, respectively, representing 100% and 82.6% of its total revenue in the corresponding periods.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IVF Treatments Process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drawing>
          <wp:inline distT="0" distB="0" distL="0" distR="0">
            <wp:extent cx="5943600" cy="2371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3717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final step is to transfer the embryos into the uterus using a catheter. Within eight days after the embryo transfer, a blood test can be conducted to detect whether the implantation was successful.</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MicroSort Technology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MicroSort technology is a preconception process developed by the Genetics &amp; IVF Institute, Inc (“GIVF”). that aims to improve the chances that the baby to be conceived will be of the desired gender and prevents certain gender-related hereditary diseases.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technology from Genetics &amp; IVF Institute, Inc. (“GIVF”).</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21, 2025, the Company entered into a Purchase Agreement with Genetics &amp; IVF Institute, Inc. (“Purchase Agreement”), pursuant to which the Company purchased all of the Assets (as defined in the Purchase Agreement) and IP Licenses (as defined in the Purchase Agreement) relating to the MicroSort Business (as defined in the Purchase Agreement) from Genetics &amp; IVF Institute, Inc. for a cash consideration of $750,000 and a share consideration of 125,000 Class A Ordinary Shares (“Share Consideration” and equivalent to 4.63 Class A Ordinary Shares adjusted by the Reverse Stock Splits). The Purchase Agreement is filed as Exhibit 10.30 in this registration statement. MicroSort Lab Services, LLC (“MicroSort”) was incorporated by Genetics &amp; IVF Institute, Inc. in January 2025 to hold all of the Assets (as defined in the Purchase Agreement) to be transferred to the Company at closing. The Company’s acquisition of MicroSort was completed on February 28, 2025, and the Share Consideration was issued to GIVF in May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flow chart below shows the process involved in MicroSort:</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029200" cy="2562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029200" cy="25622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Nodexus Technology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438775" cy="3105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38775" cy="310515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943600" cy="3114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11467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Preimplantation Genetic Screening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Next-Generation Sequencing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Preimplantation Genetic Diagnosis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Egg Freezing Service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Fertility Referral Services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generated revenue from fertility referral services in Kyrgyzstan. For the year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Network of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drawing>
          <wp:inline distT="0" distB="0" distL="0" distR="0">
            <wp:extent cx="5762625" cy="2905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2625" cy="2905125"/>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sets forth the approximate aggregate average gross floor area (“</w:t>
      </w:r>
      <w:r>
        <w:rPr>
          <w:rFonts w:ascii="Times New Roman;Times;Serif" w:hAnsi="Times New Roman;Times;Serif"/>
          <w:b/>
          <w:i w:val="false"/>
          <w:caps w:val="false"/>
          <w:smallCaps w:val="false"/>
          <w:sz w:val="20"/>
          <w:bdr w:val="single" w:sz="12" w:space="5" w:color="000000"/>
        </w:rPr>
        <w:t>G.F.A.</w:t>
      </w:r>
      <w:r>
        <w:rPr>
          <w:rFonts w:ascii="Times New Roman;Times;Serif" w:hAnsi="Times New Roman;Times;Serif"/>
          <w:b w:val="false"/>
          <w:i w:val="false"/>
          <w:caps w:val="false"/>
          <w:smallCaps w:val="false"/>
          <w:sz w:val="20"/>
          <w:bdr w:val="single" w:sz="12" w:space="5" w:color="000000"/>
        </w:rPr>
        <w:t>”) of each of NewGenIvf’s clinics that were under lease and actively used for client service as of December 31,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8364" w:type="dxa"/>
        <w:jc w:val="left"/>
        <w:tblInd w:w="0" w:type="dxa"/>
        <w:tblLayout w:type="fixed"/>
        <w:tblCellMar>
          <w:top w:w="0" w:type="dxa"/>
          <w:left w:w="0" w:type="dxa"/>
          <w:bottom w:w="0" w:type="dxa"/>
          <w:right w:w="0" w:type="dxa"/>
        </w:tblCellMar>
      </w:tblPr>
      <w:tblGrid>
        <w:gridCol w:w="6755"/>
        <w:gridCol w:w="60"/>
        <w:gridCol w:w="118"/>
        <w:gridCol w:w="1356"/>
        <w:gridCol w:w="75"/>
      </w:tblGrid>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75"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(Square Feet)</w:t>
            </w:r>
          </w:p>
        </w:tc>
        <w:tc>
          <w:tcPr>
            <w:tcW w:w="75"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b/>
                <w:i/>
              </w:rPr>
            </w:pPr>
            <w:r>
              <w:rPr>
                <w:b/>
                <w:i/>
              </w:rPr>
              <w:t>Thailand</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Co., Ltd. – PS Tower</w:t>
              <w:br/>
              <w:t>(“</w:t>
            </w:r>
            <w:r>
              <w:rPr>
                <w:rFonts w:ascii="Times New Roman;Times;Serif" w:hAnsi="Times New Roman;Times;Serif"/>
                <w:b/>
                <w:sz w:val="20"/>
              </w:rPr>
              <w:t>First Fertility PGS Center</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Co., Ltd – Erawan Hotel</w:t>
            </w:r>
            <w:r>
              <w:rPr>
                <w:rFonts w:ascii="Times New Roman;Times;Serif" w:hAnsi="Times New Roman;Times;Serif"/>
                <w:b/>
                <w:sz w:val="20"/>
              </w:rPr>
              <w:br/>
              <w:t>(“First Fertility PGS Center”) * closed upon expiration of lease on April 1, 2026</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2,615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b/>
                <w:i/>
              </w:rPr>
            </w:pPr>
            <w:r>
              <w:rPr>
                <w:b/>
                <w:i/>
              </w:rPr>
              <w:t>Cambodia</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First Fertility Phnom Penh Center </w:t>
              <w:br/>
              <w:t>(“</w:t>
            </w:r>
            <w:r>
              <w:rPr>
                <w:rFonts w:ascii="Times New Roman;Times;Serif" w:hAnsi="Times New Roman;Times;Serif"/>
                <w:b/>
                <w:sz w:val="20"/>
              </w:rPr>
              <w:t>Phnom Penh Center</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18,567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b/>
                <w:i/>
              </w:rPr>
            </w:pPr>
            <w:r>
              <w:rPr>
                <w:b/>
                <w:i/>
              </w:rPr>
              <w:t>Kyrgyzstan</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pPr>
            <w:r>
              <w:rPr/>
              <w:t xml:space="preserve">Bi Clinic Limited Liability Company </w:t>
              <w:br/>
              <w:t>(“Bi Clinic”)</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2,164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b/>
              </w:rPr>
            </w:pPr>
            <w:r>
              <w:rPr>
                <w:b/>
              </w:rPr>
              <w:t>Aggregate G.F.A</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38,096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245" w:type="dxa"/>
        <w:jc w:val="left"/>
        <w:tblInd w:w="0" w:type="dxa"/>
        <w:tblLayout w:type="fixed"/>
        <w:tblCellMar>
          <w:top w:w="0" w:type="dxa"/>
          <w:left w:w="0" w:type="dxa"/>
          <w:bottom w:w="0" w:type="dxa"/>
          <w:right w:w="0" w:type="dxa"/>
        </w:tblCellMar>
      </w:tblPr>
      <w:tblGrid>
        <w:gridCol w:w="2150"/>
        <w:gridCol w:w="60"/>
        <w:gridCol w:w="995"/>
        <w:gridCol w:w="60"/>
        <w:gridCol w:w="980"/>
      </w:tblGrid>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IVF </w:t>
              <w:br/>
              <w:t>Treatments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Surrogacy </w:t>
              <w:br/>
              <w:t>Services</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Fertility PGS Centers</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Cambodia</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Phnom Penh Center</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Kyrgyzstan</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 Clinic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765" w:type="dxa"/>
        <w:jc w:val="left"/>
        <w:tblInd w:w="0" w:type="dxa"/>
        <w:tblLayout w:type="fixed"/>
        <w:tblCellMar>
          <w:top w:w="0" w:type="dxa"/>
          <w:left w:w="0" w:type="dxa"/>
          <w:bottom w:w="0" w:type="dxa"/>
          <w:right w:w="0" w:type="dxa"/>
        </w:tblCellMar>
      </w:tblPr>
      <w:tblGrid>
        <w:gridCol w:w="170"/>
        <w:gridCol w:w="260"/>
        <w:gridCol w:w="335"/>
      </w:tblGrid>
      <w:tr>
        <w:trPr/>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75" w:type="dxa"/>
        <w:jc w:val="left"/>
        <w:tblInd w:w="0" w:type="dxa"/>
        <w:tblLayout w:type="fixed"/>
        <w:tblCellMar>
          <w:top w:w="0" w:type="dxa"/>
          <w:left w:w="0" w:type="dxa"/>
          <w:bottom w:w="0" w:type="dxa"/>
          <w:right w:w="0" w:type="dxa"/>
        </w:tblCellMar>
      </w:tblPr>
      <w:tblGrid>
        <w:gridCol w:w="140"/>
        <w:gridCol w:w="260"/>
        <w:gridCol w:w="27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sets forth a breakdown of revenue from services performed at NewGenIvf’s medical centers for the years indicated: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6085" w:type="dxa"/>
        <w:jc w:val="left"/>
        <w:tblInd w:w="0" w:type="dxa"/>
        <w:tblLayout w:type="fixed"/>
        <w:tblCellMar>
          <w:top w:w="0" w:type="dxa"/>
          <w:left w:w="0" w:type="dxa"/>
          <w:bottom w:w="0" w:type="dxa"/>
          <w:right w:w="0" w:type="dxa"/>
        </w:tblCellMar>
      </w:tblPr>
      <w:tblGrid>
        <w:gridCol w:w="2270"/>
        <w:gridCol w:w="60"/>
        <w:gridCol w:w="60"/>
        <w:gridCol w:w="980"/>
        <w:gridCol w:w="60"/>
        <w:gridCol w:w="60"/>
        <w:gridCol w:w="60"/>
        <w:gridCol w:w="560"/>
        <w:gridCol w:w="60"/>
        <w:gridCol w:w="60"/>
        <w:gridCol w:w="60"/>
        <w:gridCol w:w="980"/>
        <w:gridCol w:w="60"/>
        <w:gridCol w:w="60"/>
        <w:gridCol w:w="60"/>
        <w:gridCol w:w="560"/>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Thailand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2,175,253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43.3</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Cambodia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676,743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1,491,778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38.2</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third party clinics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3,905,863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Thailand Clinic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had two clinics in Thailand. 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the clinic in Thailand had 8 nurses, 8 full time lab physicians and embryologists, 22 administrative staff, totaling 38 staff members.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Cambodia Clinic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Clinic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Through Bi Clinic, NewGenIvf also provide fertility referral services by referring customers who are interested in surrogacy services which are legal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Bi Clinic had 1 full-time physician, 1 embryologist, 1 nurse, and 7 other staff.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Professionals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Licensed Physicians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employed five licensed physicians, among which one was based in Cambodia, one was based in Kyrgyzstan and the other three were based in Thailand. Most of NewGenIvf’s physicians had over 10 years of experience or above. The following table summarizes the number and types of such licensed physicians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965"/>
        <w:gridCol w:w="60"/>
        <w:gridCol w:w="1997"/>
        <w:gridCol w:w="60"/>
        <w:gridCol w:w="2350"/>
        <w:gridCol w:w="60"/>
        <w:gridCol w:w="2027"/>
        <w:gridCol w:w="60"/>
        <w:gridCol w:w="2626"/>
      </w:tblGrid>
      <w:tr>
        <w:trPr/>
        <w:tc>
          <w:tcPr>
            <w:tcW w:w="9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9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Licensed physician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Licenses and</w:t>
              <w:br/>
              <w:t>Approvals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2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Period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2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Issuing</w:t>
              <w:br/>
              <w:t>Authority</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Cambodia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Keut Serey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 on permission for beauty treatment operation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14, 2022 – December 14,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Ministry of Health of Cambodia</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Keatthisak Boonsimma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31801 Medical Practitioner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2005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Thai College of Obstetricians and Gynaecologists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22624/2554</w:t>
              <w:br/>
              <w:t>OB-Gyn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2014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40962/2563 Reproductive Medicine Diploma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2020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Anurach Kulvanitchaiyanunt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Practice License No. 11755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 2025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Wiphawee Luangtangvarodom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38347/2562</w:t>
              <w:br/>
              <w:t>OB-Gyn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2019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43217/2564 Reproductive Medicine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2021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48510 Medical Practitioner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2014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Kyrgyzstan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Myrzalymbekova 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№CO170001836 Medical Certificate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2017 -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Medical Council of Kyrgyzstan </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№0002953 Medical Practitioner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April 2018 -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№11373\2565 Medical Certificate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August 2024 - Indefinite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№0003447 Medical Certificate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April 2023 -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Customers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years ended December 31, 2024 and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Sales and Marketing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NewGenIvf promoted brand awareness through its sales teams and, in many cases, through cooperating with third-party agencies and partners.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Supply and Procurement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procurement is mainly for medications, laboratory media and reagents, laboratory consumables, and blood test reagents. As of December 31, 2024 and 2025, there was no single supplier individually contributed more than 10% of the Group’s trade payable respectively. For both the years ended December 31, 2024 and 2025, no vendor contributed more than 10% of total direct cost of the Group. NewGenIvf’s procurement team is experienced in selecting cost-effective supplies as well as selecting reliable suppliers. NewGenIvf’s major suppliers are pharmaceutical companies.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Competition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it is a long-standing provider of ARS in Asia Pacific that competes primarily based on the following competitive factors: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and comprehensiveness of the solutions;</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that is effective and achieves desired outcomes;</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experience, including dedicated patient education, clinical guidance and emotional support; and</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a network of high-quality fertility specialists.</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NewGenIvf may introduce new ancillary services and other companies may introduce similar fertility services as NewGenIvf’s, NewGenIvf may become subject to additional competition.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in addition to its clinics, NewGenIvf leased one property in Hong Kong with an aggregate square footage of approximately 8,000 for its administration support offices. NewGenIvf also operates its medical facilities as described above in “Network of Facilities” above. NewGenIvf believes that its existing facilities are suitable and adequate to meet its current needs.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Organizational Structure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is a list of our principal subsidiaries and consolidated affiliated entities as of the date of this Report: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5967"/>
        <w:gridCol w:w="60"/>
        <w:gridCol w:w="1345"/>
        <w:gridCol w:w="60"/>
        <w:gridCol w:w="2773"/>
      </w:tblGrid>
      <w:tr>
        <w:trPr/>
        <w:tc>
          <w:tcPr>
            <w:tcW w:w="5967"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Formation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16,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MicroSort Lab Services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 February 28,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NewGenDigital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June 16,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FFPGS (HK)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December 19,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NewGenProperty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September 18,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NewGenBiz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13,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NewGenOman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February 2,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3"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Nodexus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July 16,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3"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caps w:val="false"/>
                <w:smallCaps w:val="false"/>
              </w:rPr>
            </w:pPr>
            <w:r>
              <w:rPr>
                <w:rFonts w:ascii="Times New Roman;Times;Serif" w:hAnsi="Times New Roman;Times;Serif"/>
                <w:b/>
                <w:i w:val="false"/>
                <w:caps w:val="false"/>
                <w:smallCaps w:val="false"/>
                <w:sz w:val="20"/>
              </w:rPr>
              <w:t xml:space="preserve">Artsy Angel Charitable Foundation Limited </w:t>
            </w:r>
            <w:r>
              <w:rPr>
                <w:rFonts w:eastAsia="Times New Roman;Times;Serif"/>
                <w:b/>
                <w:i w:val="false"/>
                <w:caps w:val="false"/>
                <w:smallCaps w:val="false"/>
                <w:sz w:val="20"/>
              </w:rPr>
              <w:t xml:space="preserve">藝術天使慈善基金有限公司 </w:t>
            </w:r>
            <w:r>
              <w:rPr>
                <w:rFonts w:ascii="Times New Roman;Times;Serif" w:hAnsi="Times New Roman;Times;Serif"/>
                <w:b/>
                <w:i w:val="false"/>
                <w:caps w:val="false"/>
                <w:smallCaps w:val="false"/>
                <w:sz w:val="20"/>
              </w:rPr>
              <w:t>(formally known as Alfred Siu Charitable Foundation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February 27,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945"/>
        <w:gridCol w:w="60"/>
        <w:gridCol w:w="1928"/>
        <w:gridCol w:w="60"/>
        <w:gridCol w:w="5212"/>
      </w:tblGrid>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 Clinic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Kyrgyzstan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 December 17,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Fertility PGS Center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Indirect subsidiary, 74% owned by Well Image Limited HK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March 6, 2014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directly and indirectly</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Fertility Phnom Penh Ltd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Kingdom of Cambodia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August 10, 2015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 Holdings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48.99% owned by Well Image Limited HK</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21, 2015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 Image Limited HK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July 11, 2008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HyFi Innovations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NewGenDigital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October 20,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subsidiaries were disposed of:</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5223"/>
        <w:gridCol w:w="60"/>
        <w:gridCol w:w="530"/>
        <w:gridCol w:w="60"/>
        <w:gridCol w:w="4332"/>
      </w:tblGrid>
      <w:tr>
        <w:trPr/>
        <w:tc>
          <w:tcPr>
            <w:tcW w:w="5223" w:type="dxa"/>
            <w:tcBorders/>
            <w:vAlign w:val="center"/>
          </w:tcPr>
          <w:p>
            <w:pPr>
              <w:pStyle w:val="TableContents"/>
              <w:bidi w:val="0"/>
              <w:spacing w:before="0" w:after="0"/>
              <w:ind w:left="0" w:right="0" w:hanging="0"/>
              <w:jc w:val="left"/>
              <w:rPr>
                <w:caps w:val="false"/>
                <w:smallCaps w:val="false"/>
              </w:rPr>
            </w:pPr>
            <w:r>
              <w:rPr>
                <w:rFonts w:eastAsia="Times New Roman;Times;Serif"/>
                <w:b/>
                <w:i w:val="false"/>
                <w:caps w:val="false"/>
                <w:smallCaps w:val="false"/>
                <w:sz w:val="20"/>
              </w:rPr>
              <w:t>深圳前海豐泰仁匯健康科技有限公司</w:t>
            </w:r>
            <w:r>
              <w:rPr>
                <w:rFonts w:ascii="Times New Roman;Times;Serif" w:hAnsi="Times New Roman;Times;Serif"/>
                <w:b/>
                <w:i w:val="false"/>
                <w:caps w:val="false"/>
                <w:smallCaps w:val="false"/>
                <w:sz w:val="20"/>
              </w:rPr>
              <w:br/>
              <w:t>(Shenzhen Qianhai Fengtai Renhui Health Technology Co., Ltd)</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Disposed of on July 29, 2025</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sz w:val="20"/>
              </w:rPr>
            </w:pPr>
            <w:r>
              <w:rPr>
                <w:b/>
                <w:sz w:val="20"/>
              </w:rPr>
              <w:t>China</w:t>
            </w:r>
          </w:p>
        </w:tc>
        <w:tc>
          <w:tcPr>
            <w:tcW w:w="60" w:type="dxa"/>
            <w:tcBorders/>
            <w:vAlign w:val="center"/>
          </w:tcPr>
          <w:p>
            <w:pPr>
              <w:pStyle w:val="TableContents"/>
              <w:bidi w:val="0"/>
              <w:spacing w:before="0" w:after="283"/>
              <w:jc w:val="left"/>
              <w:rPr/>
            </w:pPr>
            <w:r>
              <w:rPr/>
              <w:t> </w:t>
            </w:r>
          </w:p>
        </w:tc>
        <w:tc>
          <w:tcPr>
            <w:tcW w:w="4332" w:type="dxa"/>
            <w:tcBorders/>
            <w:vAlign w:val="center"/>
          </w:tcPr>
          <w:p>
            <w:pPr>
              <w:pStyle w:val="TableContents"/>
              <w:bidi w:val="0"/>
              <w:spacing w:before="0" w:after="283"/>
              <w:jc w:val="center"/>
              <w:rPr>
                <w:b/>
                <w:sz w:val="20"/>
              </w:rPr>
            </w:pPr>
            <w:r>
              <w:rPr>
                <w:b/>
                <w:sz w:val="20"/>
              </w:rPr>
              <w:t>Indirect subsidiary, wholly owned by FFPGS (HK) Ltd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Property, Plants and Equipment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leases the premises for its principal executive office located at 36/39-36/40, 13</w:t>
      </w:r>
      <w:r>
        <w:rPr>
          <w:rFonts w:ascii="Times New Roman;Times;Serif" w:hAnsi="Times New Roman;Times;Serif"/>
          <w:b w:val="false"/>
          <w:i w:val="false"/>
          <w:caps w:val="false"/>
          <w:smallCaps w:val="false"/>
          <w:position w:val="7"/>
          <w:sz w:val="16"/>
          <w:sz w:val="20"/>
          <w:bdr w:val="single" w:sz="12" w:space="5" w:color="000000"/>
        </w:rPr>
        <w:t>th</w:t>
      </w:r>
      <w:r>
        <w:rPr>
          <w:rFonts w:ascii="Times New Roman;Times;Serif" w:hAnsi="Times New Roman;Times;Serif"/>
          <w:b w:val="false"/>
          <w:i w:val="false"/>
          <w:caps w:val="false"/>
          <w:smallCaps w:val="false"/>
          <w:sz w:val="20"/>
          <w:bdr w:val="single" w:sz="12" w:space="5" w:color="000000"/>
        </w:rPr>
        <w:t xml:space="preserve"> Floor, PS Tower, Sukhumvit 21 Road (Asoke) Khlong Toei Nuea Sub-district, Watthana District, Bangkok 10110, Thailand. The Company leases one property in Hong Kong with an aggregate square footage of approximately 8,000 for its administration support offices.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also leases several premises to operate its clinics in various countries. The Company operates the Bi Clinic Limited Liability Company starting from December 17, 2024 in Kyrgyzstan, which premises have an aggregate area of 2,164 square feet. In Cambodia, the Company operates the First Fertility Phnom Penh Center, which premises have an aggregate area of 18,567 square feet. In Thailand, the Company operates a clinic named First Fertility PGS Center Co., Ltd., which premises have an aggregate area of 14,750 square feet.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also leases premises located in Thailand for its Erawan Consultation Clinic clinic, with an aggregate area of approximately 2,615 square feet. This property has been used as the Company’s second clinic in Thailand since early 2025 but will stop operating in March 2026 as the landlord has decided to lease it to other parties.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Nasdaq Deficiency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shares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24, 2024, the Company received a deficiency letter (“MVLS Deficiency Letter”) from the Staff of Nasdaq notifying the Company that, for the preceding 35 consecutive business days, the Class A Shares did not meet the minimum $50,000,000 Market Value of Listed Securities requirement (“MVLS Requirement”) for continued listing on Nasdaq pursuant to Nasdaq Listing Rules 5450(b)(2)(A) (the “MVLS Requirement,” and the Company’s non-compliance with this requirement, the “MVLS Deficiency”).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 </w:t>
      </w:r>
    </w:p>
    <w:p>
      <w:pPr>
        <w:pStyle w:val="TextBody"/>
        <w:bidi w:val="0"/>
        <w:spacing w:before="0" w:after="0"/>
        <w:ind w:left="72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24, 2024, the Company received a deficiency letter (“MVPHS Deficiency Letter”) from the Staff of Nasdaq notifying the Company that, for the preceding 35 consecutive business days, the Company’s Class A Ordinary Shares did not meet the minimum $15,000,000 Market Value of Publicly Held Shares (“MVPHS”) requirement for continued listing on Nasdaq pursuant to Nasdaq Listing Rules 5450(b)(2)(C) (the “MVPHS Requirement,” and the Company’s non-compliance with this requirement, the “MVPHS Deficiency”).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the Company has effected a number of reverse stock splits of its issued and unissued shares. 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On September 1, 2026, the Company effected a 1-for-3 reverse stock split of its issued and unissued shares.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Capitalization and Indebtedness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Below is the Company’s capitalization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5970" w:type="dxa"/>
        <w:jc w:val="left"/>
        <w:tblInd w:w="0" w:type="dxa"/>
        <w:tblLayout w:type="fixed"/>
        <w:tblCellMar>
          <w:top w:w="0" w:type="dxa"/>
          <w:left w:w="0" w:type="dxa"/>
          <w:bottom w:w="0" w:type="dxa"/>
          <w:right w:w="0" w:type="dxa"/>
        </w:tblCellMar>
      </w:tblPr>
      <w:tblGrid>
        <w:gridCol w:w="4640"/>
        <w:gridCol w:w="60"/>
        <w:gridCol w:w="60"/>
        <w:gridCol w:w="1100"/>
        <w:gridCol w:w="110"/>
      </w:tblGrid>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758,621</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17,881,176</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8,893,414</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110" w:type="dxa"/>
            <w:tcBorders/>
            <w:shd w:fill="FFFFFF" w:val="clear"/>
            <w:vAlign w:val="center"/>
          </w:tcPr>
          <w:p>
            <w:pPr>
              <w:pStyle w:val="TableContents"/>
              <w:bidi w:val="0"/>
              <w:spacing w:before="0" w:after="283"/>
              <w:jc w:val="left"/>
              <w:rPr/>
            </w:pPr>
            <w:r>
              <w:rPr/>
              <w:t>)</w:t>
            </w:r>
          </w:p>
        </w:tc>
      </w:tr>
      <w:tr>
        <w:trPr/>
        <w:tc>
          <w:tcPr>
            <w:tcW w:w="4640"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26,631,519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4074" w:type="dxa"/>
        <w:jc w:val="left"/>
        <w:tblInd w:w="0" w:type="dxa"/>
        <w:tblLayout w:type="fixed"/>
        <w:tblCellMar>
          <w:top w:w="0" w:type="dxa"/>
          <w:left w:w="0" w:type="dxa"/>
          <w:bottom w:w="0" w:type="dxa"/>
          <w:right w:w="0" w:type="dxa"/>
        </w:tblCellMar>
      </w:tblPr>
      <w:tblGrid>
        <w:gridCol w:w="2465"/>
        <w:gridCol w:w="60"/>
        <w:gridCol w:w="76"/>
        <w:gridCol w:w="1398"/>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Total Net Book Value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25,986,693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Total Share Outstanding*</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26,736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Statements of indebtedness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4750" w:type="dxa"/>
        <w:jc w:val="left"/>
        <w:tblInd w:w="0" w:type="dxa"/>
        <w:tblLayout w:type="fixed"/>
        <w:tblCellMar>
          <w:top w:w="0" w:type="dxa"/>
          <w:left w:w="0" w:type="dxa"/>
          <w:bottom w:w="0" w:type="dxa"/>
          <w:right w:w="0" w:type="dxa"/>
        </w:tblCellMar>
      </w:tblPr>
      <w:tblGrid>
        <w:gridCol w:w="3575"/>
        <w:gridCol w:w="60"/>
        <w:gridCol w:w="60"/>
        <w:gridCol w:w="980"/>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Account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779,280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711,892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111,981</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238,105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256,056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2,359,930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Lease liabilities, 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272,359</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4,097,366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4,369,725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Indebtedness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6,729,655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Comprehensive Income and Earnings Per Share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information is presented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8919" w:type="dxa"/>
        <w:jc w:val="left"/>
        <w:tblInd w:w="0" w:type="dxa"/>
        <w:tblLayout w:type="fixed"/>
        <w:tblCellMar>
          <w:top w:w="0" w:type="dxa"/>
          <w:left w:w="0" w:type="dxa"/>
          <w:bottom w:w="0" w:type="dxa"/>
          <w:right w:w="0" w:type="dxa"/>
        </w:tblCellMar>
      </w:tblPr>
      <w:tblGrid>
        <w:gridCol w:w="6665"/>
        <w:gridCol w:w="60"/>
        <w:gridCol w:w="264"/>
        <w:gridCol w:w="1855"/>
        <w:gridCol w:w="75"/>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center"/>
              <w:rPr>
                <w:b/>
              </w:rPr>
            </w:pPr>
            <w:r>
              <w:rPr>
                <w:b/>
              </w:rPr>
              <w:t>Existing shareholder</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31/12/2025</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Total net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855" w:type="dxa"/>
            <w:tcBorders/>
            <w:shd w:fill="CCEEFF" w:val="clear"/>
            <w:vAlign w:val="center"/>
          </w:tcPr>
          <w:p>
            <w:pPr>
              <w:pStyle w:val="TableContents"/>
              <w:bidi w:val="0"/>
              <w:spacing w:before="0" w:after="283"/>
              <w:jc w:val="right"/>
              <w:rPr/>
            </w:pPr>
            <w:r>
              <w:rPr/>
              <w:t>9,879,408</w:t>
            </w:r>
          </w:p>
        </w:tc>
        <w:tc>
          <w:tcPr>
            <w:tcW w:w="7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1,932.59</w:t>
            </w:r>
          </w:p>
        </w:tc>
        <w:tc>
          <w:tcPr>
            <w:tcW w:w="7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27.36</w:t>
            </w:r>
          </w:p>
        </w:tc>
        <w:tc>
          <w:tcPr>
            <w:tcW w:w="7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5,112</w:t>
            </w:r>
          </w:p>
        </w:tc>
        <w:tc>
          <w:tcPr>
            <w:tcW w:w="7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361,113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“Foreign Private Issuer”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subject to the information reporting requirements of the Exchange Act that are applicable to “foreign private issuers,” and under those requirements, we file reports with the SEC. As a foreign private issuer, we are not subject to the same requirements that are imposed upon U.S. domestic issuers by the SEC. Under the Exchange Act, we are subject to reporting obligations that, in certain respects, are less detailed and less frequent than those of U.S. domestic reporting companies. For example, we are not required to issue quarterly reports, proxy statements that comply with the requirements applicable to U.S. domestic reporting companies or individual executive compensation information that is as detailed as that required of U.S. domestic reporting companies. We also have four months after the end of each fiscal year to file our annual report with the SEC and are not required to file current reports as frequently or promptly as U.S. domestic reporting companies. Our officers, directors and principal shareholders are exempt from the requirements to report transactions in our equity securities and from the short-swing profit liability provisions contained in Section 16 of the Exchange Act. As a foreign private issuer, we are not subject to the requirements of Regulation FD (Fair Disclosure) promulgated under the Exchange Act. In addition, as a foreign private issuer, we are permitted to follow certain home country corporate governance practices instead of those otherwise required under the rules of Nasdaq for domestic U.S. issuers and are not required to be compliant with all Nasdaq rules as of the date of our initial listing on Nasdaq as would domestic U.S. issuers. These exemptions and leniencies will reduce the frequency and scope of information and protections available to you in comparison to those applicable to a U.S. domestic reporting company. We intend to take advantage of the exemptions available to us as a foreign private issuer.</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Summary of Risk Factors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Investing in our Class A Ordinary Shares involves significant risks. You should carefully consider all of the information in this prospectus before making an investment in our shares. Below please find a summary of the principal risks we face, organized under relevant headings. These risks are discussed more fully in the section titled “</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 and in Part I, Item 3, D. Risk Factors in our most recent Annual Report on Form 20-F.</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NewGenIvf’s Business and Industry</w:t>
      </w:r>
      <w:r>
        <w:rPr>
          <w:rFonts w:ascii="Times New Roman;Times;Serif" w:hAnsi="Times New Roman;Times;Serif"/>
          <w:b w:val="false"/>
          <w:i w:val="false"/>
          <w:caps w:val="false"/>
          <w:smallCaps w:val="false"/>
          <w:sz w:val="20"/>
          <w:bdr w:val="single" w:sz="12" w:space="5" w:color="000000"/>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continue operating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fertility market in which NewGenIvf participates is competitive, and if NewGenIvf does not continue to compete effectively, its results of operations could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 limited operating history with its current platform of solutions, which makes it difficult to predict its future prospects, financial performance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undergoing a significant and rapid business transformation, including expansion into real estate development in the UAE, which involves substantial risks and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new strategic initiatives may place significant strain on the Company’s management, and operational resources.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real estate development projects are subject to numerous risks that could prevent the Company from realizing the projected returns.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acquired assets, such as intellectual property, is complex and subjective, and may not be realized.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marketing efforts depend significantly on its ability to receive positive references from its existing clients.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is unable to attract new clients, its business, financial condition and results of operations would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depends on its ability to maintain its existing client demographics. Any failure to do so would harm its business, financial condition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offer high-quality support, its reputation could suffer.</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failure to effectively develop and expand its marketing and sales capabilities could harm its ability to increase its client base and achieve broader market acceptance of solutions NewGenIvf provides.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experience net losses and may not sustain profitability in the future.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future revenue may not grow at the rates it historically has, or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quarterly and annual results may fluctuate significantly and may not fully reflect the underlying performance of NewGenIvf’s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estimates and assumptions NewGenIvf uses to determine the size of the target markets for its services are inaccurate, its future growth rate may be impacted and its business would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be able to successfully manage its growth, and if NewGenIvf is not able to grow efficiently, its business, financial condition and results of operations could be harmed.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NewGenIvf’s new solutions and services are not adopted by its clients, or if it fails to innovate and develop new offerings that are adopted by its clients, its revenue and results of operations may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adapt and respond effectively to the changing medical landscape, changing regulations, changing client needs, requirements or preferences, its offerings may become less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maintain and enhance its brand, its ability to expand its client base will be impaired and its business, financial condition and results of operations may suffer.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retain and motivate members of its management team or other key employees, or fails to attract additional qualified personnel to support its operations, its business and future growth prospects could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successfully market and sell its services and products in Asia-Pacific markets, NewGenIvf must address many international business risks with which NewGenIvf has limited experience.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reliant on revenue from international clients.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exchange rates could have a material and adverse effect on NewGenIvf’s results of operations and the value of your investment.</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control of currency conversion may limit NewGenIvf’s ability to utilize NewGenIvf’s net revenue effectively and affect the value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NewGenIvf’s assets and operations are located in Thailand, Cambodia and Kyrgyzstan and they are subject to economic, legal and regulatory uncertainties in such countries.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terms of future financing arrangements could result in default, which could have an adverse effect on NewGenIvf’s cash flow and liquidity.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requires a significant amount of capital to fund its operations and growth. If NewGenIvf cannot obtain sufficient capital on acceptable terms, its business, financial condition, and prospects may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NewGenIvf’s Solana token purchase agreement with White Lion is novel and subject to extreme volatility and regulatory scrutiny.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defects in certain leased property interests and failure to register certain lease agreements may materially and adversely affect NewGenIvf’s business, financial condition, results of operations, and prospects.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currently has no insurance coverage for its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be successful in adapting to technological developments, which may affect its business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comply with the filing deadlines for reports that we file pursuant to the Exchange Act, and our failure to timely file such reports may have material adverse consequences on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may not be fully implemented and may not enhance shareholder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continue to meet the listing requirements of Nasdaq, our Class A Ordinary Shares will be delisted.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NewGenIvf’s Relationships with Third Parties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facilities and professionals in NewGenIvf’s network could become the subject of litigation, allegations and other claims, and NewGenIvf is not insured against these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loses its relationship with one or more key pharmaceutical manufacturers, its business and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engaged in transactions with related parties, and such transactions present potential conflicts of interest that could have an adverse effect on its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be subject to claims and allegations relating to intellectual property and other causes.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data and information in this prospectus relied on by NewGenIvf were obtained from third-party data and polls. These metrics were not independently verified by NewGenIvf and may not be accurate.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dependent on a single joint venture partner for our real estate development project in the UAE and are subject to the legal, regulatory, and economic risks of operating in a new jurisdiction.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Government Regulation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or offering of gender selection services in certain jurisdictions in which NewGenIvf operates could expose NewGenIvf and its directors and executive officers to significant legal and regulatory risks, including potential penalties.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NewGenIvf’s effective tax rate or tax liability may have an adverse effect on its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reported financial results may be adversely affected by changes in accounting principles generally accepted in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NewGenIvf’s estimates or judgments relating to its critical accounting policies prove to be incorrect, its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anti-corruption, anti-bribery, anti-money laundering, and similar laws, and non-compliance with such laws can subject it to criminal or civil liability and harm its business, financial condition and results of operations.</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this Offering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or may decline regardless of our operating performance, and you may not be able to resell your shares at or above the public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the Class A Ordinary Shares may not be maintained and the trading price for the Class A Ordinary Shares may fluctuate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shares of the Class A Ordinary Shares has been and is likely to continue to be highly volatile, and purchasers of the Class A Ordinary Shares could incur substantial losses.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the proceeds of this offering in ways with which you may not agree.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Recent Developments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2025 and 2026 Debt Financing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 2025, the Company entered into a new Securities Purchase Agreement (“2025 Securities Purchase Agreement”) with certain investors named therein (collectively, the “Buyers”), pursuant to which, amongst other things: (i) the Company agreed to sell, at an initial closing (and such initial closing, the “Initial Closing”) a senior convertible note (the “New CB Initial Note”) in the aggregate original principal amount not exceeding $3,200,000, convertible into Class A Ordinary Shares pursuant to its terms; and (ii) the Company may require each Buyer (or each Buyer may require the Company, as applicable) to participate in the sale of one or more additional convertible notes (which aggregate original principal amount for all additional convertible notes shall not exceed $25,600,000) (the “New CB Additional Notes”).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 2025 and July 16, 2025, the Company consummated the fourth and fifth tranche of its debt financing under the terms of its existing Securities Purchase Agreement with the investor, At the closing of the fourth and fifth tranche, the Company sold to the investor a senior convertible note in the principal amount of $2,000,000 each. The Note bears an interest rate of 14.75% per annum and may be adjustable from time to time pursuant to its terms.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 The fourth tranche of $207,000 was received on May 4, 2026.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12, 2025, the Company entered into a Securities Purchase Agreement with Labrys Fund II, L.P. (“Labrys SPA”), pursuant to which, amongst other things, the Company agreed to sell a convertible note in the aggregate principal amount of $250,000, convertible into Class A Ordinary Shares pursuant to its terms and the funding of $250,000 was received on November 15,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 and the funding of $50,000 was received on February 2,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18, 2026, the Company entered into a Securities Purchase Agreement with CFI Capital LLC, pursuant to which, amongst other things, the Company agreed to sell a convertible note in the aggregate principal amount of $220,000, convertible into Class A Ordinary Shares pursuant to its terms and the funding of $200,000 was received on March 23,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25, 2026, the Company entered into a Securities Purchase Agreement with FirstFire Global Opportunities Fund LLC, pursuant to which, amongst other things, the Company agreed to sell a convertible note in the aggregate principal amount of $220,000, convertible into Class A Ordinary Shares pursuant to its terms and the funding of $220,000 was received on or about March 31,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30, 2026, the Company entered into a Securities Purchase Agreement with Silvercrest Hybrid Capital LLC, pursuant to which, amongst other things, the Company agreed to sell a convertible note in the aggregate principal amount of $200,000, convertible into Class A Ordinary Shares pursuant to its terms and the funding of $220,000 was received on March 31,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14, 2026, the Company entered into a Securities Purchase Agreement with Pacific Pier Capital II, LP, pursuant to which, amongst other things, the Company agreed to sell a convertible note in the aggregate principal amount of $200,000, convertible into Class A Ordinary Shares pursuant to its terms and the funding of $200,000 was received on April 18,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20, 2026, the Company entered into a Securities Purchase Agreement with Labrys Fund II, L.P., pursuant to which, amongst other things, the Company agreed to sell a convertible note in the aggregate principal amount of $250,000, convertible into Class A Ordinary Shares pursuant to its terms and the funding of $250,000 was received on April 20,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27, 2026, the Company entered into a Securities Purchase Agreement with White Lion Capital LLC, pursuant to which, amongst other things, the Company agreed to sell a convertible note in the aggregate principal amount of $200,000, convertible into Class A Ordinary Shares pursuant to its terms and the funding of $200,000 was received on April 30,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4, 2026, the Company entered into a Securities Purchase Agreement with Vanquish Funding Group, Inc., pursuant to which, amongst other things, (i) the Company agreed to sell a convertible note in the aggregate principal amount of $207,000, convertible into Class A Ordinary Shares pursuant to its terms and the funding of $207,000 was received on May 4,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26, 2026, the Company entered into a Securities Purchase Agreement with White Lion Capital LLC, pursuant to which, amongst other things, the Company agreed to sell a convertible note in the aggregate principal amount of $166,667, convertible into Class A Ordinary Shares pursuant to its terms and the funding of $166,667 was received on May 26,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 2026, the Company entered into a Securities Purchase Agreement with Vanquish Funding Group, Inc., pursuant to which, amongst other things, (i) the Company agreed to sell a convertible note in the aggregate principal amount of $132,000, convertible into Class A Ordinary Shares pursuant to its terms and the funding of $132,000 was received on June 5,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15, 2026, the Company entered into a repurchase and forbearance agreement (“Repurchase and Forbearance Agreement”) with JAK Opportunities VI LLC (“JAK”), pursuant to which the Company agreed to repurchase certain outstanding convertible notes, and warrants previously issued to the Investor, and to make certain forbearance payments in scheduled instalments to JAK, in consideration for JAK’s forbearance from converting outstanding convertible notes, exercising outstanding warrants and effectuating additional closings under existing securities purchase agreements. The Repurchase and Forbearance Agreement was filed as Exhibit 10.1 of the Company’s current report on Form 6-K dated June 16, 2026 and is incorporated by reference herein.</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22, 2026, the Company entered into a Securities Purchase Agreement with White Lion Capital LLC, pursuant to which, amongst other things, the Company agreed to sell a convertible note in the aggregate principal amount of $111,111, convertible into Class A Ordinary Shares pursuant to its terms.</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10, 2026, the Company entered into a Securities Purchase Agreement with Vanquish Funding Group, pursuant to which, amongst other things, the Company agreed to sell a convertible note in the aggregate principal amount of $100,000, convertible into Class A Ordinary Shares pursuant to its terms.</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11, 2026, the Company entered into an Amendment and Exchange Agreement (the “Exchange Agreement”) with JAK, pursuant to which on August 14, 2026, the Company issued to JAK a new senior convertible note in the aggregate principal amount of $7,105,468.75 (the “New Note”) in exchange for the existing outstanding convertible notes and related warrants previously issued by the Company to JAK. In connection with the Exchange Agreement, JAK also entered into a Leak-Out Agreement with the Company (the “Leak-Out Agreement”) restricting JAK’s sales of the Company’s Class A ordinary shares issuable upon conversion of the New Note. The Exchange Agreement, New Note and Leak-Out Agreement were filed as Exhibit 10.1, 10.2 and 10.3, respectively, of the Company’s current report on Form 6-K dated August 17, 2026 and are incorporated by reference herein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17, 2026, the Company entered into a Securities Purchase Agreement with Hinterland Partners LLC, pursuant to which, amongst other things, the Company agreed to sell a convertible note in the aggregate principal amount of $250,000, convertible into Class A Ordinary Shares pursuant to its terms.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Strategic Investments in Digital Assets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19, 2024, the Company announced its engagement of OSL Digital Securities (“OSL”), a leading regulated digital asset platform in Hong Kong, and its deployment of US$1 million to establish the Company’s digital asset portfolio. On June 2, 2025, the Company announced plans to invest up to US$30 million in staking the digital asset SOL (the native token of the Solana network) and funding such investment using its existing credit facilities. As of the date of this prospectus, the Company does not have any SOL holdings, as all SOL tokens were used as consideration for the acquisition of its equity interest in PredicXion. The Company does not intend to invest further capital into SOL.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31, 2025, the Company entered into a binding term sheet with White Lion Capital LLC (“White Lion”) setting out the principal terms and conditions for a Digital Assets Purchase Agreement with a commitment amount of 600,000 Solana (SOL) tokens (“Term Sheet”). Pursuant to the Term Sheet, the Company will have the option, but not the obligation, to sell to White Lion shares of common stock of the Company over a 24-month period up to a total amount equivalent to the value of 600,000 Solana tokens. Upon a sale of shares, the Company will be compensated by White Lion in Solana tokens rather than cash. The transactions contemplated by the Term Sheet are subject to entry into definitive agreements and are subject to certain conditions, including completion of due diligence, and the filing of a registration statement immediately upon execution of the definitive agreements.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Strategic Investment in United Arab Emirates (“UAE”) Real Estate Market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133975" cy="2981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133975" cy="29813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21, 2025, NewGenDigital Limited (“NewGenDigital”), a wholly owned subsidiary of the Company, signed a Memorandum of Understanding (the “MOU”) with BNW Real Estate Development LLC (“BNW” or the “Developer”), a prominent real estate developer in Ras Al Khaimah and Dubai, UAE. Per the terms of the MOU, NewGenDigital and BNW will endeavour to negotiate and execute a definitive Joint Venture Agreement (“JVA”) to form a special-purpose vehicle (“SPV”) with the intention of developing a plot of land in Ras Al Khaimah’s Beach District, UAE (the “Plot).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8, 2025, NewGenProperty Limited (“NewGenProperty”), a wholly owned subsidiary of the Company, entered into a development joint venture agreement (“DJVA”) with BNW to develop the Plot. Under the terms of the DVJA, NewGenProperty shall hold 60% of the joint venture, and be responsible for funding 36% of the purchase price of the Plot to the Beach District LLC OPC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DVJA.</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any time before the commencement of the Pre-Sales Period, NewGenProperty has the right to convert the DJVA into a Joint Development by written notice to the Developer. Under a Joint Development arrangement, NewGenProperty shall fully contribute all project finances and be entitled to sixty-four percent (64%) of the net profit after deducting all development costs, taxes, duties, and all other costs and expenses of the joint venture company.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381750" cy="3790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381750" cy="379095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Acquisition of Equity Interest in PredicXion Group Limited (“PredicXion” or “K25.ai”)</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238750" cy="2990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238750" cy="299085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May 15, 2026, NewGenIvf signed a strategic investment agreement with PredicXion Group Limited, and Kong Yiu Cheung, PredicXion’s sole shareholder (the “Seller”), for the acquisition of up to a 10% equity interest in PredicXion (the “PredicXion Acquisition”) at a pre-money valuation of US$100,000,000. On May 28, 2026, NewGenIvf signed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74,074 Class A Ordinary Shares adjusted for Reverse Stock Split) at a share price of US$13.5. per share. Under the terms of the First PredicXion SPA, the Company has an option exercisable at any time within three months after signing the First PredicXion SPA, to acquire up to an additional 8% of PredicXion’s fully diluted equity at the same pre-money valuation of US$100,000,000 (“Top-up Option”). A copy of the First PredicXion SPA was filed as Exhibit 10.1 in the Company’s current report on Form 6-K dated May 28, 2026 and is incorporated by reference herein.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Company paid a cash deposit of US$300,000 upon signing of the Top-Up SPA, and shall pay the balance of $1,700,000 by August 30, 2026. A copy of the First PredicXion Top-Up SPA was filed as Exhibit 10.1 in the Company’s current report on Form 6-K dated June 4, 2026, and is incorporated by reference herein.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parties agreed that the aggregate cash deposit to be paid pursuant to the First PredicXion Top-Up SPA and the Second PredicXion Top-Up SPA shall be US$800,000, payable upon the signing of the Second PredicXion Top-Up SPA, and the balance of $1,000,000 of the First PredicXion Top-Up SPA and the balance of $1,900,000 of the Second PredicXion Top Up SPA shall be paid by the Company to the Seller by August 31, 2026 and September 30, 2026 respectively. A copy of the Second PredicXion SPA was filed as Exhibit 10.1 in the Company’s current report on Form 6-K dated June 18,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July 27, 2026, NewGenIvf signed a share purchase agreement with PredicXion, and the Seller (“Additional 3pct PredicXion SPA”) for the acquisition of an additional 3% equity interest in PredicXion. The consideration payable for the Additional 3pct PredicXion Acquisition was a combination of: (i) cash consideration of US$3,750,000 or an equivalent amount in stablecoin, or Solana; and (ii) 2,500,000 newly issued Class A ordinary shares (equivalent to 833,333 Class A Ordinary Shares adjusted for Reverse Stock Split) of the Company at a share price of US$1.50 per share (US$4.5 per share adjusted for Reverse Stock Split). A copy of the Additional 3pct PredicXion SPA was filed as Exhibit 10.1 in the Company’s current report on Form 6-K dated July 27, 2026,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Exclusive Agency Agreement with PredicXion Group Limited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200650" cy="2895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00650" cy="2895600"/>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Concurrently with its entry into the First PredicXion Top-Up SPA, NewGenIvf entered into an exclusive agency agreement (“EAA”) with PredicXion, pursuant to which PredicXion appointed NewGenIvf as its exclusive agent for the promotion, marketing and facilitation of its K25.ai platform in Thailand, Singapore, Japan and such other APAC markets as may be mutually agreed by the parties from time to time, excluding Mainland China, Hong Kong, Macau and any other restricted jurisdictions. In consideration for its services under the EAA, NewGenIvf is entitled to tiered commissions on the annual gross profit generated by K25.ai from customers introduced or directly serviced by NewGenIvf, calculated as (i) 10% on the first US$1,000,000 of annual gross profit, (ii) 7.5% on annual gross profit between US$1,000,000 and US$3,000,000 and (iii) 5% on annual gross profit in excess of US$3,000,000. The aggregate commission payable to NewGenIvf under the EAA is capped at US$5,000,000 per calendar year. The EAA has an initial term of three years from its effective date and will renew automatically for successive one-year periods thereafter. NewGenIvf’s exclusivity in each agreed territory is subject to NewGenIvf satisfying a minimum annual gross profit performance threshold of US$500,000 per calendar year in respect of customers introduced or directly serviced by NewGenIvf in that territory; failure to satisfy that threshold in any territory entitles K25.ai to terminate NewGenIvf’s exclusivity in that territory in accordance with the terms of the EAA. A copy of the EAA was filed as Exhibit 10.2 in the Company’s current report on Form 6-K dated May 28,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PredicXion operates K25.ai, an AI-native prediction market that transforms livestreams into real-time interactive markets. K25.ai enables audiences to predict what happens next across live sports, esports, entertainment and creator content. Its proprietary AI infrastructure supports real-time market generation, content monitoring and outcome resolution, powering a seamless watch-to-predict experience. The services contemplated under the EAA are not directly related to the Company’s assisted reproductive services in the Asia-Pacific. Rather, the arrangement is a separate commercial initiative that leverages the Company’s established presence, business relationships, local market knowledge and professional network across the Asia-Pacific region. The specific services contemplated include: (i) identifying and introducing potential commercial counterparties, venue operators, content partners, distributors and other local enterprises in selected Asia-Pacific markets; (ii) supporting regional marketing and awareness activities for the K25.ai platform, including coordination of introductions and local market positioning; (iii) facilitating discussions regarding potential licensing, joint venture or other commercial arrangements in those markets; and (iv) providing local market knowledge and relationship support in connection with such discussions. There can be no assurance that any joint venture, license or other arrangement will be entered into or consummated, or as to the timing, scope or terms of any such arrangement.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19"/>
          <w:bdr w:val="single" w:sz="12" w:space="5" w:color="000000"/>
        </w:rPr>
      </w:pPr>
      <w:r>
        <w:rPr>
          <w:rFonts w:ascii="Times New Roman;Times;Serif" w:hAnsi="Times New Roman;Times;Serif"/>
          <w:b/>
          <w:i/>
          <w:caps w:val="false"/>
          <w:smallCaps w:val="false"/>
          <w:sz w:val="19"/>
          <w:bdr w:val="single" w:sz="12" w:space="5" w:color="000000"/>
        </w:rPr>
        <w:t>Repurchase and Forbearance Agreement with JAK Opportunities VI LLC</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June 15, 2026, NewGenIvf entered into a Repurchase and Forbearance Agreement (the “Repurchase Agreement”) with JAK Opportunities VI LLC (“JAK”), pursuant to which the Company agreed to (i) repurchase from JAK senior convertible notes originally issued under two Securities Purchase Agreements dated August 7, 2024 and April 1, 2025, respectively, having an aggregate outstanding principal and accrued interest amount of approximately $3,625,000 as of the date of the Repurchase Agreement, for an aggregate repurchase price of $4,531,250, (ii) repurchase from JAK certain warrants to purchase ordinary shares of the Company for an aggregate repurchase price of $600,000, and (iii) pay JAK a forbearance payment of $2,250,000 in consideration of JAK’s agreement to forbear from, and upon full payment to irrevocably waive, its rights to require additional note closings under the existing Securities Purchase Agreements. The aggregate payment obligation of $7,381,250 is payable in installments through November 1, 2027, as set forth in a schedule attached to the Repurchase Agreement. During the payment period, JAK has agreed to forbear from converting the notes or exercising the warrants, subject to termination of the forbearance upon the occurrence of any event of default or uncured breach by the Company. The Repurchase Agreement also provides that proceeds from any subsequent equity or debt placements by the Company (subject to specified exclusions) must be applied as mandatory prepayments toward the aggregate payment obligation, with 66% of such proceeds first applied evenly to the note repurchase price, warrant repurchase price, and forbearance payment. In the event of a Default under the Agreement, all payments made by the Company to JAK prior to such Default would be permanently forfeited and retained by JAK as liquidated damages and compensation for the use of funds. Upon such Default, the original outstanding Convertible Notes, Warrants, and all related rights (including conversion and exercise rights) would be fully reinstated as if the Agreement had never been entered into. A copy of the Repurchase Agreement was filed as Exhibit 10.1 to the Company’s current report on 6-K dated June 16, 2026 and is incorporated by reference herein.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19"/>
          <w:bdr w:val="single" w:sz="12" w:space="5" w:color="000000"/>
        </w:rPr>
      </w:pPr>
      <w:r>
        <w:rPr>
          <w:rFonts w:ascii="Times New Roman;Times;Serif" w:hAnsi="Times New Roman;Times;Serif"/>
          <w:b/>
          <w:i/>
          <w:caps w:val="false"/>
          <w:smallCaps w:val="false"/>
          <w:sz w:val="19"/>
          <w:bdr w:val="single" w:sz="12" w:space="5" w:color="000000"/>
        </w:rPr>
        <w:t>Exchange of Convertible Notes with JAK Opportunities VI LLC</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August 11, 2026, NewGenIvf completed an Amendment and Exchange Agreement (the “Exchange Agreement”) with JAK Opportunities VI LLC (“JAK”). Under the Exchange Agreement, the Repurchase Agreement with JAK was terminated and the remaining outstanding Convertible Notes, and Warrants were exchanged for a new senior convertible note in the aggregate principal amount of $7,105,468.75 (“New Note”). The restructuring eliminates, among other terms, the mandatory requirement that a significant percentage of proceeds from new capital raises be applied to prepay the outstanding Convertible Notes and Warrants which was set out in the Forbearance Agreement. A copy of the Exchange Agreement and the New Note were filed as Exhibits 10.1, and 10.2 to the Company’s current report on 6-K dated August 17, 2026 and are incorporated by reference herein.</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40"/>
        <w:gridCol w:w="60"/>
        <w:gridCol w:w="8705"/>
      </w:tblGrid>
      <w:tr>
        <w:trPr/>
        <w:tc>
          <w:tcPr>
            <w:tcW w:w="1440" w:type="dxa"/>
            <w:tcBorders/>
            <w:vAlign w:val="center"/>
          </w:tcPr>
          <w:p>
            <w:pPr>
              <w:pStyle w:val="TableContents"/>
              <w:bidi w:val="0"/>
              <w:spacing w:before="0" w:after="0"/>
              <w:ind w:left="0" w:right="0" w:hanging="180"/>
              <w:jc w:val="left"/>
              <w:rPr/>
            </w:pPr>
            <w:r>
              <w:rPr/>
              <w:t xml:space="preserve">Class A Ordinary Shares </w:t>
            </w:r>
            <w:r>
              <w:rPr>
                <w:rFonts w:ascii="Times New Roman;Times;Serif" w:hAnsi="Times New Roman;Times;Serif"/>
                <w:sz w:val="20"/>
              </w:rPr>
              <w:t>offered by us</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5,454,545 Class A Ordinary Shares at an assumed public offering price of US$1.1 per share, which was the last reported sale price of our Class A Ordinary Shares on The Nasdaq Capital Market on September 9, 2026.</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to each purchaser whose purchase of Class A Ordinary Shares in this offering would otherwise result in the purchaser, together with its affiliates, beneficially owning more than 4.99% (or, at the election of the purchaser, 9.99%) of our outstanding Class A Ordinary Shares immediately following the consummation of this offering, the opportunity to purchase, in lieu of Class A Ordinary Shares, Pre-Funded Warrants to purchase Class A Ordinary Shares.</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Pre-Funded Warrant we sell, the number of Class A Ordinary Shares we are offering will be decreased on a one-for-one basis.</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offering of the Class A Ordinary Shares issuable upon exercise of the Pre-Funded Warrants.</w:t>
            </w:r>
          </w:p>
          <w:p>
            <w:pPr>
              <w:pStyle w:val="TableContents"/>
              <w:bidi w:val="0"/>
              <w:spacing w:before="0" w:after="0"/>
              <w:ind w:left="0" w:right="0" w:hanging="180"/>
              <w:jc w:val="both"/>
              <w:rPr>
                <w:caps w:val="false"/>
                <w:smallCaps w:val="false"/>
              </w:rPr>
            </w:pPr>
            <w:r>
              <w:rPr>
                <w:caps w:val="false"/>
                <w:smallCaps w:val="false"/>
              </w:rPr>
              <w:t> </w:t>
            </w:r>
          </w:p>
        </w:tc>
      </w:tr>
      <w:tr>
        <w:trPr/>
        <w:tc>
          <w:tcPr>
            <w:tcW w:w="1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Assumed Public Offering Price</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per Class A Ordinary Share, the closing price of our Class A Ordinary Shares on September 9, 2026. The purchase price per Pre-Funded Warrant will be $1.09999, equal to the public offering price per Class A Ordinary Share less the $0.00001 per share exercise price.</w:t>
            </w:r>
          </w:p>
        </w:tc>
      </w:tr>
      <w:tr>
        <w:trPr/>
        <w:tc>
          <w:tcPr>
            <w:tcW w:w="1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ind w:left="0" w:right="0" w:hanging="180"/>
              <w:jc w:val="both"/>
              <w:rPr/>
            </w:pPr>
            <w:r>
              <w:rPr/>
              <w:t> </w:t>
            </w:r>
          </w:p>
        </w:tc>
      </w:tr>
      <w:tr>
        <w:trPr/>
        <w:tc>
          <w:tcPr>
            <w:tcW w:w="1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currently issued and outstanding</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2,417,430 Ordinary Shares, consisting of 2,404,787 Class A Ordinary Shares and 12,643 Class B Ordinary Shares</w:t>
            </w:r>
          </w:p>
        </w:tc>
      </w:tr>
      <w:tr>
        <w:trPr/>
        <w:tc>
          <w:tcPr>
            <w:tcW w:w="1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ind w:left="0" w:right="0" w:hanging="180"/>
              <w:jc w:val="both"/>
              <w:rPr/>
            </w:pPr>
            <w:r>
              <w:rPr/>
              <w:t> </w:t>
            </w:r>
          </w:p>
        </w:tc>
      </w:tr>
      <w:tr>
        <w:trPr/>
        <w:tc>
          <w:tcPr>
            <w:tcW w:w="1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after this offering</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7,859,332 Class A Ordinary Shares, assuming (i) the sale of all of the securities being offered in this offering at an assumed public offering price of $1.1 per share and (ii) no sale of Pre-Funded Warrants; and 12,643 Class B Ordinary Shares</w:t>
            </w:r>
          </w:p>
        </w:tc>
      </w:tr>
      <w:tr>
        <w:trPr/>
        <w:tc>
          <w:tcPr>
            <w:tcW w:w="1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ind w:left="0" w:right="0" w:hanging="180"/>
              <w:jc w:val="left"/>
              <w:rPr/>
            </w:pPr>
            <w:r>
              <w:rPr/>
              <w:t> </w:t>
            </w:r>
          </w:p>
        </w:tc>
      </w:tr>
      <w:tr>
        <w:trPr/>
        <w:tc>
          <w:tcPr>
            <w:tcW w:w="1440" w:type="dxa"/>
            <w:tcBorders/>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Pre-Funded Warrants</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will be exercisable for one Class A Ordinary Share at an exercise price of $0.00001 per share. Subject to limited exceptions, a holder of Pre-Funded Warrants will not have the right to exercise any portion of its Pre-Funded Warrants if the holder, together with its affiliates, would beneficially own in excess of 4.99% (or, at the election of the holder, 9.99%) of the number of Class A Ordinary Shares outstanding immediately after giving effect to such exercise. The Pre-Funded Warrants are immediately exercisable (subject to the beneficial ownership limitation) and may be exercised at any time until exercised in full.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Pre-Funded Warrants, you should carefully read the section titled “Description of Securities We Are Offering” in this prospectus. See also “Risk Factors – Risks Related to this Offering.”</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836"/>
        <w:gridCol w:w="60"/>
        <w:gridCol w:w="9309"/>
      </w:tblGrid>
      <w:tr>
        <w:trPr/>
        <w:tc>
          <w:tcPr>
            <w:tcW w:w="83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Voting Rights</w:t>
            </w:r>
          </w:p>
        </w:tc>
        <w:tc>
          <w:tcPr>
            <w:tcW w:w="6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Class A Ordinary Share is entitled to one (1) vote.</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283"/>
              <w:ind w:left="0" w:right="0" w:hanging="180"/>
              <w:jc w:val="both"/>
              <w:rPr/>
            </w:pPr>
            <w:r>
              <w:rPr/>
              <w:t> </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See the sections titled “Principal Shareholders” and “Description of Share Capital” for additional information.</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pPr>
            <w:r>
              <w:rPr/>
              <w:t> </w:t>
            </w:r>
          </w:p>
        </w:tc>
      </w:tr>
      <w:tr>
        <w:trPr/>
        <w:tc>
          <w:tcPr>
            <w:tcW w:w="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Use of proceeds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intend to use the net proceeds from this offering for working capital and general corporate purposes. See “Use of Proceeds”.</w:t>
            </w:r>
          </w:p>
        </w:tc>
      </w:tr>
      <w:tr>
        <w:trPr/>
        <w:tc>
          <w:tcPr>
            <w:tcW w:w="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jc w:val="both"/>
              <w:rPr/>
            </w:pPr>
            <w:r>
              <w:rPr/>
              <w:t> </w:t>
            </w:r>
          </w:p>
        </w:tc>
      </w:tr>
      <w:tr>
        <w:trPr/>
        <w:tc>
          <w:tcPr>
            <w:tcW w:w="8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Lock-up</w:t>
            </w:r>
          </w:p>
        </w:tc>
        <w:tc>
          <w:tcPr>
            <w:tcW w:w="6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0"/>
              <w:ind w:left="0" w:right="0" w:hanging="180"/>
              <w:jc w:val="both"/>
              <w:rPr/>
            </w:pPr>
            <w:r>
              <w:rPr/>
              <w:t>Our directors, executive officers, employees and shareholders holding at least 10% of our outstanding Ordinary Shares have agreed with the placement agent that, without the prior written consent of the placement agent, they will not offer, sell, assign, transfer, pledge, contract to sell or otherwise dispose of any of our Ordinary Shares or securities convertible into or exercisable or exchangeable for Ordinary Shares, subject to certain exceptions, for a period of sixty (60) days after the closing date of this offering. We have agreed to a standstill for a period of sixty (60) days after the closing date, subject to certain exceptions. See “Plan of Distribution.”</w:t>
            </w:r>
          </w:p>
        </w:tc>
      </w:tr>
      <w:tr>
        <w:trPr/>
        <w:tc>
          <w:tcPr>
            <w:tcW w:w="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pPr>
            <w:r>
              <w:rPr/>
              <w:t> </w:t>
            </w:r>
          </w:p>
        </w:tc>
      </w:tr>
      <w:tr>
        <w:trPr/>
        <w:tc>
          <w:tcPr>
            <w:tcW w:w="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An investment in our securities involves substantial risks. You should be aware that Nasdaq may halt trading in our Class A Ordinary Shares and/or delist our Class A Ordinary Shares for public interest concerns. See “Risk Factors - </w:t>
            </w:r>
            <w:r>
              <w:rPr>
                <w:rFonts w:ascii="Times New Roman;Times;Serif" w:hAnsi="Times New Roman;Times;Serif"/>
                <w:i/>
                <w:sz w:val="20"/>
              </w:rPr>
              <w:t>Nasdaq may halt trading in our Class A Ordinary Shares on Nasdaq or delist our Class A Ordinary Shares for public interest concerns as a result of this offering.</w:t>
            </w:r>
            <w:r>
              <w:rPr>
                <w:rFonts w:ascii="Times New Roman;Times;Serif" w:hAnsi="Times New Roman;Times;Serif"/>
                <w:sz w:val="20"/>
              </w:rPr>
              <w:t>” on page 62 of this prospectus. You should read the “</w:t>
            </w:r>
            <w:r>
              <w:rPr>
                <w:rFonts w:ascii="Times New Roman;Times;Serif" w:hAnsi="Times New Roman;Times;Serif"/>
                <w:i/>
                <w:sz w:val="20"/>
              </w:rPr>
              <w:t>Risk Factors</w:t>
            </w:r>
            <w:r>
              <w:rPr>
                <w:rFonts w:ascii="Times New Roman;Times;Serif" w:hAnsi="Times New Roman;Times;Serif"/>
                <w:sz w:val="20"/>
              </w:rPr>
              <w:t>” section starting on page 32 of this prospectus for a discussion of factors to consider carefully before deciding to invest in our securities.</w:t>
            </w:r>
          </w:p>
        </w:tc>
      </w:tr>
      <w:tr>
        <w:trPr/>
        <w:tc>
          <w:tcPr>
            <w:tcW w:w="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pPr>
            <w:r>
              <w:rPr/>
              <w:t> </w:t>
            </w:r>
          </w:p>
        </w:tc>
      </w:tr>
      <w:tr>
        <w:trPr/>
        <w:tc>
          <w:tcPr>
            <w:tcW w:w="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Agent</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Continental Stock Transfer &amp; Trust Company</w:t>
            </w:r>
          </w:p>
        </w:tc>
      </w:tr>
      <w:tr>
        <w:trPr/>
        <w:tc>
          <w:tcPr>
            <w:tcW w:w="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pPr>
            <w:r>
              <w:rPr/>
              <w:t> </w:t>
            </w:r>
          </w:p>
        </w:tc>
      </w:tr>
      <w:tr>
        <w:trPr/>
        <w:tc>
          <w:tcPr>
            <w:tcW w:w="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Nasdaq symbol</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NIVF” (Class A Ordinary Shares). There is no established public trading market for the Pre-Funded Warrants, and we do not expect a market to develop. We do not intend to apply for listing of the Pre-Funded Warrants on any securities exchange or other nationally recognized trading system. Without an active trading market, the liquidity of the Pre-Funded Warrants will be limited.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all information contained in this prospectus assumes the sale of all of the Class A Ordinary Shares offered hereby at an assumed public offering price of $1.1 per share. The number of shares of our Class A Shares that are and will be outstanding immediately before and after this offering as shown above is based on 2,404,787 Class A Ordinary Shares outstanding as of September 9, 2026. No new Class B Ordinary Shares will be issued by us under this offering.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k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Class A Ordinary Shares involves a high degree of risk. You should carefully consider the risks in this prospectus, the risk factors described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any applicable prospectus supplement and any risk factors set forth in our other filings with the SEC pursuant to Sections 13(a), 13(c), 14 or 15(d) of the Securities Exchange Act of 1934, as amended, or the Exchange Act, before making a decision about investing in our Class A Ordinary Shares. The risks and uncertainties we have described are not the only ones we face. Additional risks and uncertainties not presently known to us or that we currently deem immaterial may also affect our operations. If any risks actually occur, our business, financial condition and results of operations may be materially and adversely affected. In such an event, the trading price of our Class A Ordinary Shares could decline and you could lose part or all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also subject to the following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NewGenIvf’s Business and Industry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continue operating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cash and cash equivalents stood at approximately US$758,621 While the Company does not have immediate challenges to settle its obligations when payments become due, the Company can make no assurance that it will have sufficient capital to bridge potential financial and liquidity shortfalls.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always closely monitoring the market for opportunities and has also been carrying out various fundraising projects to improve the Company’s cash flow position. As of September 9, 2026, the Company has outstanding convertible promissory notes of $9,145,581, and outstanding payments of $6,262,500 in aggregate for the purchase of K25.ai equity investment. It should be noted that the Company has access to an equity line of credit facility of up to US$100,000,000 from White Lion Capital, of which approximately US$19.01 million has been drawn and become equity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make no assurance that required financing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its financial statements.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do not reflect adjustments that would be necessary if the going concern basis was not appropriate. If the going concern basis was not appropriate for these consolidated financial statements, then adjustments would be necessary in the carrying value of the assets and liabilities, the reported revenues and expenses, and the balance sheet classifications used. These adjustments could be material.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fertility market in which NewGenIvf participates is competitive, and if NewGenIvf does not continue to compete effectively, its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NewGenIvf’s solutions is competitive and is likely to attract increased competition, which could make it hard for it to succeed. NewGenIvf faces significant competition from other fertility companies and other players in the fertility market. Some of NewGenIvf’s competitors are more established, have a longer operating history and a larger client base, benefit from greater brand recognition and have substantially greater financial, technical and marketing resources than NewGenIvf does. NewGenIvf’s competitors may compete with NewGenIvf in a variety of ways, including seeking to develop or integrating solutions and services that may become more efficient or appealing to NewGenIvf’s existing and potential clients, achieving superior clinical outcomes, having access to a network of more high-quality fertility specialists, establishing more comprehensive data reporting and sharing systems, conducting brand promotions and other marketing activities, and making investments in and acquisitions of NewGenIvf’s business partners. While NewGenIvf believes that one of its key competitive advantages is its ability to provide a broad range of services, and NewGenIvf does not believe any competitors have developed a similar broad range services in Asia Pacific at this time, current or future competitors may be successful in doing so in the future. If current or future competitors are successful at developing a similar broad range of services, NewGenIvf’s financial performance may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believes that there is growing awareness of the demand for fertility services. As the fertility services field gains more attention, more competitors may be drawn into the market. NewGenIvf also could be adversely affected if NewGenIvf fails to identify or effectively respond to changes in market dynamics. As a result of any of these factors, NewGenIvf may not be able to continue to compete successfully against its current or future competitors, and this competition could result in the decrease in its clients base and market share and the failure of its platform to continue to maintain market acceptance, which would materially and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has a limited operating history with its current platform of solutions, which makes it difficult to predict its future prospects, financial performance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entity of the Company prior to the Business Combination in April of 2024, NewGenIvf Limited, a Cayman Islands exempted company, was established in 2019, and although its subsidiary First Fertility PGS Center Limited launched fertility services in 2014, has a limited operating history. As a result of its limited operating history with its current platform of solutions, as well as a limited amount of time serving a majority of its client base, its ability to accurately forecast its future results of operations, key operating data, net revenue, cash flows, and operating margins is limited and subject to a number of uncertainties, including its ability to plan for and model future growth. NewGenIvf’s historical revenue growth should not be considered indicative of its future performance. Further, in future periods, its revenue growth could slow or decline for a number of reasons, including risks, challenges and uncertainties that NewGenIvf has encountered and may continue to encounter that are frequently experienced by companies at an early stage, slowing demand for its solutions and fertility services in general, changes in utilization trends by its clients, general economic slowdown, an increase in unemployment, an increase in competition, changes to health care trends and regulations, changes to science relating to the fertility market, a decrease in the growth of the fertility market, or its failure, for any reason, to continue to take advantage of growth opportunities. If NewGenIvf’s assumptions regarding these risks and uncertainties and its future revenue growth are incorrect or change, or if it does not address these risks successfully, its operating and financial results could differ materially from its expectations, and its business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undergoing a significant and rapid business transformation, which involves substantial risks and may not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recent and planned strategic initiatives represent a fundamental shift from our historical focus on fertility services to a highly diversified conglomerate with operations in real estate development, and digital asset management. This transformation involves numerous risks, including our inability to manage multiple, unrelated business lines, the failure of these new ventures to generate expected revenues or profits, the diversion of management’s attention from our core operations, and significant unanticipated costs. Our lack of operating history in these new sectors makes it difficult to forecast future performance, and there can be no assurance that this diversification strategy will enhance shareholder value or that we will successfully execute this transformation.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new strategic initiatives may place significant strain on the Company’s management, and operational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expansion into multiple new and complex business areas will require significant management attention and financial resources. Our senior management has limited experience in large-scale real estate development, and investments in digital assets. Our ability to manage this growth effectively, recruit and retain qualified personnel with the requisite expertise, and maintain a cohesive corporate culture across diverse business lines is unproven. Any failure to manage this growth could lead to operational inefficiencies, control failures, and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planned Solana strategy may not be successful and exposes us to various risks, including risks associated with the Solana network, SOL token and the blockchain sector.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we announced plans to invest up to US$30 million in staking the digital asset SOL (the native token of the Solana network) and funding such investment using our existing credit facilities. We intended to systematically deploy our available capital to acquire SOL from time to time over a period of 18 months. However, as of the date of this prospectus, we no longer hold any SOL tokens as all SOL tokens were used as consideration for the acquisition of its equity interest in PredicXion. We no longer intend to invest further capital in SOL.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strategic investment in and exclusive agency agreement with PredicXion Group Limited subject us to financial, operational, and regulatory risks, and we may fail to realize the anticipated benefits of this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June and July 2026, we entered into a series of agreements to acquire up to a 13% equity interest in PredicXion Group Limited (“PredicXion”), consisting of an initial 2% acquisition, two subsequent 4% top-up exercises, and an additional acquisition of 3% (collectively, the “PredicXion Acquisition”). Concurrently, we entered into an Exclusive Agency Agreement (“EAA”) to act as the exclusive agent for the promotion, marketing, and facilitation of PredicXion’s K25.ai platform in certain APAC markets. In July 2026, we entered into an additional agreement to acquire a 3% equity interest in PredicXion. This transaction and the ongoing commercial relationship expose us to numerous risks, including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Substantial Liquidity and Capital Commitments</w:t>
            </w:r>
            <w:r>
              <w:rPr/>
              <w:t>: The PredicXion Acquisition requires significant cash and equity commitments. Under the terms of the First PredicXion Top-Up SPA and Second PredicXion Top-Up SPA, we are required to pay total outstanding cash balances of US$1,000,000 and US$1,900,000 to the Seller by August 31, 2026 and September 30, 2026 respectively. Under the terms of the Additional SPA, we are required to pay US$3,562,500 to the Seller by 30 November 2026. If we experience cash flow constraints or fail to fulfill these payment obligations on time, we could be in breach of these agreements, which may result in legal liability, forfeiture of our deposits, or the loss of 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Risks Associated with Digital Assets</w:t>
            </w:r>
            <w:r>
              <w:rPr/>
              <w:t>: The consideration for the PredicXion Acquisition may be paid in part using digital assets (including stablecoins or Solana). The value of digital assets is highly volatile and susceptible to sudden market fluctuations, regulatory scrutiny, and security vulnerabilities. Utilizing digital assets for transaction settlements exposes us to increased operational complexity and potential financial losses.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Dilution to Existing Shareholders:</w:t>
            </w:r>
            <w:r>
              <w:rPr/>
              <w:t xml:space="preserve"> We have issued substantial amounts of Class A ordinary shares as part of the transaction consideration (666,667 shares (equivalent to 74,074 shares as adjusted for the applicable Reverse Stock Splits) for the Initial Acquisition and 1,500,000 shares (166,667 shares as adjusted for the applicable Reverse Stock Splits) for each of the two Top-Up Acquisitions, and 2,500,000 shares for the Additional Acquisition (equivalent to 833,333 shares as adjusted for the applicable Reverse Stock Split), totaling 1,240,741 shares as adjusted for the applicable Reverse Stock Splits). The issuance of these shares will dilute the ownership percentages and voting power of our existing shareholders and could depress the market price of our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Risk of Loss of Territory Exclusivity</w:t>
            </w:r>
            <w:r>
              <w:rPr/>
              <w:t>: Our exclusive marketing rights for the K25.ai platform in Thailand, Singapore, Japan, and other agreed APAC markets are conditional upon our performance. Specifically, we must satisfy a minimum annual gross profit performance threshold of US$500,000 per calendar year in each agreed territory. If we fail to meet this threshold in any territory, PredicXion has the right to terminate our exclusivity for that region, which would significantly impair our expected revenue and competitive position in the APAC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Reliance on a Minority Investment and Platform Adoption</w:t>
            </w:r>
            <w:r>
              <w:rPr>
                <w:sz w:val="20"/>
              </w:rPr>
              <w:t>: Because our equity interest in PredicXion is only 13%, we have limited influence and no control over PredicXion’s corporate governance, strategic direction, or operational decisions. Furthermore, the success of the EAA depends heavily on commercial acceptance of the K25.ai platform. If the platform fails to gain market traction, or if PredicXion fails to maintain or upgrade the platform efficiently, we may never generate sufficient gross profit to earn the tiered commissions under the EAA or achieve a return on 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Caps on Potential Revenue</w:t>
            </w:r>
            <w:r>
              <w:rPr/>
              <w:t>: The aggregate commission payable to us under the EAA is capped at US$5,000,000 per calendar year. This cap limits our maximum potential upside from the relationship, even if the K25.ai platform achieves massive financial success in our territories.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manage these risks, our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NewGenIvf’s real estate development projects are subject to numerous risks that could prevent the Company from realizing the projected returns.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real estate joint venture is concentrated in Ras Al Khaimah, UAE, and is dependent on the successful development, marketing, and sale of properties in the specific geographic region. The project is vulnerable to regional economic conditions, regulatory changes, and real estate market fluctuations specific to that emirate. The projected net return of up to US$67 million is based on feasibility studies and assumptions, including specific sale prices per square foot and 100% sales efficiency, which may not materialize. These projects are susceptible to risks such as construction delays and cost overruns, fluctuations in the UAE real estate market, changes in regional economic and political conditions, regulatory changes, and reliance on third-party developers and partners. Our financial returns are contingent upon the joint venture’s success, and any failure to achieve the projected financial outcomes could have a material adverse effect on our business and financial condition. Furthermore, the Company’s current commitment is limited to a reservation deposit, as a definitive Sales and Purchase Agreement has yet to be executed. Thus, there is uncertainty over projected final project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valuation of acquired assets, such as intellectual property and mining reserves, is complex and subjective, and may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NewGenIvf reported a gain from IP acquisition of US$17.9 million from its acquisition of advanced cytometry intellectual property. The gain from acquisition was based on an independent valuation report from a “Big Four” accounting firm. The gain from IP acquisition is based on estimates, appraisals, and technical reports. These valuations are subject to assumptions and methodologies that may prove to be inaccurate. The actual commercial value of the acquired IP is dependent on our ability to successfully license the technology and generate royalty streams. If the fair value of these assets declines or is not realized, we may be required to recognize impairment charges, which would negatively impact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marketing efforts depend significantly on its ability to receive positive references from its existing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marketing efforts depend significantly on its ability to call on its current clients to provide positive references to new, potential clients. Given its limited number of long-term clients, the loss or dissatisfaction of any client could substantially harm its brand and reputation, inhibit the market adoption of its offering and impair its ability to attract new clients and maintain existing clients. Any of these consequences could have an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reporting company, we are subject to filing deadlines for reports that we file pursuant to the Exchange Act, and our failure to timely file such reports may have material adverse consequences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20-F for the year ended December 31, 2023.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Class A Ordinary Shares from Nasdaq, regulatory sanctions from the SEC, and/or the breach of covenants in our credit facilities or of any preferred equity or debt securities we may issue in the future, any of which could have a material adverse impact on our operations and your investment in our Class A Ordinary Shares,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to meet the listing requirements of Nasdaq, our Class A Ordinary Shares will be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Since the First Reverse Stock Split, the Company has carried out 3 additional reverse stock splits on May 5, 2025, August 4, 2025 and December 1, 2025 in order to ensure the Company’s Class A Ordinary Shares do not fall below $1.00 per share for 30 consecutive days. If within one year of the Reverse Stock Splits, the Company’s Class A Ordinary Shares fall below $1.00 per share for 30 consecutive business days, then Nasdaq may not provide us with an additional compliance period under its amended Listing Rule 5810(c)(3)(A)(iv) and our common stock could be delisted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MVLS Deficiency Letter from the Listing Qualifications Department (the “Staff”) of Nasdaq notifying the Company that, for the preceding 35 consecutive business days, the Class A Shares did not meet the minimum MVLS Requirement for continued listing on Nasdaq pursuant to Nasdaq Listing Rules 5450(b)(2)(A).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MVPHS Deficiency Letter from the Staff of Nasdaq notifying the Company that, for the preceding 35 consecutive business days, the Company’s Class A Ordinary Shares did not meet the minimum $15,000,000 MVPHS Requirement for continued listing on Nasdaq pursuant to Nasdaq Listing Rules 5450(b)(2)(C).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 On March 10, 2025, the Company received a confirmation letter from Nasdaq confirming that it has demonstrated compliance with all of Nasdaq’s listing requirements, as required in the Panel’s decision letter dated February 19,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Nasdaq Rules 5810(c)(1) and 5550(a)(6) came into effect, requiring issuers to maintain a minimum Market Value of Listed Securities (MVLS) of at least US$5 million. If our MVLS falls below this threshold for 30 consecutive business days, Nasdaq will issue an immediate Staff Delisting Determination, resulting in the immediate suspension and delisting of our securities. Unlike other deficiencies (such as minimum bid price), this rule does not provide an automatic compliance or cure period. On July 29. 2026, the United States Securities Exchange Commission (“SEC”) issued an automatic stay on this rule pending review by the full Commission, temporarily pausing its implementation. However, if the stay is lifted and the rule is fully enforced, any sustained drop in our share price or listed share volume could trigger an immediate suspension without a grace period.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and maintain compliance with such listing standards or other Nasdaq listing requirements in the future, our Class A Ordinary Shares could be delisted from Nasdaq. A delisting of our Class A Ordinary Shares and our inability to list on another national securities market could negatively impact us by: (i) reducing the liquidity and market price of our Class A Ordinary Shares; (ii) reducing the number of investors willing to hold or acquire our Class A Ordinary Shares, which could negatively impact our ability to raise equity financing; (iii) limiting our ability to use certain registration statements to offer and sell freely tradable securities, thereby limiting our ability to access the public capital markets; and (iv) impairing our ability to provide equity incentives to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is unable to attract new clients, its business, financial condition and results of operations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its revenue, NewGenIvf must continue to attract new clients. NewGenIvf’s ability to do so depends in large part on the success of its sales and marketing efforts, and the success of references through existing clients. Potential clients may seek out other options; therefore, NewGenIvf must demonstrate that its solutions are valuable and superior to alternatives. If NewGenIvf fails to provide high-quality solutions and convince clients of the benefits of its model and value proposition, NewGenIvf may not be able to attract new clients. If the markets for NewGenIvf’s solutions decline or grow more slowly than it expects, or if the number of clients that contract with it for its solutions declines or fails to increase as it expects, its financial results could be harmed. As the markets in which NewGenIvf participate mature, fertility solutions and services evolve and competitors begin to enter into the market and introduce differentiated solutions or services that are perceived to compete with its solutions, particularly if such competing solutions are adopted by its competitors, its ability to sell its solutions could be impaired. As a result of these and other factors, NewGenIvf may be unable to attract new clients, which would have an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business depends on its ability to maintain its existing client demographics. Any failure to do so would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growth strategy, NewGenIvf is focused on maintaining its services within its existing client demographics. NewGenIvf mainly competes with mid-level private clinics and hospitals, which have improved and developed their services and equipment over the years. In addition to private clinics and hospitals already existing, foreign medical companies may also enter the markets where NewGenIvf operates. Such foreign medical companies may be well-placed to compete with NewGenIvf due to their larger network size, reputation as global players and access to more advanced technology and financial resources. The expansion of existing competitors in the industry may erode NewGenIvf’s existing market share or decrease its traditional client pool. There can be no assurance that NewGenIvf will be able to compete effectively and therefore its future business growth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reduction in the utilization of NewGenIvf’s solutions could have an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reduction in the number of clients using NewGenIvf’s solutions could adversely affect its business, financial condition and results of operations. Factors that could contribute to a reduction in the use of its solutions include: general economic downturn that results in adverse financial conditions; regulatory changes; failure to adapt and respond effectively to changing medical landscape, changing regulations, changing client needs, requirements or preferences; negative publicity, through social media or otherwise and news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offer high-quality support, its reputation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relies on its client account management personnel and the patient navigators (the “PNs”) to resolve client issues and help clients realize the full benefits that its solutions and services provide. High-quality support is also important for the renewal and expansion of its services to existing clients. The importance of its support functions will increase as NewGenIvf expands its business and pursue new clients. If NewGenIvf does not help its clients quickly resolve issues and provide effective ongoing supports, its ability to maintain and expand its offerings to existing and new clients could suffer, and its reputation with existing or potential clients could suffer. Further, to the extent that NewGenIvf is unsuccessful in hiring, training and retaining adequate PNs and client account management personnel, its ability to provide adequate and timely support to its clients would be negatively impacted, and its clients’ satisfaction with its solutions and services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failure to effectively develop and expand its marketing and sales capabilities could harm its ability to increase its client base and achieve broader market acceptance of solutions NewGenIvf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ability to increase its client base and achieve broader market acceptance of solutions it provides will depend to a significant extent on its ability to expand its marketing and sales capabilities. NewGenIvf plans to continue expanding its direct sales force and to dedicate significant resources to sales and marketing programs, including direct sales, inside sales, targeted direct marketing, advertising, digital marketing, e-newsletter and conference sponsorships. All of these efforts will require it to invest significant financial and other resources. Its business and results of operations could be harmed if its sales and marketing efforts do not generate significant increases in revenue. NewGenIvf may not achieve anticipated revenue growth from expanding its sales and marketing efforts if it is unable to hire, develop, integrate and retain talented and effective sales personnel, if its new and existing sales personnel, on the whole, are unable to achieve desired productivity levels in a reasonable period of time, or if its sales and marketing programs are not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experience net losses and may not sustain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experienced significant revenue decrease from 2019 to 2020, due to the impact of COVID-19. NewGenIvf is not certain whether it will obtain sufficient levels of sales to sustain its growth or maintain profitability in the future. NewGenIvf also expects its costs and expenses to increase in future periods, which could negatively affect its future results of operations if its revenue does not increase accordingly. In particular, NewGenIvf intends to continue to incrementally expand its sales and client account management teams to educate potential clients and drive new client adoption. NewGenIvf also expects to incur additional costs as it introduces new solutions and services to enhance its comprehensive fertility offering. NewGenIvf will also face increased compliance costs associated with growth, the expansion of its client base and being a public company. NewGenIvf’s efforts to grow its business may be costlier than it expects, and NewGenIvf may not be able to increase its revenue enough to offset its increased operating expenses. NewGenIvf may incur significant losses in the future for a number of reasons, including the other risks described herein, and unforeseen expenses, difficulties, complications and delays, and other unknown events. If NewGenIvf is unable to sustain profitability, the value of its business and common stock may significantly decrease.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future revenue may not grow at the rates it historically has,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experienced growth since its business operations started in 2014. Revenue and NewGenIvf’s client base may not grow at the same rates they historically have, or they may decline in the future. NewGenIvf’s future growth will depend, in part, on its ability to:</w:t>
      </w:r>
    </w:p>
    <w:p>
      <w:pPr>
        <w:pStyle w:val="TextBody"/>
        <w:bidi w:val="0"/>
        <w:spacing w:before="0" w:after="0"/>
        <w:ind w:left="960" w:right="0" w:hanging="48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sz w:val="20"/>
              </w:rPr>
            </w:pPr>
            <w:r>
              <w:rPr>
                <w:sz w:val="20"/>
              </w:rPr>
              <w:t>continue to attract new clients and/or maintain existing clients;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price its solutions and services effectively so that it is able to attract new clients, expand sales to its existing clients and maintain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provide its clients with client support that meets their needs, including through dedicated PNs;</w:t>
            </w:r>
          </w:p>
        </w:tc>
      </w:tr>
    </w:tbl>
    <w:p>
      <w:pPr>
        <w:pStyle w:val="TextBody"/>
        <w:bidi w:val="0"/>
        <w:spacing w:before="0" w:after="0"/>
        <w:ind w:left="960" w:right="0" w:hanging="48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maintain successful collection of applicable receivable balances;</w:t>
            </w:r>
          </w:p>
        </w:tc>
      </w:tr>
    </w:tbl>
    <w:p>
      <w:pPr>
        <w:pStyle w:val="TextBody"/>
        <w:bidi w:val="0"/>
        <w:spacing w:before="0" w:after="0"/>
        <w:ind w:left="960" w:right="0" w:hanging="48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70"/>
        <w:gridCol w:w="6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sz w:val="20"/>
              </w:rPr>
            </w:pPr>
            <w:r>
              <w:rPr>
                <w:sz w:val="20"/>
              </w:rPr>
              <w:t>retain and maintain relationships with high-quality and respected fertility specialists;</w:t>
            </w:r>
          </w:p>
        </w:tc>
      </w:tr>
    </w:tbl>
    <w:p>
      <w:pPr>
        <w:pStyle w:val="TextBody"/>
        <w:bidi w:val="0"/>
        <w:spacing w:before="0" w:after="0"/>
        <w:ind w:left="960" w:right="0" w:hanging="48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sz w:val="20"/>
              </w:rPr>
            </w:pPr>
            <w:r>
              <w:rPr>
                <w:sz w:val="20"/>
              </w:rPr>
              <w:t>attract and retain highly qualified personnel to support all clients; and</w:t>
            </w:r>
          </w:p>
        </w:tc>
      </w:tr>
    </w:tbl>
    <w:p>
      <w:pPr>
        <w:pStyle w:val="TextBody"/>
        <w:bidi w:val="0"/>
        <w:spacing w:before="0" w:after="0"/>
        <w:ind w:left="960" w:right="0" w:hanging="48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increase awareness of its brand and successfully compete with other competitors.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successfully accomplish all or any of these objectives, which may affect its future revenue, and which makes it difficult for it to forecast its future results of operations. In addition, if the assumptions that NewGenIvf uses to plan its business are incorrect or change in reaction to changes in its market, it may be difficult for it to maintain profitability. NewGenIvf’s shareholders should not rely on its revenue for any prior quarterly or annual periods as any indication of its future revenue or revenue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expects to continue to expend substantial financial and other resources on:</w:t>
      </w:r>
    </w:p>
    <w:p>
      <w:pPr>
        <w:pStyle w:val="TextBody"/>
        <w:bidi w:val="0"/>
        <w:spacing w:before="0" w:after="0"/>
        <w:ind w:left="960" w:right="0" w:hanging="48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170"/>
        <w:gridCol w:w="1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both"/>
              <w:rPr>
                <w:sz w:val="20"/>
              </w:rPr>
            </w:pPr>
            <w:r>
              <w:rPr>
                <w:sz w:val="20"/>
              </w:rPr>
              <w:t>sales and marketing;</w:t>
            </w:r>
          </w:p>
        </w:tc>
      </w:tr>
    </w:tbl>
    <w:p>
      <w:pPr>
        <w:pStyle w:val="TextBody"/>
        <w:bidi w:val="0"/>
        <w:spacing w:before="0" w:after="0"/>
        <w:ind w:left="960" w:right="0" w:hanging="48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sz w:val="20"/>
              </w:rPr>
            </w:pPr>
            <w:r>
              <w:rPr>
                <w:sz w:val="20"/>
              </w:rPr>
              <w:t>technology infrastructure, including systems architecture, scalability, availability, performance and security; and</w:t>
            </w:r>
          </w:p>
        </w:tc>
      </w:tr>
    </w:tbl>
    <w:p>
      <w:pPr>
        <w:pStyle w:val="TextBody"/>
        <w:bidi w:val="0"/>
        <w:spacing w:before="0" w:after="0"/>
        <w:ind w:left="960" w:right="0" w:hanging="48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sz w:val="20"/>
              </w:rPr>
            </w:pPr>
            <w:r>
              <w:rPr>
                <w:sz w:val="20"/>
              </w:rPr>
              <w:t>general administration, including increased legal and accounting expenses associated with being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investments may not result in increased revenue growth in its business. If NewGenIvf is unable to increase its revenue at a rate sufficient to offset the expected increase in its costs, its business, financial position, and results of operations will be harmed, and NewGenIvf may not be able to maintain profitability over the long term. Additionally, NewGenIvf may encounter unforeseen operating expenses, difficulties, complications, delays and other unknown factors that may result in losses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its revenue growth does not meet its expectations in future periods, NewGenIvf may not maintain profitability in the future, its business, financial position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interim and annual results may fluctuate significantly and may not fully reflect the underlying performance of NewGenIvf’s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interim and annual results of operations, including the levels of NewGenIvf’s revenues, expenses, net (loss)/income and other key metrics, may vary significantly in the future due to a variety of factors, some of which are outside of NewGenIvf’s control, and period-to-period comparisons of NewGenIvf’s operating results may not be meaningful, especially given NewGenIvf’s limited operating history. Accordingly, the results for any one fiscal half year or any one fiscal year are not necessarily an indication of future performance. Fluctuations in interim and/or annual financial results may adversely affect the price of NewGenIvf’s ordinary shares. Factors that may cause fluctuations in NewGenIvf’s interim and annual financial results include:</w:t>
      </w:r>
    </w:p>
    <w:p>
      <w:pPr>
        <w:pStyle w:val="TextBody"/>
        <w:bidi w:val="0"/>
        <w:spacing w:before="0" w:after="0"/>
        <w:ind w:left="960" w:right="0" w:hanging="48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NewGenIvf’s ability to attract new customers and maintain relationships with existing customers;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sz w:val="20"/>
              </w:rPr>
            </w:pPr>
            <w:r>
              <w:rPr>
                <w:sz w:val="20"/>
              </w:rPr>
              <w:t>changes in NewGenIvf’s products and services offered and introduction of new services and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amount and timing of operating expenses related to marketing and the maintenance and expansion of NewGenIvf’s business, operations and infrastructure;</w:t>
            </w:r>
          </w:p>
        </w:tc>
      </w:tr>
    </w:tbl>
    <w:p>
      <w:pPr>
        <w:pStyle w:val="TextBody"/>
        <w:bidi w:val="0"/>
        <w:spacing w:before="0" w:after="283"/>
        <w:jc w:val="left"/>
        <w:rPr/>
      </w:pPr>
      <w:r>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changes in the market situation of the residential property in the United Arab Emirates;</w:t>
            </w:r>
          </w:p>
        </w:tc>
      </w:tr>
    </w:tbl>
    <w:p>
      <w:pPr>
        <w:pStyle w:val="TextBody"/>
        <w:bidi w:val="0"/>
        <w:spacing w:before="0" w:after="0"/>
        <w:ind w:left="960" w:right="0" w:hanging="48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sz w:val="20"/>
              </w:rPr>
            </w:pPr>
            <w:r>
              <w:rPr>
                <w:sz w:val="20"/>
              </w:rPr>
              <w:t>general economic, industry and market conditions; and</w:t>
            </w:r>
          </w:p>
        </w:tc>
      </w:tr>
    </w:tbl>
    <w:p>
      <w:pPr>
        <w:pStyle w:val="TextBody"/>
        <w:bidi w:val="0"/>
        <w:spacing w:before="0" w:after="0"/>
        <w:ind w:left="960" w:right="0" w:hanging="48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sz w:val="20"/>
              </w:rPr>
            </w:pPr>
            <w:r>
              <w:rPr>
                <w:sz w:val="20"/>
              </w:rPr>
              <w:t>the timing of expenses related to the development or acquisition of technologies or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estimates and assumptions NewGenIvf uses to determine the size of the target markets for its services are inaccurate, its future growth rate may be impacted and its business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opportunity estimates and growth forecasts are subject to significant uncertainty and are based on assumptions and estimates that may not prove to be accurate. Market opportunity estimates and growth forecasts included in this prospectus, including those NewGenIvf has generated itself, are subject to significant uncertainty and are based on assumptions and estimates that may not prove to be accurate, including the risks described in this prospectus. Even if the markets in which NewGenIvf competes achieve the forecasted growth, its business could fail to grow at similar rates,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estimates of the market opportunity for its services are based on the assumption that the purpose-built, data-driven and disruptive fertility services platform with the plan design NewGenIvf offers will be attractive to clients. Clients may pursue alternatives or may not see the value in providing enhanced fertility-related services. In addition, NewGenIvf believes that it is expanding the size of the fertility market as NewGenIvf enhances demand and increase awareness for fertility services. If these assumptions prove inaccurate, or if the increase in awareness of fertility services attracts potential competitors to the market and results in greater competition, NewGenIvf’s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the demand for NewGenIvf’s solutions, the entry of competitive solutions or the future growth rate and size of the fertility market. The expansion of the fertility market depends on a number of factors, including, but not limited to: the continued trend of individuals starting families later in life, increase in the number of single mothers by choice, adoption of non-traditional paths to parenthood and continued de-stigmatization of infertility.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reduction in demand caused by a lack of client acceptance, weakening economic conditions, data security or privacy concerns, governmental regulation, competing offerings or otherwise, the market for its solutions and services might not continue to develop or might develop more slowly than NewGenIvf expects, which would adversely affect its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not be able to successfully manage its growth, and if NewGenIvf is not able to grow efficiently, its business, financial condition and results of operations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usage of its solutions grows, NewGenIvf will need to devote additional resources to improving and maintaining its infrastructure. In addition, NewGenIvf will need to appropriately scale its internal business systems and its client account management and services personnel to serve its growing client base. Any failure of or delay in these efforts could result in reduced client satisfaction, resulting in decreased sales to new clients and lower renewal and utilization rates by existing clients, which could hurt its revenue growth and its reputation. Even if NewGenIvf is successful in these efforts, they will require the dedication of management time and attention. NewGenIvf could also face inefficiencies or service disruptions as a result of its efforts to scale its internal infrastructure. NewGenIvf cannot be sure that the expansion and improvements to its internal infrastructure will be effectively implemented on a timely basis, and such failures could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NewGenIvf’s new solutions and services are not adopted by its clients, or if it fails to innovate and develop new offerings that are adopted by its clients, its revenue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NewGenIvf has derived a substantial majority of its revenue from sales of its fertility services. As NewGenIvf operates in an evolving industry, its long-term results of operations and continued growth will depend on its ability to successfully develop and market new successful solutions and services to its clients. If its existing clients do not value and/or are not willing to make additional payments for such new solutions or services, it could adversely affect its business, financial condition and results of operations. If NewGenIvf is unable to predict clients’ preferences, if the markets in which NewGenIvf participates change, including in response to government regulation, or if NewGenIvf is unable to modify its solutions and services on a timely basis, NewGenIvf may lose clients. Its results of operations would also suffer if its innovations were not responsive to the needs of the clients, appropriately timed with market opportunity or effectively brought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adapt and respond effectively to the changing medical landscape, changing regulations, changing client needs, requirements or preferences, its offerings may become less competitive.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in which NewGenIvf competes is subject to a changing medical landscape and changing regulations, as well as changing client needs, requirements and preferences. The success of its business will depend, in part, on its ability to adapt and respond effectively to these changes on a timely basis. NewGenIvf’s business strategy may not effectively respond to these changes, and NewGenIvf may fail to recognize and position itself to capitalize upon market opportunities. NewGenIvf may not have sufficient advance notice and resources to develop and effectively implement an alternative strategy. There may be scientific or clinical changes that require it to change its solutions or that make its solutions less competitive in the marketplace. If there are sensitivities to its model or its existing competitors and new entrants create new disruptive business models and/or develop new solutions that clients prefer to its solutions, NewGenIvf may lose clients, and its results of operations, cash flows and/or prospects may be adversely affected. The future performance of NewGenIvf’s business will depend in large part on its ability to design and implement market appropriate strategic initiatives, some of which will occur over several years in a dynamic industry. If these initiatives of NewGenIvf do not result in met objectives, NewGenIvf’s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maintain and enhance its brand, its ability to expand its client base will be impaired and its business, financial condition and results of operations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NewGenIvf’s business partially depends on the recognition of NewGenIvf’s brand and reputation. NewGenIvf believes that maintaining and enhancing its brand is important to support the marketing and sale of its existing and future solutions to new clients and expand sales of its solutions to existing clients. NewGenIvf also believes that the importance of brand recognition will increase as competition in its market increases. Successfully maintaining and enhancing its brand will depend largely on the effectiveness of its marketing efforts, its ability to provide reliable services that continue to meet the needs of its clients at competitive prices, its ability to maintain its clients’ trust, its ability to continue to develop new solutions, and its ability to successfully differentiate its platform from competitive solutions and services. NewGenIvf’s brand promotion activities may not generate client awareness or yield increased revenue, and even if they do, any increased revenue may not offset the expenses NewGenIvf incurs in building its brand. If NewGenIvf fails to successfully promote and maintain its brand, its business, financial condition and results of operations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retain and motivate members of its management team or other key employees, or fails to attract additional qualified personnel to support its operations, its business and future growth prospects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success and future growth depend largely upon the continued services of its management team and its other key employees. From time to time, there may be changes in its executive management team or other key employees resulting from the hiring or departure of these personnel. Its executive officers and other key employees are employed on an at-will basis, which means that these personnel could terminate their employment with it at any time. The loss of one or more of its executive officers, or the failure by its executive team to effectively work with its employees and lead its company, could harm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execute its growth plan, NewGenIvf must attract and retain highly qualified personnel. Competition for these personnel is intense, especially for experienced medical officers and scientific staffs and sales and client account management personnel. There is no guarantee NewGenIvf will be able to attract such personnel or that competition among potential employers will not result in increased salaries or other benefits. From time to time, NewGenIvf has experienced, and NewGenIvf expects to continue to experience, difficulty in hiring and retaining employees with appropriate qualifications. Many of the companies with which NewGenIvf competes for experienced personnel have greater resources than NewGenIvf has. If NewGenIvf hires employees from competitors or other companies, their former employers may attempt to assert that these employees or NewGenIvf has breached their legal obligations, resulting in a diversion of its time and resources. In addition, prospective and existing employees often consider the value of the equity awards they receive in connection with their contribution to the company. If the perceived value of its equity awards declines, experiences significant volatility, or increases such that prospective employees believe there is limited upside to the value of its equity awards, it may adversely affect its ability to recruit and retain key employees. If NewGenIvf fails to attract new personnel or fails to retain and motivate its current personnel, its business and future growth prospects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order to attract and retain key personnel and employees, the compensation amounts for NewGenIvf’s executive officers may change significantly after consummation of the Business Combination, although there are currently no agreements in place relating to any such post Business Combination compensation arrangements. As a result, NewGenIvf’s expenses associated with the compensation may increase, which may also have an adverse effect on its results of operations.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Share Incentive Plan allows NewGenIvf to enhance its ability to attract and retain exceptionally qualified individuals and agents and to encourage them to acquire a proprietary interest in the company’s growth and performance. Competition for highly skilled personnel and agents is often intense and NewGenIvf may incur significant costs or may not be successful in attracting, integrating, or retaining qualified personnel and agents to fulfill NewGenIvf’s current or future needs. NewGenIvf believes that the granting of share-based awards is of significant importance to NewGenIvf’s ability to attract and retain agents, key personnel and employees, and NewGenIvf will continue to grant share-based awards in the future. In addition, NewGenIvf may, with the approval of its Compensation Committee and the Board, revise the terms of, and increase the size of, its share incentive plan, to ensure that it is able to attract and retain agents, key personnel and employees. On March 31, 2025, NewGenIvf’s Board approved certain amendments to its Share Incentive Plan, including the increase of the size of the share incentive plan to 20% of the outstanding shares of the Company from time to time. On May 27, 2026, NewGenIvf’s Board approved the replenishment of the share incentive award pool to a total of 555,584 ordinary shares (equivalent to 61,732 ordinary shares as adjusted by Reverse Stock Split) in the Company, equivalent to 20% of the total outstanding shares of the Company as on May 26, 2026. As a result, NewGenIvf’s expenses associated with share-based compensation may increase, which may have an adverse effect on NewGenIvf’s results of operations. The amended share incentive plan is available as Exhibit 4.32. As of this prospectus date, Siu Wing Fung Alfred and Hei Yue Fong Tina had each received 6,317 Class B shares (adjusted for Reverse Stock Split) through the Company’s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successfully market and sell its services and products in Asia-Pacific markets, NewGenIvf must address many international business risks with which NewGenIvf has limited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is subject to risks in connection with changes in international, national and local economic and market conditions, including the effects of global financial crises, effects of terrorist acts and war and global pandemics. Such economic changes could negatively impact infertile couples’ abilities to pay for fertility treatments around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strategy is to increase its international presence in Asia-Pacific countries and its international sales are subject to a number of risks, including: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increased competition as a result of more products and procedures receiving regulatory approval or otherwise free to market in international markets;</w:t>
            </w:r>
          </w:p>
        </w:tc>
      </w:tr>
    </w:tbl>
    <w:p>
      <w:pPr>
        <w:pStyle w:val="TextBody"/>
        <w:bidi w:val="0"/>
        <w:spacing w:before="0" w:after="0"/>
        <w:ind w:left="960" w:right="0" w:hanging="48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sz w:val="20"/>
              </w:rPr>
            </w:pPr>
            <w:r>
              <w:rPr>
                <w:sz w:val="20"/>
              </w:rPr>
              <w:t>longer accounts receivable payment cycles and difficulties in collecting accounts receivable;</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sz w:val="20"/>
              </w:rPr>
            </w:pPr>
            <w:r>
              <w:rPr>
                <w:sz w:val="20"/>
              </w:rPr>
              <w:t>reduced or varied protection for intellectual property rights in some countries;</w:t>
            </w:r>
          </w:p>
        </w:tc>
      </w:tr>
    </w:tbl>
    <w:p>
      <w:pPr>
        <w:pStyle w:val="TextBody"/>
        <w:bidi w:val="0"/>
        <w:spacing w:before="0" w:after="0"/>
        <w:ind w:left="960" w:right="0" w:hanging="48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sz w:val="20"/>
              </w:rPr>
            </w:pPr>
            <w:r>
              <w:rPr>
                <w:sz w:val="20"/>
              </w:rPr>
              <w:t>export restrictions, trade regulations, and foreign tax laws;</w:t>
            </w:r>
          </w:p>
        </w:tc>
      </w:tr>
    </w:tbl>
    <w:p>
      <w:pPr>
        <w:pStyle w:val="TextBody"/>
        <w:bidi w:val="0"/>
        <w:spacing w:before="0" w:after="0"/>
        <w:ind w:left="960" w:right="0" w:hanging="48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fluctuations in currency exchange rates;</w:t>
            </w:r>
          </w:p>
        </w:tc>
      </w:tr>
    </w:tbl>
    <w:p>
      <w:pPr>
        <w:pStyle w:val="TextBody"/>
        <w:bidi w:val="0"/>
        <w:spacing w:before="0" w:after="0"/>
        <w:ind w:left="960" w:right="0" w:hanging="48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sz w:val="20"/>
              </w:rPr>
            </w:pPr>
            <w:r>
              <w:rPr>
                <w:sz w:val="20"/>
              </w:rPr>
              <w:t>foreign certification and regulatory clearance or approval requirements;</w:t>
            </w:r>
          </w:p>
        </w:tc>
      </w:tr>
    </w:tbl>
    <w:p>
      <w:pPr>
        <w:pStyle w:val="TextBody"/>
        <w:bidi w:val="0"/>
        <w:spacing w:before="0" w:after="0"/>
        <w:ind w:left="960" w:right="0" w:hanging="48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sz w:val="20"/>
              </w:rPr>
            </w:pPr>
            <w:r>
              <w:rPr>
                <w:sz w:val="20"/>
              </w:rPr>
              <w:t>customs clearance and shipping delays;</w:t>
            </w:r>
          </w:p>
        </w:tc>
      </w:tr>
    </w:tbl>
    <w:p>
      <w:pPr>
        <w:pStyle w:val="TextBody"/>
        <w:bidi w:val="0"/>
        <w:spacing w:before="0" w:after="0"/>
        <w:ind w:left="960" w:right="0" w:hanging="48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sz w:val="20"/>
              </w:rPr>
            </w:pPr>
            <w:r>
              <w:rPr>
                <w:sz w:val="20"/>
              </w:rPr>
              <w:t>political, social, and economic instability abroad, terrorist attacks, and security concerns in general;</w:t>
            </w:r>
          </w:p>
        </w:tc>
      </w:tr>
    </w:tbl>
    <w:p>
      <w:pPr>
        <w:pStyle w:val="TextBody"/>
        <w:bidi w:val="0"/>
        <w:spacing w:before="0" w:after="0"/>
        <w:ind w:left="960" w:right="0" w:hanging="48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sz w:val="20"/>
              </w:rPr>
            </w:pPr>
            <w:r>
              <w:rPr>
                <w:sz w:val="20"/>
              </w:rPr>
              <w:t>preference for locally provided services;</w:t>
            </w:r>
          </w:p>
        </w:tc>
      </w:tr>
    </w:tbl>
    <w:p>
      <w:pPr>
        <w:pStyle w:val="TextBody"/>
        <w:bidi w:val="0"/>
        <w:spacing w:before="0" w:after="0"/>
        <w:ind w:left="960" w:right="0" w:hanging="48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sz w:val="20"/>
              </w:rPr>
            </w:pPr>
            <w:r>
              <w:rPr>
                <w:sz w:val="20"/>
              </w:rPr>
              <w:t>potentially adverse tax consequences, including the complexities of foreign value-added tax systems;</w:t>
            </w:r>
          </w:p>
        </w:tc>
      </w:tr>
    </w:tbl>
    <w:p>
      <w:pPr>
        <w:pStyle w:val="TextBody"/>
        <w:bidi w:val="0"/>
        <w:spacing w:before="0" w:after="0"/>
        <w:ind w:left="960" w:right="0" w:hanging="48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the burdens of complying with a wide variety of foreign laws and different legal standards; and</w:t>
            </w:r>
          </w:p>
        </w:tc>
      </w:tr>
    </w:tbl>
    <w:p>
      <w:pPr>
        <w:pStyle w:val="TextBody"/>
        <w:bidi w:val="0"/>
        <w:spacing w:before="0" w:after="0"/>
        <w:ind w:left="960" w:right="0" w:hanging="48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sz w:val="20"/>
              </w:rPr>
            </w:pPr>
            <w:r>
              <w:rPr>
                <w:sz w:val="20"/>
              </w:rPr>
              <w:t>increased financial accounting and reporting burdens and complexities.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these risks are realized, its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sentiment and distrust of the use of assisted reproductive technology may lead to less demand for fertility services. Assisted reproductive technologies, including genetic testing, technologies used for surrogacy and egg donation and gender selection, have raised ethical, legal and social issues regarding privacy and the appropriate uses of the resulting information. Government authorities could, for social or other purposes, limit or regulate the use of assisted reproductive technology to certain conditions. Similarly, these concerns may lead patients to refuse to use, or physicians to be reluctant to order, assisted reproductive services even if permissible. These and other ethical, legal and social concerns may limit market acceptance of fertility services or reduce patient demand for such services, either of which could have a material adverse effect on the business, financial condition and results of operations of the medical facilities in NewGenIvf’s network, and NewGenIvf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reliant on revenue from international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Fertility services revenue from international clients are an important part of NewGenIvf’s revenue, though NewGenIvf is expanding rapidly into the local markets. The number of international clients travelling to Thailand, Cambodia and Kyrgyzstan to seek fertility services may, however, be affected by a number of factors, including the economic status of the foreign client’s country of origin, the relative exchange rate of the client’s home currency to the relevant authorities, which may affect the cost of treatment, natural disasters, pandemics like COVID-19, and political tension or acts of terrorism in such countries and the region. For example, the COVID-19 had resulted in a number of countries declaring a state of emergency and a number of countries, including the countries in Asian Pacific, imposing extensive travel restrictions, which in turn caused a decrease in the numbers of internal clients traveling to Thailand, Cambodia or Kyrgyzstan for treatments.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events could cause a postponement or a reduction in the number of clients traveling to Thailand, Cambodia or Kyrgyzstan, and could in turn affect revenues from international clients, which is the significant contributor in terms of volume. A decline in the medical tourism industry may have a material adverse effect on NewGenIvf’s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and adverse effect on NewGenIvf’s results of operations and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reporting currency is U.S. dollars. The functional currency of NewGenIvf and its subsidiaries include Hong Kong dollar (“HK$”), Thai baht (“THB”), and United States dollar (“USD”). Accordingly, fluctuations in the value of HK$, and THB relative to the USD could affect its results of operations due to translational remeasurements. As its international operations expand, an increasing portion of its revenue and operating expenses may be denominated in non- HK$, and THB currencies. Accordingly, NewGenIvf’s revenue and operating expenses will become increasingly subject to fluctuations due to changes in foreign currency exchange rates. If NewGenIvf is not able to successfully hedge against the risks associated with currency fluctuations, NewGenIvf’s business, financial condition and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limit NewGenIvf’s ability to utilize NewGenIvf’s net revenue effectively and affect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and expenses for its businesses are substantially denominated in THB, which are currently not freely convertible currencies. A portion of such revenue must be converted into other currencies in order to meet its foreign currency obligations. For example, NewGenIvf’s subsidiaries will need to obtain foreign currency to make payments of declared dividends, if any, on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existing foreign exchange regulations in Thailand, NewGenIvf will be able to make current account foreign exchange transactions. However, in the future, governments may take measures, at its discretion, to restrict access to foreign currencies for capital account and current account transactions under certain circumstances. If such measures are implemented, NewGenIvf may not be able to pay dividends in foreign currencies to holders of its shares. Foreign exchange transactions under its capital account are subject to significant foreign exchange controls and require certain approvals. These limitations could affect our ability to obtain foreign exchange through offshore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THB against the U.S. dollar and other currencies fluctuates, and is subject to changes resulting from policies of the Thailand and other governments, and depends to a large extent on domestic and international economic and political developments as well as supply and demand in the local market. For example, the Bank of Thailand, which is the central bank of Thailand, is responsible for formulating and implementing monetary policies in the country to maintain the price stability and promote economic stability and sustainable growth. The Bank of Thailand imposes (four) measures in preventing THB fluctuation. Those are measures to limit THB liquidity, to curb capital inflows, to limit the flows on Non-resident Bank Account and Non-resident Baht for Securities, and to limit the flows on Non-Deliverable Forward transactions. With an increased floating range of the THB’s value against foreign currencies and a more market-oriented mechanism for determining the mid-point exchange rates, the THB may further appreciate or depreciate significantly in value against the U.S. dollar or other foreign currencies in the long-term, depending on the fluctuation of the basket of currencies against which it is currently valued, or it may be permitted to enter into a full float, which may also result in a significant appreciation or depreciation of the THB against the U.S. dollar or other foreign currencies. It cannot be assured that THB will not experience significant appreciation or depreciation against the U.S. dollar or other foreign currencies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NewGenIvf is also currently required to obtain approvals before converting significant sums of foreign currencies into THB. All of these factors could materially and adversely affect its business, results of operations, financial condition and prospects, and could reduce the value of, and dividends payable on, its shares in foreign currency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could cause the price of our Ordinary Shares to decrease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Class A Ordinary Shares in the public market after the completion of this offering, or the perception that these sales could occur, could adversely affect the market price of the Class A Ordinary Shares and materially impair our ability to raise capital through equity offerings in the future. The Class A Ordinary Shares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if any. We cannot predict what effect, if any, market sales of securities held by our significant shareholders or any other shareholder or the availability of these securities for future sale will have on the market price of the Class A Ordinary Shares See “Plan of Distribution” and “Shares Eligible for Future Sale” for a more detailed description of the restrictions on selling our securities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may limit your ability to influence corporate matters and could discourage others from pursuing any change of control transactions that holders of our Class A Ordinary Shares may view as beneficial.</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Each Class A Ordinary Share is entitled to one (1) vote, while each Class B Ordinary Share is entitled to one hundred (100) votes with all Ordinary Shares voting together as a single class on most matters. Each Class B Ordinary Share is convertible into one Class A Ordinary Share at any time by the holder thereof, while Class A Ordinary Shares are not convertible into Class B Ordinary Shares under any circumstances. Only Class A Ordinary Shares are listed and traded on NASDAQ, and we intend to maintain the dual-class voting structure. Mr. Wing Fung Alfred Siu and Ms. Hei Yue Tina Fong beneficially own all of the issued Class B Ordinary Shares. As of the date of this prospectus, these Class B Ordinary Shares constitute approximately 0.52% of our total issued and outstanding shares and 34.46% of the aggregate voting power of our total issued and outstanding shares due to the disparate voting powers associated with our dual-class share structure. As a result of the dual-class share structure and the concentration of control, holders of Class B Ordinary Shares have considerable influence over matters such as decisions regarding election of directors and other significant corporate actions. Such holders may take actions that are not in the best interest of us or our other shareholders.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limit the ability of holders of Class A Ordinary Shares to influence corporate matters and could discourage others from pursuing any potential merger, takeover, or other change of control transactions that holders of Class A Ordinary Shares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Substantially all of NewGenIvf’s assets and operations are located in Thailand, Cambodia and Kyrgyzstan and they are subject to economic, legal and regulatory uncertainties in such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NewGenIvf’s operations and assets are based in Thailand, Cambodia and Kyrgyzstan. As a result, its businesses and operations are subject to the changing economic conditions prevailing from time to time in such countries. Since 2020, Thailand’s economy has been experiencing a slowdown. According to the National Economic and Social Development Board of Thailand (the “NESDB”) the GDP growth rate of Thailand declined to minus 6.1% in 2020 and slightly recovered to 1.6% in 2021 and 2.6% in 2022. Under such conditions, the NESDB projected that Thailand’s economy will only grow by 3.0% to 4.0% in 2023, lower than the previously growth in historical years. Meanwhile, Cambodia’s post-pandemic economic recovery has gained momentum, but remains uneven. Traditional growth drivers, especially manufacturing and agricultural commodities exports, have fully recovered. However, while travel and tourism have improved, the sector remains well below pre-COVID-19 levels. The subsequent impact also caused the vendors and customers preference change, lower the willingness travelling to Kyrgyzstan for surrogacy services. The economy is projected to grow, underpinned by merchandise exports and domestic economic activity. Foreign direct investment, while diversified, remains affected by China’s related COVID-19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derives a substantial portion of its revenue from Chinese clients and as such, its maintenance of PRC-sourced revenues and access to new and existing clients from the PRC are also subject to the economic conditions of China. However, the near-term growth prospects of the PRC economy are unclear due to the uncertain effects of ongoing economic stress caused by policies to contain the COVID-19 pandemic, trade and national security policies, and the elevated levels of private and public indebtedness, among others. According to the National Statistics Bureau of the PRC, growth rate of China’s GDP for the year 2022 slowed down to 3.0% on a year-on-year basis compared to the growth rate of approximately 8.4% for the year 2021. In 2023, China’s GDP grew 5.2% while China’s 2024 GDP growth rate was 5%. A prolonged downturn in the PRC economy generally could materially and adversely affect NewGenIvf’s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adversely affect the economy and conditions in such countries include:</w:t>
      </w:r>
    </w:p>
    <w:p>
      <w:pPr>
        <w:pStyle w:val="TextBody"/>
        <w:bidi w:val="0"/>
        <w:spacing w:before="0" w:after="0"/>
        <w:ind w:left="960" w:right="0" w:hanging="48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170"/>
        <w:gridCol w:w="1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sz w:val="20"/>
              </w:rPr>
            </w:pPr>
            <w:r>
              <w:rPr>
                <w:sz w:val="20"/>
              </w:rPr>
              <w:t>political instability; </w:t>
            </w:r>
          </w:p>
        </w:tc>
      </w:tr>
    </w:tbl>
    <w:p>
      <w:pPr>
        <w:pStyle w:val="TextBody"/>
        <w:bidi w:val="0"/>
        <w:spacing w:before="0" w:after="0"/>
        <w:ind w:left="960" w:right="0" w:hanging="48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both"/>
              <w:rPr>
                <w:sz w:val="20"/>
              </w:rPr>
            </w:pPr>
            <w:r>
              <w:rPr>
                <w:sz w:val="20"/>
              </w:rPr>
              <w:t>global economic conditions;</w:t>
            </w:r>
          </w:p>
        </w:tc>
      </w:tr>
    </w:tbl>
    <w:p>
      <w:pPr>
        <w:pStyle w:val="TextBody"/>
        <w:bidi w:val="0"/>
        <w:spacing w:before="0" w:after="0"/>
        <w:ind w:left="960" w:right="0" w:hanging="48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sz w:val="20"/>
              </w:rPr>
            </w:pPr>
            <w:r>
              <w:rPr>
                <w:sz w:val="20"/>
              </w:rPr>
              <w:t>exchange rate fluctuations and the exchange control policy of the banks;</w:t>
            </w:r>
          </w:p>
        </w:tc>
      </w:tr>
    </w:tbl>
    <w:p>
      <w:pPr>
        <w:pStyle w:val="TextBody"/>
        <w:bidi w:val="0"/>
        <w:spacing w:before="0" w:after="0"/>
        <w:ind w:left="960" w:right="0" w:hanging="48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sz w:val="20"/>
              </w:rPr>
            </w:pPr>
            <w:r>
              <w:rPr>
                <w:sz w:val="20"/>
              </w:rPr>
              <w:t>a prolonged period of inflation or increase in regional interest rates;</w:t>
            </w:r>
          </w:p>
        </w:tc>
      </w:tr>
    </w:tbl>
    <w:p>
      <w:pPr>
        <w:pStyle w:val="TextBody"/>
        <w:bidi w:val="0"/>
        <w:spacing w:before="0" w:after="0"/>
        <w:ind w:left="960" w:right="0" w:hanging="48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170"/>
        <w:gridCol w:w="1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both"/>
              <w:rPr>
                <w:sz w:val="20"/>
              </w:rPr>
            </w:pPr>
            <w:r>
              <w:rPr>
                <w:sz w:val="20"/>
              </w:rPr>
              <w:t>changes in taxation;</w:t>
            </w:r>
          </w:p>
        </w:tc>
      </w:tr>
    </w:tbl>
    <w:p>
      <w:pPr>
        <w:pStyle w:val="TextBody"/>
        <w:bidi w:val="0"/>
        <w:spacing w:before="0" w:after="0"/>
        <w:ind w:left="960" w:right="0" w:hanging="48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sz w:val="20"/>
              </w:rPr>
            </w:pPr>
            <w:r>
              <w:rPr>
                <w:sz w:val="20"/>
              </w:rPr>
              <w:t>changes in government policies affecting import and export volumes;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sz w:val="20"/>
              </w:rPr>
            </w:pPr>
            <w:r>
              <w:rPr>
                <w:sz w:val="20"/>
              </w:rPr>
              <w:t>decline in tourism;</w:t>
            </w:r>
          </w:p>
        </w:tc>
      </w:tr>
    </w:tbl>
    <w:p>
      <w:pPr>
        <w:pStyle w:val="TextBody"/>
        <w:bidi w:val="0"/>
        <w:spacing w:before="0" w:after="0"/>
        <w:ind w:left="960" w:right="0" w:hanging="48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natural disasters, including tsunamis, earthquakes, fires, floods, drought and similar events;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potential recurrence or outbreak of avian influenza, severe acute respiratory syndrome or other infectious or contagious diseases like COVID-19 in Asian countries, and governmental policies to address such outbreak;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scarcity of credit or other financing, resulting in lower demand for products and services provided by companies in the region;</w:t>
            </w:r>
          </w:p>
        </w:tc>
      </w:tr>
    </w:tbl>
    <w:p>
      <w:pPr>
        <w:pStyle w:val="TextBody"/>
        <w:bidi w:val="0"/>
        <w:spacing w:before="0" w:after="0"/>
        <w:ind w:left="960" w:right="0" w:hanging="48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sz w:val="20"/>
              </w:rPr>
            </w:pPr>
            <w:r>
              <w:rPr>
                <w:sz w:val="20"/>
              </w:rPr>
              <w:t>increases in oil prices and other commodity prices;</w:t>
            </w:r>
          </w:p>
        </w:tc>
      </w:tr>
    </w:tbl>
    <w:p>
      <w:pPr>
        <w:pStyle w:val="TextBody"/>
        <w:bidi w:val="0"/>
        <w:spacing w:before="0" w:after="0"/>
        <w:ind w:left="960" w:right="0" w:hanging="48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sz w:val="20"/>
              </w:rPr>
            </w:pPr>
            <w:r>
              <w:rPr>
                <w:sz w:val="20"/>
              </w:rPr>
              <w:t>decreased consumer confidence;</w:t>
            </w:r>
          </w:p>
        </w:tc>
      </w:tr>
    </w:tbl>
    <w:p>
      <w:pPr>
        <w:pStyle w:val="TextBody"/>
        <w:bidi w:val="0"/>
        <w:spacing w:before="0" w:after="0"/>
        <w:ind w:left="960" w:right="0" w:hanging="48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sz w:val="20"/>
              </w:rPr>
            </w:pPr>
            <w:r>
              <w:rPr>
                <w:sz w:val="20"/>
              </w:rPr>
              <w:t>other external recessions or potential economic downturns in the United States, Asia or other parts of the world; and</w:t>
            </w:r>
          </w:p>
        </w:tc>
      </w:tr>
    </w:tbl>
    <w:p>
      <w:pPr>
        <w:pStyle w:val="TextBody"/>
        <w:bidi w:val="0"/>
        <w:spacing w:before="0" w:after="0"/>
        <w:ind w:left="960" w:right="0" w:hanging="48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other regulatory, political or economic developments in or affecting the countries.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conditions in Thailand, Cambodia, Kyrgyzstan and China are also affected by global economic conditions. The global credit markets have experienced, and may continue to experience, volatility and liquidity disruptions, which have resulted in the consolidation, failure or near failure of a number of institutions in the banking and insurance industries. There remains a concern that a return of the debt crisis in Europe, the political unrest in the Middle East and Eastern Europe as well as rumors or threats or actual terrorist attacks or conflicts in the Middle East, Southeast Asia, Eastern Europe or other regions will impinge upon the health of the global financial system. These or other such events could adversely affect NewGenIvf’s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economies and social conditions of Thailand, Cambodia, Kyrgyzstan and China will meet current projections or improve in the future. Any instability or economic downturn could have a material adverse effect on NewGenIvf’s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terms of future financing arrangements could result in default, which could have an adverse effect on NewGenIvf’s cash flow and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from time to time enter into credit facilities and debt financing arrangements containing financial and other covenants that could, among other things, restrict NewGenIvf’s business and operations. If NewGenIvf breaches any of these covenants, including the failure to maintain certain financial ratios, NewGenIvf’s lenders may be entitled to accelerate NewGenIvf’s debt obligations. Any default under the credit facility could result in the repayment of these loans prior to maturity as well as the inability to obtain additional financing, which in turn may have a material adverse effect on NewGenIvf’s cash flow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requires a significant amount of capital to fund its operations and growth. If NewGenIvf cannot obtain sufficient capital on acceptable terms, its business, financial condition, and prospects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requires a significant amount of capital and resources for its operations and continued growth. NewGenIvf expects to make significant investments to fund operations, laboratory upgrades, new strategic investments in Solana and residential property development in United Arab Emirates, among other things, which may significantly increase NewGenIvf’s net cash used in operating activities. In addition, NewGenIvf will continue to invest in laboratory and facilities which are fundamental to NewGenIvf’s business operation and future growth. However, NewGenIvf cannot assure you that these investments will generate the optimal returns, if at all. To date, NewGenIvf has historically funded its cash requirements primarily through operational, capital contributions from its shareholders and short-term or long-term borrowings. If these resources are insufficient to satisfy NewGenIvf’s cash requirements, NewGenIvf may seek to raise funds through additional equity offering or debt financing or additional bank facilities. NewGenIvf’s ability to obtain additional capital in the future, however, is subject to a number of uncertainties, including those relating to its future business development, financial condition, and results of operations, general market conditions for financing activities by companies in its industry, and macro-economic and other conditions in Thailand, Cambodia, Kyrgyzstan and globally. If NewGenIvf cannot obtain sufficient capital on acceptable terms to meet its capital needs, NewGenIvf may not be able to execute its growth strategies, and NewGenIvf’s business, financial condition,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proposed Solana digital assets purchase arrangement with White Lion is novel and subject to extreme volatility and regulatory scrutiny.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NewGenIvf announced its entry into a binding term sheet with White Lion Capital LLC to potentially receive up to 600,000 Solana tokens in exchange for shares of the Company. This is a novel financing structure that presents unique risks. The value of our compensation is directly tied to the price of SOL, which has been and is likely to continue to be highly volatile. A decline in the price of SOL could significantly reduce the capital we receive. Furthermore, the regulatory treatment of such a transaction is uncertain and could be challenged by the SEC or other regulators, potentially leading to restrictions, fines, or the invalidation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defects in certain leased property interests and failure to register certain lease agreements may materially and adversely affect NewGenIvf’s business, financial condition, results of operations, and prospects.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leases premises in Hong Kong, Thailand, Cambodia and Kyrgyzstan in various locations. With respect to property leased by First Fertility PGS Center in Thailand, the lessors did not have or provide NewGenIvf with property ownership certificates or other documents evidencing their rights to lease such premises to First Fertility PGS Center. Therefore, NewGenIvf cannot assure that it will not be subject to any challenges, lawsuits, or other actions taken against First Fertility PGS Center with respect to its leased premises for which the relevant lessors do not have valid title or right to lease. If First Fertility PGS Center’s lessors’ right to lease premises is successfully challenged by any third party, First Fertility PGS Center’s lease agreements may not be enforceable and NewGenIvf may be forced to vacate the premises and relocate to a different location. Under such circumstances, NewGenIvf expects to incur relocation costs of up to THB3 million and expects that there would not be material business interruption costs,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failure of the lessor to provide sufficient legal evidence of its right to lease the premises has prevented First Fertility PGS Center from registering the clinic with the Bangkok Metropolitan Authority (“BMA”) as required under the Public Health Act B.E. 2535 (1992) (the “PHA”). Under Section 71 of the PHA, First Fertility PGS Center and its directors are subject to imprisonment of up to 6 (six) months and a fine of up to THB50,000, or both. The BMA could also order First Fertility PGS Center to stop operating the clinic which would require relocation of the clinic if First Fertility PGS Center could not make the necessary registration. Under such circumstances, First Fertility PGS Center expects to incur relocation costs of up to THB3 million and expects that there would not be material business interruption costs,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of NewGenIvf’s directors or officers, namely Ms. Fong, Hei Yue Tina, is also a director of First Fertility PGS Center. NewGenIvf believes that if First Fertility PGS Center’s directors, including Ms. Fong, are found guilty of the above offence and subject to imprisonment, the resulting impact on NewGenIvf’s business, results of operations and financial conditions would be limited, as Ms. Fong has limited involvement in the day-to-day management of First Fertility PGS Center’s operations and Mr. Siu, Wing Fung Alfred and the other directors and officers of NewGenIvf and its subsidiaries would be able to keep operating the group’s and First Fertility PGS Center’s activities with limited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currently has no insurance coverage for its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are exposed to potential liabilities that are inherent to the provision of services. Medical and other liabilities may not be fully covered by insurance and the medical facilities may face claims in excess of the insurance coverage or claims which are not covered by insurance due to other policy limitations or exclusions or where the medical facilities in NewGenIvf’s network have failed to comply with the terms of the policy. Any uninsured risks may result in substantial costs and the diversion of resources, which could adversely affect its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industries in Thailand, Cambodia and Kyrgyzstan are still at early stages of development, and insurance companies in Thailand, Cambodia and Kyrgyzstan currently offer limited business-related insurance products. NewGenIvf does not currently maintain insurance. NewGenIvf cannot assure you that the medical facilities in its network will be able to obtain and/or maintain medical liability insurance on acceptable terms or without substantial premium increases or at all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NewGenIvf’s business expands, the cost for each medical facility in its network and NewGenIvf to maintain an adequate level of insurance may become increasingly high. NewGenIvf cannot ensure that the medical facilities in its network will be able to locate or purchase appropriate insurance to cover the expanding operations in time, on commercially reasonable terms or at all. Any significant uninsured loss could have material and adverse effects on the financial condition and results of operations of the medical facilities in NewGenIvf’s network, and thus may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NewGenIvf does not currently maintain professional malpractice liability insurance for its physicians and nurses. As a result, NewGenIvf may be subject to medical disputes and claims arising under relevant laws from time to time, which could cause substantial damage to NewGenIvf if not covered by professional malpractice liability insurance. Any dispute with clients, or any legal proceeding involving the physicians of the medical facilities or medical professionals, regardless of its merit or eventual outcome, could result in significant legal costs and financial and/or reputational damages to the medical facilities and NewGenIvf and materially and adversely affect the business, financial condition and results of operations of the medical facilities in NewGenIvf’s network, and further affect its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not be successful in adapting to technological developments, which may affect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new technologies could be developed or scientific advances made by NewGenIvf’s competitors, or elsewhere and licensed to NewGenIvf’s competitors, which cannot be replicated by NewGenIvf without significant capital expenditure or at all, or that replace or reduce the requirement for assisted reproductive services, ultrasound or specialized diagnostics. The consequences for NewGenIvf of the development of new technologies could include lower or loss of revenues, loss of market position and reduced prospects of NewGenIvf.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businesses in Thailand, Cambodia and Kyrgyzstan are increasingly dependent on critical, complex and interdependent information technology systems to support business processes as well as internal and external communications. NewGenIvf’s success is therefore dependent in part on its ability to secure, integrate, develop, redesign and enhance its (or contract with vendors to provide) technology systems that support its business strategy initiatives and processes in a compliant, secure, and cost and resource efficient manner. If NewGenIvf or its providers, specialty pharmacies or other downstream vendors have an issue with its or their respective technology systems, it may result in a disruption to its operations or downstream disruption to its relationships with its clients or its selective network of high-quality fertility specialists. Additionally, if NewGenIvf chooses to insource any of the services currently handled by a third party, it may result in technological or operational disruptions.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despite the implementation of security measures, its internal computer systems, and those of its provider clinics, specialty pharmacies or other downstream vendors, are potentially vulnerable to damage from malicious intrusion, malware, computer viruses, unauthorized access, natural disasters, terrorism, war and telecommunication and electrical failures. While NewGenIvf is not aware that it has experienced any such system failure, accident or security breach to date, if such an event were to occur and cause interruptions in its operations, it could result in a material disruption to its ability to operate and deliver its solutions. In addition, to the extent that any disruption or security breach were to result in a loss or inappropriate disclosure of confidential information, NewGenIvf could incur liability. See “— </w:t>
      </w:r>
      <w:r>
        <w:rPr>
          <w:rFonts w:ascii="Times New Roman;Times;Serif" w:hAnsi="Times New Roman;Times;Serif"/>
          <w:b w:val="false"/>
          <w:i/>
          <w:caps w:val="false"/>
          <w:smallCaps w:val="false"/>
          <w:sz w:val="20"/>
        </w:rPr>
        <w:t>Risks Related to Government Regulation — 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 — Data Protection and Breaches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share purchase program may not be fully implemented and may not enhance shareholder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the Company announced a share repurchase program (“Share Repurchase Program”) under which the Company may repurchase up to US$2 million of its outstanding Class A ordinary shares over the next 24 months. The Share Repurchase Program authorizes the Company to repurchase its shares from time to time through open market purchases, in privately negotiated transactions, or by other means in accordance with applicable securities laws. The timing and actual number of shares repurchased will depend on a variety of factors, including stock price, trading volume, general business and market conditions, and the requirements under Rule 10b-18 and/or Rule 10b5-1 of the Exchange Act. The Board will review the Share Repurchase Program periodically, and may authorize adjustment of its terms and size or suspend or discontinue the program. The repurchase program will be funded using the Company’s existing cash reserves. The execution of this program is discretionary and subject to market conditions, regulatory requirements, and our cash flow needs. We may suspend or terminate the program at any time. There is no guarantee that the program will be fully consummated or that it will lead to an increase in the trading price of our Class A Ordinary Shares. The use of cash for repurchases will also reduce the capital available for other corporate purposes, including funding our new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NewGenIvf’s Relationships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performance and success is dependent upon its continued ability to maintain a credentialed network of high-quality fertility specialists, including its senior management team, other key employees, as well as research and development and operation maintenance personnel, many of whom are difficult to replace. Fertility specialists could refuse to contract, demand higher payments or take other actions that could result in higher medical costs, less attractive service for its clients or difficulty meeting regulatory or accreditation requirements. Identifying high-quality fertility specialists, credentialing and negotiating contracts with them and evaluating, monitoring and maintaining its network, requires significant time and resources. Competition in the healthcare industry for qualified employees is intense. NewGenIvf may need to offer higher compensation and other benefits in order to attract and retain key personnel in the future, which could increase NewGenIvf’s compensation expenses, including stock-based compensation. NewGenIvf’s continued ability to compete effectively depends on NewGenIvf’s ability to attract new employees and to retain and motivate NewGenIvf’s existing employees. If NewGenIvf is not successful in maintaining its relationships with top fertility specialists, these fertility specialists may refuse to renew their contracts with it,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its network. Its ability to develop and maintain satisfactory relationships with high-quality fertility specialists also may be negatively impacted by other factors not associated with it,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it and may compete directly with it, which could adversely affect its business, financial condition and results of operations. NewGenIvf intends to grant, and may continue to grant, options and other types of awards, which may result in increased share-based compensation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Share Incentive Award will allow NewGenIvf to enhance its ability to attract and retain exceptionally qualified individuals and agents and to encourage them to acquire a proprietary interest in the company’s growth and performance. Competition for highly skilled personnel and agents is often intense and NewGenIvf may incur significant costs or may not be successful in attracting, integrating, or retaining qualified personnel and agents to fulfill NewGenIvf’s current or future needs. NewGenIvf believes that the granting of share-based awards is of significant importance to NewGenIvf’s ability to attract and retain agents, key personnel and employees, and NewGenIvf will continue to grant share-based awards in the future. In addition, NewGenIvf may, with the approval of its Compensation Committee and the Board, revise the terms of, and increase the size of, its share incentive plan, to ensure that it is able to attract and retain agents, key personnel and employees. On March 31, 2025, NewGenIvf’s Board approved certain amendments to its Share Incentive Plan, including the increase of the size of the share incentive plan to 20% of the outstanding shares of the Company from time to time. On May 27, 2026, NewGenIvf’s Board approved the replenishment of the share incentive award pool to a total of 555,584 ordinary shares (61,732 shares as adjusted by Reverse Stock Split) in the Company, equivalent to 20% of the total outstanding shares of the Company as on May 26, 2026. On July 24, NewGenIvf’s Board approved the replenishment of the share incentive award pool to a total of 691,574 ordinary shares (230,525 shares as adjusted by Reverse Stock Split) in the Company, equivalent to 20% of the total outstanding shares of the Company as on July 24, 2026 As a result, NewGenIvf’s expenses associated with share-based compensation may increase, which may have an adverse effect on NewGenIvf’s results of operations. The amended share incentive plan is available as Exhibit 4.32.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the retirement or loss of certain specialists, scientific staff or other key personnel, the activities of competitors, the introduction of a competing service that is perceived to be superior to the services provided by NewGenIvf, or other events which impact NewGenIvf’s reputation could adversely affect NewGenIvf’s relationships with fertility specialists. For example, one specialist who was previously engaged by NewGenIvf brought a lawsuit against NewGenIvf regarding disputed remuneration, which resulted in a settlement for NewGenIvf to compensate the specialist with a sum of approximately US$98,000. Also, fertility specialists’ relationship with NewGenIvf could affect their behaviors in recommending NewGenIvf’s services or referring patients to NewGenIvf, which could in turn adversely impact the number of patients treated by NewGenIvf and adversely impact on its financial performance, market position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perceived value of NewGenIvf’s solutions and its reputation may be negatively impacted if the services provided by fertility specialists or other healthcare providers are not satisfactory to NewGenIvf’s clients, including as a result of error that could result in litigation. For example, if fertility specialist or other healthcare provider releases sensitive information of its clients, it could incur additional expenses and give rise to litigation against NewGenIvf. Any such issue with one of its providers may expose it to public scrutiny, adversely affect its brand and reputation, expose it to litigation or regulatory action, and otherwise make its operations vulnerable. Further, if its services result in less than favorable outcomes, this could cause it to fail to meet its contractually guaranteed specified service metrics, and NewGenIvf could be obligated to provide the client with a fee reduction or a second chance for free, depending on their contract terms. The failure to maintain its selective network of high-quality fertility specialists or the failure of those specialists to meet and exceed its clients’ expectation, may result in a loss of or inability to grow or maintain its client base, which could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medical facilities and professionals in NewGenIvf’s network could become the subject of litigation, allegations and other claims, and NewGenIvf is not insured against these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relies on the physicians and other medical professionals of the assisted reproductive medical facilities in its network to make proper clinical decisions regarding the diagnosis and treatment of clients. However, NewGenIvf does not have full and direct control over every step of clinical activities undertaken at each of the medical facilities. In addition, physicians and medical professionals outside NewGenIvf’s network may introduce patients to NewGenIvf and conduct medical treatments and/or procedures for such patients in NewGenIvf’s facilities. NewGenIvf enters into independent contractor agreements with such physicians and medical professionals and treats such patients as NewGenIvf’s own patients. As such, NewGenIvf will have to bear any liabilities arising from their medical treatments and/or procedures conducted in NewGenIvf’s facilities. Any incorrect clinical decision or malpractice on the part of physicians and other medical professionals (including those from outside of its network), or any failure by the medical facilities in its network to properly manage their clinical activities may result in unsatisfactory treatment outcomes, patient injury or even death, which could lead to disputes with patients and/or their families or the medical professionals, including those from outside its network. In its experience, moreover, clients of fertility treatments tend to be more demanding on the medical services received. In addition, the relevant laws governing medical disputes and claims grant claimants liberal rights in bringing claims against physicians and other medical professionals practicing in the jurisdiction. As a result, the medical facilities in its network may be subject to medical disputes and claims arising under relevant laws, from time to time, which could generate substantial damages imposed on such facilities if not covered by professional liability insurance. Any dispute with its patients and/or their families or the medical professionals, including those from outside its network, or any legal proceeding involving the physicians of the medical facilities or medical professionals, including those from outside its network, regardless of its merit or eventual outcome, could result in significant legal costs and reputational damage to the medical facilities and materially and adversely affect the business, financial condition and results of operations of the medical facilities in its network, and further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procure a variety of pharmaceuticals, medical equipment, consumables and other supplies in NewGenIvf’s operations from third-party suppliers. As the medical facilities in NewGenIvf’s network do not engage in the direct manufacture of such supplies, NewGenIvf cannot assure you that such supplies are free of defects and meet relevant quality standards or, in the case of imported supplies, verify the origin of such products. In addition, there may be counterfeit pharmaceutical products manufactured without proper licenses or approvals or fraudulently mislabeled with respect to their content or manufacturer in the pharmaceutical markets. In some cases these products are very similar in appearance to the authentic products. The quality control checks and processes may not be able to identify all counterfeit pharmaceutical products in the inventory. Any sale of such products by the medical facilities in NewGenIvf’s network, regardless of its knowledge as to their authenticity, may subject the medical facilities to administrative sanctions, civil claims, negative publicity or reputational damage. NewGenIvf cannot assure you that the medical facilities in our network will be able to successfully claim full indemnity from such manufacturers of counterfeit pharmaceutical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cannot assure you that the medical facilities in our network will not encounter incidents relating to defective products, or that such incidents will not materially and adversely affect our network of medical facilities. If the products provided by NewGenIvf’s suppliers are defective, of poor quality or are otherwise unsafe or ineffective, the medical facilities in NewGenIvf’s network could be subject to liability claims, complaints or adverse publicity, any of which would materially and adversely affect its results of operations and reputation. NewGenIvf cannot assure you that the medical facilities in NewGenIvf’s network will find suitable replacement suppliers on commercially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suppliers are also subject to extensive laws, rules and regulations. If any suppliers violate applicable laws, rules and regulations, NewGenIvf’s reputation or procurement may be materially and adversely affected. In addition, the medical facilities in NewGenIvf’s network may be exposed to reputational damages or even liabilities for defective goods provided by the suppliers or negative publicity associated with any suppliers, and the business and results of operations of the medical facilities in NewGenIvf’s network and NewGenIvf could suffer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sub-contractors and/or agents that work with NewGenIvf are also subject to extensive laws, rules, and regulations. If any sub-contractor and/or agent violates any applicable laws, rules, regulations or breaches any agreements, NewGenIvf’s reputation may be materially and adversely affected and NewGenIvf may be penalized by regulatory or other parties. In addition, NewgenIvf’s clients may engage Newgen’s sub-contractors and/or agents for ongoing services or additional services following the termination of contracts with NewGenIvf. NewGenIvf has no control over the services provided by sub-contractors and cannot assure the quality of such services or ensure compliance with applicable laws, rules and regulations. In addition, the services provided by independent sub-contractors may expose NewGenIvf to public scrutiny, adversely affect its brand and reputation, expose it to litigation or regulatory action, and otherwise make its operations vulnerable if such independent sub-contractors fail to meet their contractual obligations or to comply with applicable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loses its relationship with one or more key pharmaceutical manufacturers, its business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maintains contractual relationships with select pharmaceutical manufacturers in Thailand, Cambodia and Kyrgyzstan. The consolidation of pharmaceutical manufacturers, the shortages of drugs provided by such manufacturers, the termination or material alteration of its contractual relationships, or its failure to renew such contracts could have a material adverse effect on its business and results of operations. Adoption of new laws, rules or regulations or changes in, or new interpretations of, existing laws, rules or regulations, relating to any of these programs could materially adversely affect its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has engaged in transactions with related parties, and such transactions present potential conflicts of interest that could have an adverse effect on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entered into a number of transactions with related parties. NewGenIvf may in the future enter into additional transactions with its related parties. Interests of these related parties may not necessarily be aligned with NewGenIvf’s or The Company’s interests and the interests of its other shareholders. For example, conflicts of interest may arise in connection with decisions regarding the transaction arrangements which may be less favorable to NewGenIvf than similar arrangements negotiated with unaffiliated third parties. Conflicts of interest may also arise in connection with the exercise of contractual remedies, such as the treatment of events of default. As a result, those related party transactions, individually or in the aggregate, may have an adverse effect on NewGenIvf’s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be subject to claims and allegations relating to intellectual property and other causes.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from time to time receive claims that NewGenIvf infringes on the intellectual property rights of others. Moreover, NewGenIvf may be subject to claims by third parties who maintain that NewGenIvf’s service providers’ technology infringes third-party’s intellectual property rights. If NewGenIvf fails to successfully defend against such claim or does not prevail in such litigation, it could be required to modify, redesign or cease operating, pay monetary amounts as damages or enter into royalty or licensing arrangements with the valid intellectual property holders. Any royalty or licensing arrangements that NewGenIvf may seek in such circumstances may not be available to it on commercially reasonable terms or at all. Also, if NewGenIvf acquires technology licenses from third parties, NewGenIvf’s exposure to infringement actions may increase because NewGenIvf must rely upon these third parties to verify the origin and ownership of such technology. This exposure to liability could result in disruptions in NewGenIvf’s business that could materially and adversely affect NewGenIvf’s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NewGenIvf’s employees may previously employed at other companies, including NewGenIvf’s competitors. NewGenIvf may hire additional personnel to expand its development team and technical support team as its business grows. To the extent these employees were involved in the development of content or technology similar to NewGenIvf’s at their former employers, NewGenIvf may become subject to claims that these employees or NewGenIvf has appropriated these employees’ former employers’ proprietary information or intellectual properties. If NewGenIvf fails to successfully defend such claims against itself, NewGenIvf may be exposed to liabilities which could have a material adverse effect on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currently not a party to any material legal or administrative proceedings but may subject to legal or administrative actions for defamation, negligence, copyright and trademark infringement, unfair competition, breach of service terms, or other purported injuries resulting from the content NewGenIvf provides or the nature of NewGenIvf’s services. Such legal and administrative actions, with or without merits, may be expensive and time-consuming and may result in significant diversion of resources and management attention from NewGenIvf’s business operations. Furthermore, such legal or administrative actions may adversely affect NewGenIvf’s brand image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data and information in this prospectus relied on by NewGenIvf were obtained from third-party data and polls. These metrics were not independently verified by NewGenIvf and may not be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numbers and information in this prospectus were obtained and provided from numerous sources including management data, third-party data or numbers generally estimated by calculating infertile couples, fertility tourism number, etc. to generally assess potential customer numbers in Asia-Pacific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metrics were not independently verified. Such databases, third-party information, and calculations may not accurately reflect actual statistics or numbers and NewGenIvf does not have access to specific rating numbers. Similarly, any statistical data in any third-party publications also include projections based on a number of assumptions. If any one or more of the assumptions underlying the market data is later found to be incorrect, actual results may differ from the projections based on these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dependent on a single joint venture partner for our real estate development project in the UAE and are subject to the legal, regulatory, and economic risks of operating in a new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 estate development project in Ras Al Khaimah, UAE, is conducted through a joint venture with BNW Real Estate Development LLC (“BNW”), on whom we are heavily reliant for the financing, construction, management, and marketing of the project. Any failure by BNW to fulfill its obligations, including covering construction costs and achieving sales targets, could jeopardize the project’s success and our anticipated returns. Furthermore, our lack of an established operating history in the UAE makes us vulnerable to unforeseen complexities in the local legal, regulatory, and business environment. This includes potential challenges in navigating local property laws, tax regulations, and commercial practices, as well as exposure to regional geopolitical tensions or economic downturns that could specifically impact the Emirate of Ras Al Khaimah. Disagreements with our joint venture partner, or the termination of our relationship, could result in disputes, delays, financial losses, and a complete failure to realize the projected US$67 million in net returns, which would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NewGenIvf are subject to various laws, rules and regulations at the national, regional and local levels in Thailand, Cambodia, Kyrgyzstan, Hong Kong, United Arab Emirates, United States of America and other applicable jurisdictions. Such laws and regulations mainly relate to (i) the licensing of local and foreign medical professionals, nursing professionals, medical technology professionals, pharmaceutical professions and other applicable licensing; (ii) the licensing, registration, and accreditation of medical facilities, laboratories, including but not limited to the licensing, registration, and accreditation of persons performing related activities; (iii) the privacy and security of confidential patient medical records; (iv) the corporate practice of medicine; (v) healthcare fraud and abuse laws; (vi) the donation and transplantation of human cells, tissues and organs; (vii) potential prohibition on surrogacy or providing intermediary assistance in surrogacy; and (viii) licensing and approval of the accommodation provided as parts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attempted to structure its operations to comply with laws, regulations and other requirements applicable to it directly and to its clients and vendors, but there can be no assurance that its operations will not be challenged or impacted by regulatory authorities or enforcement initiatives, or that the relevant authorities in each jurisdiction could impose higher standards or requirements, which NewGenIvf may have difficulty to adhere to, e.g. Medical Facilities Act B.E. 2541 (1998) and Protection of a Child Born by Medically Assisted Reproductive Technology Act B.E. 2558 (2015) for Thailand jurisdiction, Law on Reproduction Rights and on Guarantees of Their Realization of July 4, 2015 No. 148, Law on status of medical worker of May 28, 2013 No. 81 and Temporary Regulation on Procedure of Licensing Private Medical Activity approved by the resolution of government of April 4, 2017 No. 203 for Kyrgyz Republic. NewGenIvf in the future may become involved in governmental investigations, audits, reviews and assessments. Any determination by a court or agency that NewGenIvf’s solutions or services violate, or cause its clients to violate, applicable laws, regulations or other requirements could subject it or its clients to civil, criminal, or administrative penalties. Such a determination also could require it to change or terminate portions of its business, disqualify it from serving clients that do business with government entities, or cause it to refund some or all of its service fees or otherwise compensate its clients. In addition, failure to satisfy laws, regulations or other requirements could adversely affect demand for its solutions and could force it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its reputation and could adversely affect its ability to retain and attract clients. If NewGenIvf fails to comply with applicable laws, regulations and other requirements, its business, financial condition and results of operations could be adversely affected. Such non-compliance could also require significant investment to address and may prove costly. There are several additional state statutes, regulations, guidance and contractual provisions related to or impacting the healthcare industry that may apply to its business activities directly or indirectly, including, but not limited to:</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Licensing and Licensed Personnel. </w:t>
            </w:r>
            <w:r>
              <w:rPr>
                <w:sz w:val="20"/>
              </w:rPr>
              <w:t>Many countries have licensure or registration requirements for entities acting as a medical services provider. The scope of these laws differs from country to country, and the application of such laws to the activities of fertility treatment is often unclear. Given the nature and scope of the solutions and services that NewGenIvf provides, it is required to maintain the License to Operate Medical Facility Business (Sor.Por.7), the License to Manage Medical Facility Business (Sor.Por.19), License to Certify the Standard of Service relating to Medically Assisted Reproductive Technology (KorThorPhor.9), and personnel licenses, i.e., license of medical professionals, nursing professionals, medical technology professionals, pharmaceutical professions and other applicable licenses in Thailand, Approval on Opening of Medical Clinic, Approval on Opening of Pharmacy and relevant approvals to conduct IVF, embryo implant and/or transfer activities issued by the Ministry of Health of Cambodia (“Cambodia MOH”) in Cambodia and licenses to carry out private medical activities (including diagnostics and treatment gynecological diseases, supervision of pregnant women before childbirth, IVF in outpatient and day hospital conditions (for four (4) beds)) in Kyrgyzstan, respectively, and to ensure that such licenses and registrations are in good standing on an annual basis. NewGenIvf is licensed, has licensure applications pending before appropriate regulatory bodies, is exempt from licensure or registration, or is otherwise authorized under such laws in those countries in which it provides its services. These licenses require it to comply with the rules and regulations of the governmental bodies that issued such licenses. NewGenIvf’s failure to comply with such rules and regulations could result in criminal and/ or administrative penalties, the suspension of a license, or the loss of a license, all of which could negatively impact its business. First Fertility PGS had provided arrangements of accommodation without additional charges for its patients without a tourism license in Thailand, all of which was subsequently ceased in early 2023. Pursuant to the Tourism Business and Guide Act 2551 (2008) of Thailand, a maximum fine of THB500,000 may be imposed on First Fertility PGS as a result of the above activity without a tourism license in Thailand. NewGenIvf is unable to predict, however, how its services may be viewed by regulators over time, how these laws and regulations will be interpreted, or the full extent of their applicable. If a regulatory authority in any country determines that the nature of its business requires that NewGenIvf be licensed under applicable laws, it may need to restructure its business or it may need to comply with any related requirements, such as obtaining relevant license, paying additional regulatory fees and/or penalties for previous non-compliance with relevant licensing requirements, which could adversely affect its results of operation. Additionally, in extreme case, NewGenIvf may need to cease operations until it is able to obtain appropriate licensure, which may adversely affect its revenue for a period of time that it cannot estimate.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Patients’ Right Protection. </w:t>
            </w:r>
            <w:r>
              <w:rPr>
                <w:sz w:val="20"/>
              </w:rPr>
              <w:t>There has been an increased awareness of patients’ rights in Thailand, Cambodia and Kyrgyzstan, especially with the issuance of the Constitution of the Kingdom of Thailand, the Act on Court Proceedings for Consumer Cases B.E. 2551 (2008) (as amended), National Health Act B.E. 2550 (2007), and other applicable laws in Thailand, the Civil Code dated December 8, 2017 as amended by the Law on Implementation of the Civil Code dated May 31, 2011, Law on Management of Donation and Transplantation of Human Cells, Tissues, and Organs (2016) and Sub-Decree No. 61 on the Code of Medical Ethics (2003) in Cambodia and Constitution of Kyrgyzstan of May 5, 2021, Civil Code, Part I of May 8, 1996 No. 15, Law on Health Protection of Civilians of Kyrgyzstan of January 9, 2005 No. 6, Law on Reproduction Rights and on Guarantees of their Realization of July 4, 2015 No. 148, Law on status of medical worker of May 28, 2013 No. 81 and other relevant applicable laws in Kyrgyzstan, which enables consumers and patients to file suits more easily against healthcare service providers. Furthermore, treatment of more complex medical conditions has no guaranteed positive outcome, which subjects it to an increased likelihood of medical malpractice suits. Such lawsuits could result in hefty compensation payments or damage to NewGenIvf’s reputation, which may have a material adverse effect on its business, financial condition, results of operations and prospects.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Thailand is considering enacting a Patient Protection Bill (the “Bill”). The Bill, if issued, is intended to alleviate disputes between patients and healthcare providers, which have an impact on the healthcare system in Thailand as a whole. The compensation outlined in the Bill will assist patients in claiming damages, thereby fostering a positive relationship between patients and healthcare providers. Consequently, the rate of disputes is expected to decrease. The provisions under the Bill would require healthcare providers to compensate patients in a timely manner, sometimes without requiring proof of wrongdoing. The Bill also contemplates setting up a patient protection fund for damages to patients pursuant to which healthcare providers have to make mandatory contributions according to the rules determined by a patient protection committee. Failure by it to comply with applicable rules and regulations could result in penalties, the loss of regulatory permits and damage to NewGenIvf’s business reputation, each of which could have a material adverse effect on its financial condition and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Protection of A Child Born By Medically Assisted Reproductive Technology Act B.E. 2558 (2015) of Thailand was promulgated with the intention to appropriately designate the legitimate parenthood status of a child born using medically assisted reproductive technology and regulate any medical scientific research on embryology and medically assisted reproductive technologies to prevent the misuse of medically assisted reproductive technologies. NewGenIvf is therefore under the supervision of a Committee of the Protection for Children Born through Medically Assisted Reproductive Technology, which is a committee established to control, inspect, supervise and formulate various policies relating to such acts. In Cambodia and Kyrgyzstan, all health establishments, including private medical clinics, are under the supervision of the Cambodia MOH and the Ministry of Health of Kyrgyzstan, respectively, which each governs and regulates the operation of medical clinics and activities of medical practitioners in respective countries. In particular, the Medical Council of Cambodia, Cambodian Council of Nurses, Cambodian Midwives Council and The Pharmaceutical Council of Cambodia, all assist the Cambodia MOH to supervise and monitor the practice of health professionals in Cambodia. IVF/embryo implant/transfer activities are subject to an approval by the Cambodia MOH.</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Privacy and Security Requirements. </w:t>
            </w:r>
            <w:r>
              <w:rPr>
                <w:sz w:val="20"/>
              </w:rPr>
              <w:t>There are numerous laws and regulations related to the privacy and security of health information in each country. In particular, regulations promulgated pursuant to the Personal Data Protection Act B.E. 2562 (2019) of Thailand (“PDPA”), Law on Data of Personal Character of April 14, 2008 No. 58 of Kyrgyzstan (“Data Protection Law”), as well as Regulation of Registration of Personal Data Holders (Owners) approved by the Resolution of the Cabinet of Ministers of KR of November 18, 2022, Offences Code No. 128 of October 28, 2021 of Kyrgyzstan establish privacy and security standards in each country that limit the collection, use, and/ or disclosure of certain individually identifiable health information, whether directly or indirectly (excluding the information of the deceased person)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the PDPA and Data Protection Law also provide patients with rights related to understanding and controlling how their protected health information is collected, used and/ or disclosed. As a provider of services to entities subject to the PDPA and Data Protection Law, NewGenIvf is directly subject to certain provisions of the regulations. To the extent permitted by applicable privacy regulations and contracts with its clients, NewGenIvf is permitted to use and disclose protected health information to perform its services and for other limited purposes, but other uses and disclosures, such as marketing communications, require written authorization from the patient or must meet an exception specified under the privacy regulations.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has downstream entities which provide it with services and are also subject to applicable regulations. If NewGenIvf or any of its downstream entities are unable to properly protect the privacy and security of protected health information entrusted to it, it could be found to have breached its contracts with its clients and be subject to investigation by the relevant supervision institution, i.e., the Office of the Personal Data Protection Committee of Thailand (the Government Authority under the PDPA), the Cambodia MOH and the State Data Protection Agency under the Cabinet of Ministers of Kyrgyzstan (the “Agency”). In the event the Office of the Personal Data Protection Committee or the Agency finds that NewGenIvf has failed to comply with applicable privacy and security standards, it could face civil, criminal, and/ or administrative penalties. In addition, the Office of the Personal Data Protection Committee performs compliance audits in order to proactively enforce the privacy and security standards. The Office of the Personal Data Protection Committee has become an increasingly active regulator and has signaled its intention to continue this trend. The Office of the Personal Data Protection Committee has the discretion to impose penalties and may require companies to enter into resolution agreements and corrective action plans which impose ongoing compliance requirements. The Office of the Personal Data Protection Committee’s enforcement activity, or audit related to incident regarding it or its downstream entity, can result in financial liability and reputational harm, and responses to such enforcement activity can consume significant internal resources. Although NewGenIvf has implemented and maintain policies, processes and compliance program infrastructure to assist it in complying with these laws and regulations and its contractual obligations, NewGenIvf cannot provide assurance regarding how these laws and regulations will be interpreted, enforced or applied to its operations. In associated with enforcement activities and potential contractual liabilities, its ongoing efforts to comply with evolving laws and regulations might also require it to make costly system purchases and/or modifications or otherwise divert significant resources to compliance initiatives from time to time.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Other Privacy and Security Requirements. </w:t>
            </w:r>
            <w:r>
              <w:rPr>
                <w:sz w:val="20"/>
              </w:rPr>
              <w:t>In addition, numerous other laws govern the collection, dissemination, use, access to and confidentiality of personal information. For example, the Law on E-Commerce of Cambodia (2019) places an obligation on those who electronically store private information to use all means to ensure that the information is protected by security safeguards in every reasonable circumstance to avoid the loss, access, use, modification, leakage, or disclosure of the information, except with the consent of the data owner or other lawfully authorized party. The Law on E-Commerce also prohibits individuals from dishonestly accessing, downloading, copying, extracting, leaking, deleting, modifying, or otherwise interfering with data stored by other persons. Applicable laws are contributing to increased enforcement activity and may also be subject to interpretation by various courts and other governmental authorities.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NewGenIvf’s solutions and services involve the transmission and storage of client data in various jurisdictions, which subjects the operation of those solutions and services to privacy or data protection laws and regulations in those jurisdictions. While NewGenIvf believes those solutions and services comply with current regulatory and security requirements in the jurisdictions in which it provides these solutions and services, there can be no assurance that such requirements will not change or that it will not otherwise be subject to legal or regulatory actions. The laws and regulations are rapidly evolving and changing, and could have an adverse impact on its operations. These laws and regulations are subject to uncertainty in how they may be interpreted and enforced by government authorities and regulators. The costs of compliance with, and the other burdens imposed by, these and other laws or regulatory actions may increase its operational costs, prevent it from providing its solutions, and/or impact its ability to invest in or jointly develop its solutions. NewGenIvf also may face audits or investigations by one or more government agencies relating to its compliance with these laws and regulations.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outcome under any such investigation or audit could result in fines, penalties, other liability, or could result in adverse publicity or a loss of reputation, and adversely affect NewGenIvf’s business. Any failure or perceived failure by it or by NewGenIvf’s solutions to comply with these laws and regulations may subject it to legal or regulatory actions, damage its reputation or adversely affect its ability to provide its solutions in the jurisdiction that has enacted the applicable law or regulation. Moreover, if these laws and regulations change, or are interpreted and applied in a manner that is inconsistent with its policies and processes or the operation of its solutions NewGenIvf may need to expend resources in order to change its business operations, policies and processes or the manner in which it provides its solutions. This could adversely affect NewGenIvf’s business,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Data Protection and Breaches. </w:t>
            </w:r>
            <w:r>
              <w:rPr>
                <w:sz w:val="20"/>
              </w:rPr>
              <w:t>In recent years, there have been a number of well-publicized data breaches involving the improper dissemination of personal information of individuals both within and outside of the healthcare industry. Pursuant to the applicable data protection law of Thailand, the PDPA requires businesses to notify the data subjects and/or the government authorities upon the occurrence of a data breach. The laws are not consistent, and compliance in the event of a widespread data breach is costly. Each country also constantly amending existing laws, requiring attention to frequently changing regulatory requirements. Most countries require holders of personal information to maintain safeguards and take certain actions in response to a data breach, such as providing prompt notification of the breach to affected individuals. In some countries, these laws are limited to electronic data, but they increasingly are enacting or considering stricter and broader requirements.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NewGenIvf’s security management efforts with respect to physical and technological safeguards, employee training, vendor (and sub-vendor) controls and contractual relationships, its infrastructure, data or other operation centers and systems used in its business operations, including the internet and related systems of its vendors (including vendors to whom NewGenIvf outsources data hosting, storage and processing functions) are vulnerable to, and may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NewGenIvf might not be able to anticipate these techniques, implement adequate preventive measures, or immediately detect a potential compromise. If its security measures, some of which are managed by third parties, or the security measures of its service providers or vendors, are breached or fail, it is possible that unauthorized or illegal access to or acquisition, disclosure, use or processing of personal information, confidential information, or other sensitive client or employee data, including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 If NewGenIvf’s security measures, or those of its service providers or vendors, were to be breached or fail, its reputation could be severely damaged, adversely affecting client or investor confidence. As a result, clients may curtail their use of or stop using its offering and its business may suffer. In addition, NewGenIvf could face litigation, damages for contract breach, penalties and regulatory actions for violation of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it or its industry or clients, which could cause it to lose clients or partners and adversely affect its operations and future prospects. NewGenIvf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Fraud and Abuse Laws. </w:t>
            </w:r>
            <w:r>
              <w:rPr>
                <w:sz w:val="20"/>
              </w:rPr>
              <w:t>NewGenIvf may be impacted directly and indirectly by certain fraud and abuse laws, including the Act Supplementing the Constitution Relating to the Prevention and Suppression of Corruption B.E. 2561 (2018) of Thailand, the Penal Code of Thailand, the Criminal Code of Cambodia, the Offences Code of October 28, 2021 No. 128 of Kyrgyzstan, the Criminal Code of October 28, 2021, No. 17 of Kyrgyzstan and the Law on prevention of corruption of August 8, 2021 No. 153 of Kyrgyzstan. Because the solutions and services NewGenIvf provides are not reimbursed by government healthcare payors, such fraud and abuse laws generally do not directly apply to its business, however, some laws may be applicable. The laws, regulations and other requirements in this area are both broad and vague and judicial interpretation can also be inconsistent. NewGenIvf reviews its practices with regulatory experts in an effort to comply with all applicable laws, regulatory and other requirements. However, NewGenIvf is unable to predict how these laws, regulations and other requirements will be interpreted or the full extent of their application, particularly to services that are not directly reimbursed by healthcare programs. Any determination by a regulatory authority that any of NewGenIvf’s activities or those of its clients or vendors violate any of these laws or regulations could subject NewGenIvf to civil or criminal penalties, require it to enter into corporate integrity agreements or similar agreements with ongoing compliance obligations, disqualify it from providing services to clients and/or have an adverse impact on its business, financial condition and results of operations. Even an unsuccessful challenge by a regulatory authority of NewGenIvf’s activities could result in adverse publicity and could require a costly response from it.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Consumer Protection Laws. </w:t>
            </w:r>
            <w:r>
              <w:rPr>
                <w:sz w:val="20"/>
              </w:rPr>
              <w:t>Consumer protection laws are being applied increasingly by the Office of the Consumer Protection Board in Thailand and by the Cambodia Ministry of Health to regulate the collection, use, storage and disclosure of personal or health information, through websites or otherwise, and, in Cambodia, by the Consumer Protection Competition and Fraud Repression Directorate-General, to regulate the presentation of website content. Courts may also adopt the standards for fair information practices, which concern consumer notice, choice, security and access.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Restrictions on Communication. </w:t>
            </w:r>
            <w:r>
              <w:rPr>
                <w:sz w:val="20"/>
              </w:rPr>
              <w:t>Communications with NewGenIvf’s clients increasingly may be subject to and restricted by laws and regulations governing communications via telephone, fax, text, and email. NewGenIvf also uses email and social media platforms as marketing tools. For example, NewGenIvf maintains social media accounts. As laws and regulations rapidly evolve to govern the use of these platforms and devices, the failure by it, its employees or third parties acting at its direction to abide by applicable laws and regulations in the use of these platforms and devices could adversely impact its business, financial condition and results of operations or subject it to fines or other penalties.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Advertisement Laws. </w:t>
            </w:r>
            <w:r>
              <w:rPr>
                <w:sz w:val="20"/>
              </w:rPr>
              <w:t>NewGenIvf’s advertisement and announcements, in particular, the messages releasing on the Internet related to medical facilities may subject to the laws and regulations of relevant jurisdictions (and potential prohibition in Cambodia on commercial advertisement of private medical services).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in Thailand, NewGenIvf shall apply for and obtain the approval and/ or pre-approval from the relevant authority for the images, and text used in advertisements or announcements which shall be in accordance with the Medical Facility Act B.E. 2541 (1998) (and its amendments) and the Notification of the Department of Health Services Support on Rules, Procedures, Conditions, and Costs of Advertisements or Announcements of Healthcare Facilities B.E. 2562 (2019) (and its amendments) and the Operational Manual for Approval of Advertisements or Announcements relating to Healthcare Facilities. If such approval was not obtained by NewGenIvf, it could lead to significant liabilities and consequences, which could adversely impact NewGenIvf’s business, financial condition and results of operations or subject its sales and marketing director to personal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Cambodia, Prakas 028 on Advertisement of Private Medical, Paramedical and Medical Aid Practices dated August 23, 2004 issued by the Cambodia MOH prohibits commercial advertising of private medical services. Advertisement of private health care services is only allowed for any advertisements within the professional framework not affecting the ethics of private medical services and such advertisement requires a permit from the Cambodia MOH. In addition, the Royal Government of Cambodia has recently issued Sub-Decree 232 on the Management of Commercial Advertisements of Goods and Services on November 4, 2022 to provide the legal framework for the management of commercial advertising of goods and services for all types, forms and means in Cambodia. In light of this Sub-Decree, in addition to the permit requirement of the Cambodia MOH, a person wishing to advertise their goods and/or services in Cambodia may also apply for a compliance certificate from the Ministry of Commerce, which certifies that advertising text or content complies with the Law on Consumer Protection or other applicable regulations.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Kyrgyzstan, the Law on Advertisements of December 24, 1998, No. 155 requires that if the activities of the advertiser subject to licensing, the advertisement of such advertiser must include the license number and the name of the authority that issued the license, except for radio advertising, where it is sufficient to state “licensed activity” on the territory of Kyrgyzstan. In advertising goods (including works and services), and other objects of advertising, cost indicators must be stated in the national currency. There are also other requirements established in relation to size, frequency, cost and other features of advertisements via different types of media.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and regulations relevant to the fertility services may be introduced in the future, or the current applicable regulations may otherwise be amended or replaced requiring the assisted reproductive medical facilities in its network to conduct business with additional oversight and regulatory compliance. If NewGenIvf fails to obtain the necessary licenses, permits and approvals, NewGenIvf may be subject to fines, confiscation of revenues generated from incompliance operations, or the suspension of relevant operations. NewGenIvf may also experience adverse publicity arising from such non-compliance with government regulations that negatively impacts its brand. NewGenIvf may experience difficulties or failures in obtaining the necessary approvals, licenses, and permits for new spaces or new service offerings. If NewGenIvf fails to obtain the material licenses, NewGenIvf’s business activities could be severely delayed. In addition, there can be no assurance that NewGenIvf will be able to obtain, renew, and/or convert all of the approvals, licenses, and permits required for its existing business operations upon their expiration in a timely manner, in a cost-efficient manner or at all, which could adversely affect NewGenIvf’s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considerable uncertainties exist in relation to the interpretation and implementation of existing and future laws and regulations governing NewGenIvf’s business activities. NewGenIvf could be found not in compliance with any future laws and regulations or of the laws and regulations currently in effect due to changes in the relevant authorities’ interpretation of those laws and regulations. It is possible that different interpretations or enforcement of these regulations could subject the current or past practices to allegations of impropriety or illegality or require the medical facilities in its network to implement changes in the facilities, equipment, personnel or services, or increase capital expenditure and operating expenses. If NewGenIvf fails to complete, obtain, or maintain any of the required licenses or approvals or make the necessary filings, NewGenIvf may be subject to various penalties, such as confiscation of unlawful gains, the imposition of fines, revocation of licenses, and the discontinuation or restriction of NewGenIvf’s operations. Any such penalties or changes in policies, regulations, or enforcement by government authorities may disrupt NewGenIvf’s operations and materially and adversely affect NewGenIvf’s business, financial condition, and results of operations.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or regulatory restriction, government regulation, industry standards and other requirements create risks and challenges with respect to NewGenIvf’s compliance efforts and its business strategies and could adversely impact NewGenIvf’s business and limited the growth of NewGenIvf’s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is highly regulated and subject to frequently changing laws, regulations, industry standards and other requirements. Many healthcare laws and regulations are complex, and their application to specific solutions, services and relationships may not be clear. In particular, many existing healthcare laws and regulations, when enacted, did not anticipate the solutions and services that NewGenIvf provides, and these laws and regulations may be applied to its solutions and services in ways that NewGenIvf does not anticipate. Efforts to reform or revise aspects of the healthcare industry or to revise or create additional legal or and regulatory requirements could impact its operations, the use of its solutions and services, and its ability to market new solutions and services, or could create unexpected liabilities for it. NewGenIvf also may be impacted by laws, industry standards and other requirements that are not specific to the healthcare industry, such as consumer protection laws and payment card industry standards. These requirements may impact its operations and, if not followed, could result in fines, penalties and other liabilities and adverse publicity and injury to its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existing or future laws may be interpreted in a manner that is not consistent with the healthcare industry’s current practices and could have an adverse effect on NewGenIvf’s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or offering of gender selection services in certain jurisdictions in which NewGenIvf operates could expose the Company and its directors and executive officers to significant legal and regulatory risks, including potential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or provision of gender selection services in certain jurisdictions in which we operate is subject to stringent legal restrictions. In particular, in Hong Kong, under the Human Reproductive Technology Ordinance (Cap. 561 of the Laws of Hong Kong) (“HRTO”), gender selection for non-medical purposes is prohibited. Violation of these provisions may result in criminal liability. Any person found guilty of advertising or offering gender selection services in Hong Kong may, on a first conviction, face a fine of up to HKD 25,000 and imprisonment for up to 6 months. If we, our representatives, or our sub-contractors inadvertently violate, or are alleged to violate, these laws, we could face significant financial penalties, reputational harm, and potential legal proceedings. Even if we do not directly market our gender selection services in Hong Kong, promotional activities conducted by third parties, affiliates, or other associates on our behalf could also expose us to liability under these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2025, Wing Fung Alfred Siu and Hei Yue Tina Fong, and other individuals, were arrested in Hong Kong for allegedly violating certain sections of the HRTO which prohibit using reproductive technologies for sex selection, advertising sex selection services, commercial surrogacy arrangements, and advertising surrogacy arrangements. All persons were released on a bail amount of HKD 3,000 ($390). No further action has been taken by prosecutors against arrested persons, except that on October 26, 2025, Wing Fung Alfred Siu was served a summons for allegedly violating section 17(2) of the HRTO which prohibits commercial surrogacy arrangements and advertising surrogacy arrangements. On November 18, 2025, Wing Fung Alfred Siu was further granted bail on a bail amount of HKD 10,000 ($1,285). If convicted with an offence, he could face a fine of up to HKD 25,000 (approximately $3,200), and imprisonment for up to 6 months. Although we do not expect custodial sentences for him, any custodial sentence given could materially impact our business, financial condition, or results of operations. In addition, although under BVI law, such minor first-time offenses would not automatically disqualify any directors or executives from continuing to act in such positions, any director or executive officer found guilty of such offenses could cause reputational harm to the Company. As we do not advertise or promote surrogacy arrangement or gender selection service in Hong Kong, and all such marketing activities are carried out outside of Hong Kong or by agents outside of Hong Kong, we have not been, nor do we expect to be, materially impacted by any such increased enforcement of the HRTO. Moreover, we do not expect any material impact on our ability to generate revenue from Chinese clients, as our PRC-sourced revenues derived from clients in mainland China and Hong Kong are generated through referrals from PRC agents, with payments being made by the clients directly to the local clinics. However, if the regulatory authorities in Hong Kong deem our determination inconsistent from the HRTO, we may face increased scrutiny or enforcement actions by the Hong Kong authorities, which could result in adverse publicity, increase compliance cost, and significant disruption of our business operations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increased scrutiny or enforcement actions by regulatory authorities in other jurisdictions in which we operate could result in adverse publicity, increased compliance costs, and significant disruption of our business operations. As a result, any failure to comply with applicable laws and regulations related to gender selection services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tariffs or other restrictions imposed on imports by the U.S. and related countermeasures taken by impacted countries could have a material adverse effect on our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significant tariffs or other restrictions are imposed on imports by the U.S. and related countermeasures are taken by foreign countries, our business, including results of operations, cash flows and financial condition, may be adversely affected. In January 2025, during the initial days of U.S. President Trump’s second term, the U.S. announced the imposition of additional substantial tariffs on imports from various countries, including China, Canada and Mexico, and the subject countries have imposed or indicated their intention to impose counter measures. In February 2025, the U.S. imposed tariffs of 10% on all imported goods from China, followed by an additional 10% tariff in March 2025. The U.S. also imposed a 25% tariff on all steel and aluminum imports, beginning in March 2025. On February 13, 2025, President Trump ordered his trade advisers to come up with “reciprocal” tariffs on U.S. trade partners to retaliate against taxes, tariffs, regulations and subsidies and on April 2, 2025, announced new tariffs on many U.S. trading partners, including a universal baseline tariff of 10% on all imported goods, and country specific tariffs such as an additional 34% tax on imports from China (leading to an effective rate of 54% when combined with existing tariffs) and 20% on products from the E.U. Specific products that are being tariffed, such as automobiles, were to be exempted from the new tariffs, and tariffs on products such as pharmaceutical drugs were to be announced at a later date. Following a period of market turbulence, on April 9, 2025, President Trump announced a 90-day pause to the tariffs announced on April 2, 2025 for most countries. Countries subject to the pause on the tariffs are still to be subject to the baseline 10% tariff. This consequently lowers the tariff rate for the E.U., Japan, and South Korea, among other countries. However, U.S. President Trump announced an increased tariff rate against Chinese imports of a minimum 145%. These and other tariffs and countermeasures could increase the cost of equipment necessary for our operations, disrupt global supply chains and create additional operational challenges. Additionally, ongoing trade tensions and uncertainty regarding future trade policies could negatively impact global economic conditions and consumer confidence, further affecting our business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litigation against NewGenIvf could be costly and time-consuming to defend and could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in the past and may in the future become subject to regulatory actions, litigation, disputes, or claims of various types, legal proceedings and claims that arise in the ordinary course of business, such as claims brought by its clients or vendors in connection with commercial disputes or employment claims made by its current or former employees, as well as claims brought by relevant regulatory authorities or NewGenIvf’s competitors, patients, employees, or other third parties against NewGenIvf. NewGenIvf is unable to predict the outcome of any of these legal proceedings. Such regulatory actions, disputes, allegations, complaints, or legal proceedings may damage NewGenIvf’s reputation, evolve into litigation, or otherwise have a material adverse impact on NewGenIvf’s reputation and business. Such proceedings might result in substantial costs, regardless of the outcome, and may significantly divert management’s attention and resources from operating NewGenIvf’s business, which might seriously harm its business, financial condition and results of operations. Insurance might not cover such claims, might not provide sufficient payments to cover all the costs to resolve one or more such claims, and might not continue to be available on terms acceptable to it. A claim brought against it that is uninsured or underinsured could result in unanticipated costs, potentially harming its business, financial condition and results of operations. The outcomes of actions NewGenIvf institutes may not be successful or favorable to NewGenIvf. Lawsuits against NewGenIvf may also generate negative publicity that significantly harms NewGenIvf’s reputation, which may adversely affect NewGenIvf’s client base. NewGenIvf may also need to pay damages or settle lawsuits with a substantial amount of cash.</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strategic investments, partnerships, or alliances could be difficult to identify, pose integration challenges, divert the attention of management, disrupt NewGenIvf’s business, dilute stockholder value, and adversely affect its business,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in the future seek to acquire or invest in businesses, joint ventures, products and services, or technologies that it believes could complement or expand its platform, enhance its technical capabilities, or otherwise offer growth opportunities. Any such acquisition or investment may divert the attention of management and cause NewGenIvf to incur various expenses in identifying, investigating and pursuing suitable opportunities, whether or not the transactions are completed, and may result in unforeseen operating difficulties and expenditures. In particular, NewGenIvf may encounter difficulties assimilating or integrating the businesses, technologies, products and services, personnel or operations of the acquired companies, particularly if the key personnel of the acquired company choose not to work for it, they are operationally difficult to integrate, or NewGenIvf has difficulty retaining the clients of any acquired business due to changes in ownership, management or otherwise. These transactions may also disrupt its business, divert its resources, and require significant management attention that would otherwise be available for development of its existing business and may not benefit NewGenIvf’s business strategy, may not generate sufficient revenues to offset the associated acquisition costs or may not otherwise result in the intended benefits. Any such transactions that NewGenIvf is able to complete may not result in any synergies or other benefits it had expected to achieve, which could result in impairment charges that could be substantial. In addition, NewGenIvf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its results of operations. In addition, if the resulting business from such a transaction fails to meet NewGenIvf’s expectations, or it fails to successfully integrate such businesses into its own, its business, financial condition and results of operations may be adversely affected or it may be exposed to unknown risks or liabilities. Even when NewGenIvf identifies an appropriate acquisition or investment target, it may not be able to negotiate the terms of the acquisition or investment successfully, obtain financing for the proposed transaction, or integrate the relevant businesses into its existing business and operations. Strategic investments or acquisitions will involve risks commonly encountered in business relationships, including: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difficulties in assimilating and integrating the operations, personnel, systems, data, technologies, products and services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inability of the acquired technologies, products or businesses to achieve expected levels of revenue, profitability, productivity or other benefits;</w:t>
            </w:r>
          </w:p>
        </w:tc>
      </w:tr>
    </w:tbl>
    <w:p>
      <w:pPr>
        <w:pStyle w:val="TextBody"/>
        <w:bidi w:val="0"/>
        <w:spacing w:before="0" w:after="0"/>
        <w:ind w:left="720" w:right="0" w:hanging="36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sz w:val="20"/>
              </w:rPr>
            </w:pPr>
            <w:r>
              <w:rPr>
                <w:sz w:val="20"/>
              </w:rPr>
              <w:t>difficulties in retaining, training, motivating and integrating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sz w:val="20"/>
              </w:rPr>
            </w:pPr>
            <w:r>
              <w:rPr>
                <w:sz w:val="20"/>
              </w:rPr>
              <w:t>diversion of management’s time and resources from NewGenIvf’s normal daily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sz w:val="20"/>
              </w:rPr>
            </w:pPr>
            <w:r>
              <w:rPr>
                <w:sz w:val="20"/>
              </w:rPr>
              <w:t>difficulties in maintaining uniform standards, controls, procedures and policies within the combined organizations;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sz w:val="20"/>
              </w:rPr>
            </w:pPr>
            <w:r>
              <w:rPr>
                <w:sz w:val="20"/>
              </w:rPr>
              <w:t>difficulties in retaining relationships with customers, employees and suppliers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risks of entering markets in which NewGenIvf have limited or no prior experience;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regulatory risks, including remaining in good standing with existing regulatory bodies or receiving any necessary pre-closing or post-closing approvals, as well as being subject to new regulators with oversight over an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assumption of contractual obligations that contain terms that are not beneficial to NewGenIvf, require it to license or waive intellectual property rights or increase its risk for liability;</w:t>
            </w:r>
          </w:p>
        </w:tc>
      </w:tr>
    </w:tbl>
    <w:p>
      <w:pPr>
        <w:pStyle w:val="TextBody"/>
        <w:bidi w:val="0"/>
        <w:spacing w:before="0" w:after="0"/>
        <w:ind w:left="720" w:right="0" w:hanging="36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sz w:val="20"/>
              </w:rPr>
            </w:pPr>
            <w:r>
              <w:rPr>
                <w:sz w:val="20"/>
              </w:rPr>
              <w:t>failure to further successfully develop the acquired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liability for activities of the acquired business before the acquisition, including intellectual property infringement claims, violations of laws, commercial disputes, tax liabilities and other known and unknown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sz w:val="20"/>
              </w:rPr>
            </w:pPr>
            <w:r>
              <w:rPr>
                <w:sz w:val="20"/>
              </w:rPr>
              <w:t>potential disruptions to NewGenIvf’s ongoing businesses; and</w:t>
            </w:r>
          </w:p>
        </w:tc>
      </w:tr>
    </w:tbl>
    <w:p>
      <w:pPr>
        <w:pStyle w:val="TextBody"/>
        <w:bidi w:val="0"/>
        <w:spacing w:before="0" w:after="0"/>
        <w:ind w:left="720" w:right="0" w:hanging="36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sz w:val="20"/>
              </w:rPr>
            </w:pPr>
            <w:r>
              <w:rPr>
                <w:sz w:val="20"/>
              </w:rPr>
              <w:t>unexpected costs and unknown risks and liabilities associated with strategic investments or acquisitions.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transaction is consummated, NewGenIvf may only have limited control over the companies in which it only has minority stake, it cannot ensure that these companies will always comply with applicable laws and regulations in their business operations. Non-compliance of regulatory requirements by NewGenIvf’s investees may cause substantial harm to NewGenIvf’s reputations and the value of NewGenIvf’s investment. In addition, if the resulting business from such a transaction fails to meet NewGenIvf’s expectations, or it fails to successfully integrate such businesses into its own, its business, financial condition and results of operations may be adversely affected or it may be exposed to unknown risks or liabilities. If NewGenIvf is unable to effectively address these challenges, its ability to execute acquisitions as a component of its long-term strategy will be impaired, which could have an adverse effect on its growth. As a result of the above, NewGenIvf’s strategies may not be successfully implemented beyond the current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might not achieve the synergies, operational or financial benefits it expects and may adversely impact NewGenIvf’s operating results. In addition, NewGenIvf cannot assure you that any future investment in or acquisition of new businesses or technology will lead to the successful development of new or enhanced products and services or that any new or enhanced products and services, if developed, will achieve market acceptance, or prove to be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NewGenIvf’s effective tax rate or tax liability may have an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effective tax rate could increase due to several factors, including, but not limited to:</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changes in the relative amounts of income before taxes in the various jurisdictions in which NewGenIvf operates that have differing statutory tax rates;</w:t>
            </w:r>
          </w:p>
        </w:tc>
      </w:tr>
    </w:tbl>
    <w:p>
      <w:pPr>
        <w:pStyle w:val="TextBody"/>
        <w:bidi w:val="0"/>
        <w:spacing w:before="0" w:after="0"/>
        <w:ind w:left="720" w:right="0" w:hanging="36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sz w:val="20"/>
              </w:rPr>
            </w:pPr>
            <w:r>
              <w:rPr>
                <w:sz w:val="20"/>
              </w:rPr>
              <w:t>changes in tax laws, tax treaties, and regulations or the interpretation of them;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changes to its assessment about its ability to realize its deferred tax assets that are based on estimates of its future results, the prudence and feasibility of possible tax planning strategies, and the economic and political environments in which NewGenIvf does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sz w:val="20"/>
              </w:rPr>
            </w:pPr>
            <w:r>
              <w:rPr>
                <w:sz w:val="20"/>
              </w:rPr>
              <w:t>the outcome of future tax audits, examinations, or administrative appeals; and</w:t>
            </w:r>
          </w:p>
        </w:tc>
      </w:tr>
    </w:tbl>
    <w:p>
      <w:pPr>
        <w:pStyle w:val="TextBody"/>
        <w:bidi w:val="0"/>
        <w:spacing w:before="0" w:after="0"/>
        <w:ind w:left="720" w:right="0" w:hanging="36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sz w:val="20"/>
              </w:rPr>
            </w:pPr>
            <w:r>
              <w:rPr>
                <w:sz w:val="20"/>
              </w:rPr>
              <w:t>limitations or adverse findings regarding its ability to do business in some jurisdictions.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developments could have an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reported financial results may be adversely affected by changes in accounting principles generally accepted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U.S. accounting principles could have a significant effect on NewGenIvf’s reported results of operations and could affect the reporting of transactions already completed before the announcement of a change.The adoption of new or revised accounting principles may require it to make changes to its systems, processes and control, which could have a significant effect on its reported financial results, cause unexpected financial reporting fluctuations, retroactively affect previously reported results or require it to make costly changes to its operational processes and accounting systems upon or following the adoption of these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NewGenIvf’s estimates or judgments relating to its critical accounting estimates prove to be incorrect, its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reported in NewGenIvf’s consolidated financial statements and accompanying notes appearing elsewhere in this prospectus. NewGenIvf bases its estimates on historical experience and on various other assumptions that it believes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 of NewGenIvf — 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liabilities and equity, and the amount of revenue and expenses that are not readily apparent from other sources. Significant estimates and judgments used in preparing NewGenIvf’s consolidated financial statements include those related to the determination of fair value of its Class A Ordinary Shares and Warrants and revenue recognition relating to services rendered but for which no claim has yet been reported, among other things. NewGenIvf’s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market price of its Class A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subject to anti-corruption, anti-bribery, anti-money laundering, and similar laws, and non-compliance with such laws can subject it to criminal or civil liability and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the Anti-Money Laundering Act B.E. 2542 (1999) of Thailand, the Act Supplementing the Constitution Relating to the Prevention and Suppression of Corruption B.E. 2561 (2018) of Thailand, and the Penal Code of Thailand, domestic bribery laws, and other anticorruption and anti-money laundering laws in the countries in which it conducts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NewGenIvf expands its business and sales and to the public sector, it may engage with business partners and third-party intermediaries to market its services and to obtain for it the necessary permits, licenses, and other regulatory approvals. In addition, NewGenIvf or its third-party intermediaries may have direct or indirect interactions with officials and employees of government agencies or state-owned or affiliated entities. NewGenIvf can be held liable for the corrupt or other illegal activities of these third-party intermediaries, its employees, representatives, contractors, partners and agents, even if it does not explicitly authorize such activities. 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it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NewGenIvf does not prevail in any possible civil or criminal proceeding, its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NewGenIvf’s investment in residential market of United Arab Emirates is exposed to significant market risks.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 residential property development business in the United Arab Emirates carries significant risks, primarily driven by market volatility and potential oversupply, particularly in the area of Ras Al Khaimah’s Beach District. Property values and rental yields are highly sensitive to fluctuations in oil prices, global economic conditions, and regional geopolitics, leading to sharp boom-bust cycles. Intense competition from new developments can rapidly saturate specific submarkets, driving down rents and occupancy rates, while regulatory changes (such as adjustments to rental increase caps, visa rules, or ownership laws) can unexpectedly impact profitability and operational models. Furthermore, reliance on expatriate tenants creates vulnerability to shifts in population demographics, employment trends, and government policies affecting residency, alongside inherent operational challenges including management costs, tenant defaults, and maintaining asset quality in a competitive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our SEC filings, please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this Offering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Class A Ordinary Shares may not be maintained and the trading price for the Class A Ordinary Shares may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 liquid public market for the Class A Ordinary Shares will be maintained. If an active public market for the Class A Ordinary Shares is not maintained, the market price and liquidity of the Class A Ordinary Shares may be materially and adversely affected. We can provide no assurance that the trading price of the Class A Ordinary Shares after this offering will not decline below the public offering price. As a result, investors in Class A Ordinary Shares may experience a significant decrease in the value of their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shares of the Class A Ordinary Shares has been and is likely to continue to be highly volatile, and may decline regardless of our operating performance. You may not be able to resell your shares at or above the public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 price has been and will likely continue to be volatile for the foreseeable future. The stock market in general and the market for companies similarly situated like us in particular have experienced extreme volatility that has often been unrelated to or disproportionate to the operating performance of particular companies. As a result of this volatility, investors may not be able to sell their Class A Ordinary Shares at or above the price they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public offering price for our ordinary shares will be determined through negotiations between the placement agent and us and may vary from the market price of our ordinary shares following our public offering. If you purchase our ordinary shares in our public offering, you may not be able to resell those Shares at or above the public offering price. We cannot assure you that the public offering price of our ordinary shares, or the market price following our public offering, will equal or exceed prices in privately negotiated transactions of our shares that have occurred from time to time prior to our public offering. The market price of our ordinary shares may fluctuate significantly in response to numerous factors, many of which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pPr>
            <w:r>
              <w:rPr/>
              <w:t>Actual or anticipated fluctuations in our revenue and other operating results;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financial projections we may provide to the public, any changes in these projections or our failure to meet these projections;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actions of securities analysts who initiate or maintain coverage of us, changes in financial estimates by any securities analysts who follow our company, or our failure to meet these estimates or the expectations of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announcements by us or our competitors of significant products or features, technical innovations, acquisitions, strategic partnerships, joint ventures,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price and volume fluctuations in the overall stock market, including as a result of trends in the economy as a whole;</w:t>
            </w:r>
          </w:p>
        </w:tc>
      </w:tr>
    </w:tbl>
    <w:p>
      <w:pPr>
        <w:pStyle w:val="TextBody"/>
        <w:bidi w:val="0"/>
        <w:spacing w:before="0" w:after="0"/>
        <w:ind w:left="0" w:right="0" w:hanging="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pPr>
            <w:r>
              <w:rPr/>
              <w:t>lawsuits threatened or filed against 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events or factors, including those resulting from war or incidents of terrorism,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is a best-efforts offering, no minimum amount of securities is required to be sold and we may not raise the amount of capital we believe is required for our business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has agreed to use its reasonable best efforts to solicit offers to purchase the securities being offered in this offering. The placement agent has no obligation to buy any of the securities from us or to arrange for the purchase or sale of any specific number or dollar amount of the securities. There is no required minimum number of securities or amount of proceeds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amount of securities sufficient to fund for our operations as described in the “Use of Proceeds” section herein. Thus, we may not raise the amount of capital we believe is required for our operations in the short-term and even if we raise the maximum offering amount in this public offering, we will need to raise additional funds in the future, which may not be available or available on terms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use the proceeds of this offering in ways with which you may not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the Class A Ordinary Shares nor that these net proceeds will be placed only in investments that generate income or appreciate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halt trading in our Class A Ordinary Shares on Nasdaq or delist our Class A Ordinary Shares for public interest concerns as a result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highly dilutive nature of this offering, Nasdaq may halt trading in our Class A Ordinary Shares on Nasdaq or delist our Class A Ordinary Shares for public interest concerns or because our Class A Ordinary Shares continue to trade below Nasdaq’s minimum bid price as a result of this offering, even if we are otherwise able to regain compliance for continued listing on Nasdaq. A number of Nasdaq-listed companies have filed public disclosures regarding the receipt of notification letters indicating that Nasdaq made the determination to halt and/or delist such companies as a result of public interest concerns arising from the issuance of warrants with similar terms to, and similar potential dilutive impact as, warrants issued in offerings of this type. Additionally, warrants with similar terms issued by other Nasdaq-listed companies have caused such Nasdaq-listed companies’ stock prices to drop below Nasdaq’s minimum bid price or made it more difficult for these companies to cause their stock prices to regain compliance with Nasdaq’s minimum bid price. Therefore, even if we consummate this offering at a price above Nasdaq’s minimum bid price, there can be no assurance that our Class A Ordinary Shares will not again drop below such price, which may cause Nasdaq to delist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its listing standards, and we are not able to list such securities on another national securities exchange, then our Class A Ordinary Shares could be quoted on an over-the-counter market. If this were to occur, we and our shareholders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a limited availability of market quotations for our securities;</w:t>
            </w: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reduced liquidity for our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determination that the Class A Ordinary Shares are a “penny stock,” which will require brokers trading the Class A Ordinary Shares to adhere to more stringent rules, possibly resulting in a reduced level of trading activity in the secondary trading market for our Class A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limited amount of news and analyst coverage;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decreased ability for us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k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made under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developments and business decisions to differ materially from those anticipated in these forward-looking statements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our planned level of revenues and capital expenditures;</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our ability to market and sell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sz w:val="20"/>
              </w:rPr>
            </w:pPr>
            <w:r>
              <w:rPr>
                <w:sz w:val="20"/>
              </w:rPr>
              <w:t>our plans to continue to invest in research and development to develop technology for both existing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our ability to maintain our relationships with suppliers, manufacturers and other partners;</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sz w:val="20"/>
              </w:rPr>
            </w:pPr>
            <w:r>
              <w:rPr>
                <w:sz w:val="20"/>
              </w:rPr>
              <w:t>our ability to maintain or protect the validity of our intellectual property and know-how;</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sz w:val="20"/>
              </w:rPr>
            </w:pPr>
            <w:r>
              <w:rPr>
                <w:sz w:val="20"/>
              </w:rPr>
              <w:t>our ability to retain key executive members;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sz w:val="20"/>
              </w:rPr>
            </w:pPr>
            <w:r>
              <w:rPr>
                <w:sz w:val="20"/>
              </w:rPr>
              <w:t>our ability to internally develop and protect new inventions and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our ability to expose and educate the industry about the use of our services and products;</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sz w:val="20"/>
              </w:rPr>
            </w:pPr>
            <w:r>
              <w:rPr>
                <w:sz w:val="20"/>
              </w:rPr>
              <w:t>our expectations regarding our tax classifications; and</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interpretations of current laws and the passages of future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You should not rely upon forward-looking statements as predictions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k_006"/>
      <w:bookmarkEnd w:id="7"/>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and directors as of the date of this prospectus. </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shd w:fill="FFFFFF" w:val="clear"/>
        <w:tblLayout w:type="fixed"/>
        <w:tblCellMar>
          <w:top w:w="0" w:type="dxa"/>
          <w:left w:w="0" w:type="dxa"/>
          <w:bottom w:w="28" w:type="dxa"/>
          <w:right w:w="0" w:type="dxa"/>
        </w:tblCellMar>
      </w:tblPr>
      <w:tblGrid>
        <w:gridCol w:w="2450"/>
        <w:gridCol w:w="60"/>
        <w:gridCol w:w="350"/>
        <w:gridCol w:w="60"/>
        <w:gridCol w:w="4880"/>
      </w:tblGrid>
      <w:tr>
        <w:trPr/>
        <w:tc>
          <w:tcPr>
            <w:tcW w:w="2450" w:type="dxa"/>
            <w:tcBorders>
              <w:bottom w:val="single" w:sz="12" w:space="0" w:color="000000"/>
            </w:tcBorders>
            <w:shd w:fill="FFFFFF" w:val="clear"/>
            <w:vAlign w:val="center"/>
          </w:tcPr>
          <w:p>
            <w:pPr>
              <w:pStyle w:val="TableContents"/>
              <w:bidi w:val="0"/>
              <w:spacing w:before="0" w:after="283"/>
              <w:jc w:val="left"/>
              <w:rPr>
                <w:b/>
                <w:sz w:val="20"/>
              </w:rPr>
            </w:pPr>
            <w:r>
              <w:rPr>
                <w:b/>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shd w:fill="FFFFFF" w:val="clear"/>
            <w:vAlign w:val="center"/>
          </w:tcPr>
          <w:p>
            <w:pPr>
              <w:pStyle w:val="TableContents"/>
              <w:bidi w:val="0"/>
              <w:spacing w:before="0" w:after="283"/>
              <w:jc w:val="center"/>
              <w:rPr>
                <w:b/>
                <w:sz w:val="20"/>
              </w:rPr>
            </w:pPr>
            <w:r>
              <w:rPr>
                <w:b/>
                <w:sz w:val="20"/>
              </w:rPr>
              <w:t>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Chairman of the Board of Directors, Chief Executive Officer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Hei Yue Tina Fong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Director, Chief Marketing Officer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Hok Man Jefferson 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Florianna Ann Chi Wan Chan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Chun Wa Tam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Lee Sze Mun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Kong Yiu Cheung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pPr>
            <w:r>
              <w:rPr/>
              <w:t>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Lam Chun Tung Patrick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Lau Tsz Hin Vincent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Ho Fai Chung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Wing Fung Alfred Siu</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NewGenIvf’s co-founder, Mr. Wing Fung Alfred Siu, has served as the Chairman of the Board and the Chief Executive Officer of NewGenIvf (before the Closing, Legacy NewGenIvf) since 2019. Prior to establishing Legacy NewGenIvf in 2019, Mr. Siu served as a director of First Fertility PGS Center Co., Ltd. since 2014. Mr. Siu received his master’s degree in science and bachelor’s degree in science from Stanford University.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Hei Yue Tina Fong. </w:t>
      </w:r>
      <w:r>
        <w:rPr>
          <w:rFonts w:ascii="Times New Roman;Times;Serif" w:hAnsi="Times New Roman;Times;Serif"/>
          <w:b w:val="false"/>
          <w:i w:val="false"/>
          <w:caps w:val="false"/>
          <w:smallCaps w:val="false"/>
          <w:sz w:val="20"/>
        </w:rPr>
        <w:t>Ms. Fong has served as a Director and the Chief Marketing Officer of NewGenIvf (before the Closing, Legacy NewGenIvf) since 2019. Prior to establishing NewGenIvf in 2019, Ms. Fong served as a director of First Fertility PGS Center Co., Ltd. since 2014. Ms. Fong received her bachelor’s degree in marketing from Indiana University.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 Fai Chung</w:t>
      </w:r>
      <w:r>
        <w:rPr>
          <w:rFonts w:ascii="Times New Roman;Times;Serif" w:hAnsi="Times New Roman;Times;Serif"/>
          <w:b w:val="false"/>
          <w:i w:val="false"/>
          <w:caps w:val="false"/>
          <w:smallCaps w:val="false"/>
          <w:sz w:val="20"/>
        </w:rPr>
        <w:t>. Mr. Chung has served as NewGenIvf’s Chief Financial Officer since October 10, 2024. Mr. Chung has over 30 years of working experience in Asia. He is a certified public accountant in the U.S. Born in Hong Kong, Mr. Chung holds a Bachelor of Law degree from University of London and a Master’s degree in Accounting and Finance from Lancaster University (UK). Mr. Chung also holds a Master’s degree in International and Public Affairs from Hong Kong University. He started his career with Price Waterhouse (“PwC”) in Hong Kong and then joined a number of companies to take up financial control as well as general management jobs in industries including fashion, office products, telecommunications/internet and advertising. He had worked and based in China, Taiwan, Singapore and Malaysia before and had extensive regional financial controlling exposure in Asia.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Hok Man Jefferson Au</w:t>
      </w:r>
      <w:r>
        <w:rPr>
          <w:rFonts w:ascii="Times New Roman;Times;Serif" w:hAnsi="Times New Roman;Times;Serif"/>
          <w:b w:val="false"/>
          <w:i w:val="false"/>
          <w:caps w:val="false"/>
          <w:smallCaps w:val="false"/>
          <w:sz w:val="20"/>
        </w:rPr>
        <w:t>. Mr. Au has served as NewGenIvf’s independent director since April 3, 2024. Mr. Au has served as the Assistant Financial Controller and the Company Secretary at Coolpoint Innonism Holding Limited since May 2017 and a director of JWMG CPA Limited, Certified Public Accountants since August 2014. He previously worked as the audit supervisor at Clement C.W. Chan &amp; Co., Certified Public Accountants from September 2010 to March 2014. Mr. Au obtained his honours diploma in accounting from Hong Kong Shue Yan University (formerly known as Hong Kong Shue Yan College) and received his Master of Science in professional accountancy from the University of London. Mr. Au is a member of the Hong Kong Institute of Certified Public Accountants and an associate of the Association of Chartered Certified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Florianna Ann Chi Wan Chan</w:t>
      </w:r>
      <w:r>
        <w:rPr>
          <w:rFonts w:ascii="Times New Roman;Times;Serif" w:hAnsi="Times New Roman;Times;Serif"/>
          <w:b w:val="false"/>
          <w:i w:val="false"/>
          <w:caps w:val="false"/>
          <w:smallCaps w:val="false"/>
          <w:sz w:val="20"/>
        </w:rPr>
        <w:t xml:space="preserve"> has served as NewGenIVF’s independent director since April 15, 2025. Ms Chan has over 20 years of experience in project management, real estate development, and luxury hospitality, she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Tam Chun Wa</w:t>
      </w:r>
      <w:r>
        <w:rPr>
          <w:rFonts w:ascii="Times New Roman;Times;Serif" w:hAnsi="Times New Roman;Times;Serif"/>
          <w:b w:val="false"/>
          <w:i w:val="false"/>
          <w:caps w:val="false"/>
          <w:smallCaps w:val="false"/>
          <w:sz w:val="20"/>
        </w:rPr>
        <w:t>. Mr. Tam has served as NewGenIvf’s independent director since November 29, 2024. Mr. Tam is currently the chief financial officer, the company secretary, and the authorised representative of China Asia Valley Group Limited since December 2023. Mr. Tam was appointed as an independent non-executive director of Green Energy Group Limited on 24 August 2011. Mr. Tam was also the chief financial officer, the company secretary and the authorised representative of Perfect Group International Holdings Limited from February 2017 to November 2023. The shares of these three companies are listed on the Main Board of the Stock Exchange with stock codes 63, 979 and 3326 respectively. He was the executive director of Chinasing Investment Holdings Limited from February 2009 to August 2015, a company whose shares were listed on the Main Board of Singapore Exchange Limited. Mr. Tam obtained a Master degree of Business Administration from the University of Sydney. Mr. Tam is also a member of Hong Kong Institute of Certified Public Accountants, CPA (Australia) and Institute of Singapore Chartered Accountants. Mr. Tam has more than 30 years in the areas of auditing, accounting, tax, investment banking and company secretarial 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Lee Sze Mun. </w:t>
      </w:r>
      <w:r>
        <w:rPr>
          <w:rFonts w:ascii="Times New Roman;Times;Serif" w:hAnsi="Times New Roman;Times;Serif"/>
          <w:b w:val="false"/>
          <w:i w:val="false"/>
          <w:caps w:val="false"/>
          <w:smallCaps w:val="false"/>
          <w:sz w:val="20"/>
        </w:rPr>
        <w:t>Ms. Lee has served as an independent director of NewGenIvf since June 1, 2026. With over 22 years of experience in financial accounting, taxation, and group consolidation, she is a Fellow Member of ACCA (FCCA) and holds a BA (Hons) in Accounting and Finance from Leeds Beckett University (formerly Leeds Metropolitan University). Ms. Lee currently serves as Assistant Manager (Finance Control) at a statutory body responsible for regulating and overseeing retirement schemes. Her previous experience includes senior finance roles at a construction company that primarily undertakes government projects, as well as at a German-based multinational shipowner. She also brings audit assurance experience gained from working at a registered CPA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 Tsz Hin Vincent. </w:t>
      </w:r>
      <w:r>
        <w:rPr>
          <w:rFonts w:ascii="Times New Roman;Times;Serif" w:hAnsi="Times New Roman;Times;Serif"/>
          <w:b w:val="false"/>
          <w:i w:val="false"/>
          <w:caps w:val="false"/>
          <w:smallCaps w:val="false"/>
          <w:sz w:val="20"/>
        </w:rPr>
        <w:t>Mr. Lau has served as NewGenIvf’s independent director since June 8, 2026. Since 2025, he has served as Co-Founder and Chief Operating Officer of K25.ai. From 2024 to 2025, he served as Vice President, Business Strategy Office at OSL Group. From 2019 to 2023, he served at OKEx, Bitfinex and Digital Vision Brands. Mr. Lau holds a Bachelor of Business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Lam Chun Tung Patrick. </w:t>
      </w:r>
      <w:r>
        <w:rPr>
          <w:rFonts w:ascii="Times New Roman;Times;Serif" w:hAnsi="Times New Roman;Times;Serif"/>
          <w:b w:val="false"/>
          <w:i w:val="false"/>
          <w:caps w:val="false"/>
          <w:smallCaps w:val="false"/>
          <w:sz w:val="20"/>
        </w:rPr>
        <w:t>Mr. Lam has served as NewGenIvf’s independent director since June 8, 2026. Since 2025, he has served as Co-Founder and Chief Strategy Officer of K25.ai. From 2023 to 2025, he served as a Quantitative Trader at Keyrock S.A. From 2020 to 2022, he served at HKEX across listed issuer regulation, strategy and data governance. Mr. Lam holds a Bachelor of Science in Risk Management and Business Intelligence.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Andy Cheung (Cheung Kong Yiu).</w:t>
      </w:r>
      <w:r>
        <w:rPr>
          <w:rFonts w:ascii="Times New Roman;Times;Serif" w:hAnsi="Times New Roman;Times;Serif"/>
          <w:b w:val="false"/>
          <w:i w:val="false"/>
          <w:caps w:val="false"/>
          <w:smallCaps w:val="false"/>
          <w:sz w:val="20"/>
        </w:rPr>
        <w:t> Mr. Cheung has served as NewGenIvf’s director since June 8, 2026. Since 2024, he has served as Founder and Chief Executive Officer of K25.ai. From 2025 to 2026, he served as a Board Member of Prenetics Global Limited. From 2017 to 2020, he served as Chief Operating Officer of OKEx. Earlier in his career, he held senior leadership roles at iClick Interactive and Groupon. Mr. Cheung holds a Bachelor of Information Technology.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Wing Fung Alfred Siu and Ms. Hei Yue Tina Fong are husband and wife. Other than as disclosed in this prospectus, none of the directors or executive officers has a family relationship as defined in Item 401 of Regulation 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none of our directors or executive officers has, during the past ten years, been involved in any legal proceedings described in subparagraph (f) of Item 401 of Regulation S-K. Our directors and officers have not been involved in any transactions with us or any of our affiliates or associates which are required to be disclosed pursuant to the rules and regulations of the SEC.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paid an aggregate of approximately US$1,800,000 in cash compensation, including benefits, to our directors and executive officers as a group, respectively. Our directors and executive officers do not receive pension, retirement or other similar benefits, and we have not set aside or accrued any amount to provide such benefits to our executive officers. Our subsidiary in Hong Kong is required by the applicable local laws and regulations to make contributions to Mandatory Provident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share incentive plan on April 3, 2024, which was subsequently amended by the approval of our Board on March 28, 2025 (the “Share Incentive Plan” or “Plan”). The following summarizes the material terms of the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Subject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aggregate number of Shares that are available for awards shall initially be 1,054,260 ordinary shares of the Company (39 ordinary shares as adjusted for reverse stock splits in May 2025, August 2025, December 2025, January 2026, March 2026, July 2026 and September 2026), and has been increased by the Board to 691,574 ordinary shares (230,525 shares as adjusted by Reverse Stock Split) of the Company as of the date of this Report. Under the Plan, the total maximum Shares subject to the Plan may be increased by the Board or the Compensation Committee of the Board (the “Committee”) from time to time to allow for the total maximum number of Shares subject to the Plan to be 20% of the then outstanding ordinary shares of the Company at the time of such increase. The number of Shares may be made available from Shares held in treasury or authorized but unissued shares of the Company not reserved for any other purpose. As of this prospectus date, Siu Wing Fung Alfred and Hei Yue Fong Tina had each received 6,317 Class B shares (adjusted for Reverse Stock Split) through the Company’s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Incentive Plan shall be administered by the Committee. The Committee shall have full discretionary authority to administer the Share Incentive Plan, including but not limited to the authority to: (i) interpret the provisions of the Share Incentive Plan, (ii) prescribe, amend and rescind rules and regulations relating to the Share Incentive Plan, (iii) correct any defect, supply any omission, or reconcile any inconsistency in any Award or agreement covering an Award in the manner and to the extent it deems desirable to carry the Share Incentive Plan into effect, and (iv) make all other determinations necessary or advisable for the administration of the Share Incentive Plan. The Committee’s decisions (including any failure to make decisions) shall be binding upon all persons, including the Company, shareholders, Employers, and each Employee, Director, Consultant or Participant, and shall be given deference in any proceeding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Incentive Plan is open to any Employee, Director or Consultant who, in the opinion of the Committee, has the capacity to contribute to the success of the Company is eligible to be a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 Date, Amendment, Modification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Incentive Plan shall become effective on the date of its adoption by the Board or a committee of the Board duly authorized by the Board (the “Effective Date”). The Share Incentive Plan will expire on the tenth anniversary of the Effective Date, and no Award may be granted pursuant to the Share Incentive Plan after, the tenth anniversary of the Effective Date, unless otherwise determined by the Committee. Any Awards that are outstanding on the tenth anniversary of the Effective Date shall remain in force according to the terms of the Share Incentive Plan and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the Board or the Committee may terminate, amend or modify the Share Incentive Plan; provided, however, that to the extent necessary to comply with Applicable Laws, the Company shall obtain shareholder approval of any Plan amendment in such a manner and to such a degree as required, unless the Board decides to follow home country practice not to seek the shareholder approval for any amendment or modification of the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compensation, including base salary, discretionary bonus, equity compensation, contractual benefits and contributions to defined contribution plans, which was paid, earned and/or accrued during the fiscal years ended December 31, 2025 and 2024, for each of the officers and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70"/>
        <w:gridCol w:w="60"/>
        <w:gridCol w:w="221"/>
        <w:gridCol w:w="1269"/>
        <w:gridCol w:w="60"/>
        <w:gridCol w:w="60"/>
        <w:gridCol w:w="186"/>
        <w:gridCol w:w="1304"/>
        <w:gridCol w:w="75"/>
      </w:tblGrid>
      <w:tr>
        <w:trPr/>
        <w:tc>
          <w:tcPr>
            <w:tcW w:w="697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2024</w:t>
              <w:br/>
              <w:t>Compensation</w:t>
              <w:b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2025</w:t>
              <w:br/>
              <w:t>Compensation</w:t>
              <w:br/>
              <w:t>US$</w:t>
            </w:r>
          </w:p>
        </w:tc>
        <w:tc>
          <w:tcPr>
            <w:tcW w:w="75" w:type="dxa"/>
            <w:tcBorders/>
            <w:tcMar>
              <w:bottom w:w="0" w:type="dxa"/>
            </w:tcMar>
            <w:vAlign w:val="center"/>
          </w:tcPr>
          <w:p>
            <w:pPr>
              <w:pStyle w:val="TableContents"/>
              <w:bidi w:val="0"/>
              <w:spacing w:before="0" w:after="283"/>
              <w:jc w:val="left"/>
              <w:rPr/>
            </w:pPr>
            <w:r>
              <w:rPr/>
              <w:t> </w:t>
            </w:r>
          </w:p>
        </w:tc>
      </w:tr>
      <w:tr>
        <w:trPr/>
        <w:tc>
          <w:tcPr>
            <w:tcW w:w="6970" w:type="dxa"/>
            <w:tcBorders/>
            <w:tcMar>
              <w:bottom w:w="0" w:type="dxa"/>
            </w:tcMar>
            <w:vAlign w:val="center"/>
          </w:tcPr>
          <w:p>
            <w:pPr>
              <w:pStyle w:val="TableContents"/>
              <w:bidi w:val="0"/>
              <w:spacing w:before="0" w:after="283"/>
              <w:jc w:val="left"/>
              <w:rPr/>
            </w:pPr>
            <w:r>
              <w:rPr/>
              <w:t>Directors and Officers</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970" w:type="dxa"/>
            <w:tcBorders/>
            <w:shd w:fill="CCEEFF" w:val="clear"/>
            <w:tcMar>
              <w:bottom w:w="0" w:type="dxa"/>
            </w:tcMar>
            <w:vAlign w:val="center"/>
          </w:tcPr>
          <w:p>
            <w:pPr>
              <w:pStyle w:val="TableContents"/>
              <w:bidi w:val="0"/>
              <w:spacing w:before="0" w:after="283"/>
              <w:jc w:val="left"/>
              <w:rPr/>
            </w:pPr>
            <w:r>
              <w:rPr/>
              <w:t>Mr 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325,000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970" w:type="dxa"/>
            <w:tcBorders/>
            <w:shd w:fill="FFFFFF" w:val="clear"/>
            <w:tcMar>
              <w:bottom w:w="0" w:type="dxa"/>
            </w:tcMar>
            <w:vAlign w:val="center"/>
          </w:tcPr>
          <w:p>
            <w:pPr>
              <w:pStyle w:val="TableContents"/>
              <w:bidi w:val="0"/>
              <w:spacing w:before="0" w:after="283"/>
              <w:jc w:val="left"/>
              <w:rPr/>
            </w:pPr>
            <w:r>
              <w:rPr/>
              <w:t>Director’s bonus of Mr Wing Fung Alfred Siu</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pPr>
            <w:r>
              <w:rPr/>
              <w:t>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970" w:type="dxa"/>
            <w:tcBorders/>
            <w:shd w:fill="CCEEFF" w:val="clear"/>
            <w:tcMar>
              <w:bottom w:w="0" w:type="dxa"/>
            </w:tcMar>
            <w:vAlign w:val="center"/>
          </w:tcPr>
          <w:p>
            <w:pPr>
              <w:pStyle w:val="TableContents"/>
              <w:bidi w:val="0"/>
              <w:spacing w:before="0" w:after="283"/>
              <w:jc w:val="left"/>
              <w:rPr/>
            </w:pPr>
            <w:r>
              <w:rPr/>
              <w:t>Director’s welfare, accommodation and insurance to Mr 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393,103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970" w:type="dxa"/>
            <w:tcBorders/>
            <w:shd w:fill="FFFFFF" w:val="clear"/>
            <w:tcMar>
              <w:bottom w:w="0" w:type="dxa"/>
            </w:tcMar>
            <w:vAlign w:val="center"/>
          </w:tcPr>
          <w:p>
            <w:pPr>
              <w:pStyle w:val="TableContents"/>
              <w:bidi w:val="0"/>
              <w:spacing w:before="0" w:after="283"/>
              <w:jc w:val="left"/>
              <w:rPr/>
            </w:pPr>
            <w:r>
              <w:rPr/>
              <w:t>Hei Yue Tina Fong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shd w:fill="FFFFFF" w:val="clear"/>
            <w:vAlign w:val="center"/>
          </w:tcPr>
          <w:p>
            <w:pPr>
              <w:pStyle w:val="TableContents"/>
              <w:bidi w:val="0"/>
              <w:spacing w:before="0" w:after="283"/>
              <w:jc w:val="left"/>
              <w:rPr/>
            </w:pPr>
            <w:r>
              <w:rPr/>
              <w:t> </w:t>
            </w:r>
          </w:p>
        </w:tc>
        <w:tc>
          <w:tcPr>
            <w:tcW w:w="1269" w:type="dxa"/>
            <w:tcBorders>
              <w:bottom w:val="single" w:sz="12" w:space="0" w:color="000000"/>
            </w:tcBorders>
            <w:shd w:fill="FFFFFF" w:val="clear"/>
            <w:vAlign w:val="center"/>
          </w:tcPr>
          <w:p>
            <w:pPr>
              <w:pStyle w:val="TableContents"/>
              <w:bidi w:val="0"/>
              <w:spacing w:before="0" w:after="283"/>
              <w:jc w:val="right"/>
              <w:rPr/>
            </w:pPr>
            <w:r>
              <w:rPr/>
              <w:t>190,000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1304" w:type="dxa"/>
            <w:tcBorders>
              <w:bottom w:val="single" w:sz="12" w:space="0" w:color="000000"/>
            </w:tcBorders>
            <w:shd w:fill="FFFFFF" w:val="clear"/>
            <w:vAlign w:val="center"/>
          </w:tcPr>
          <w:p>
            <w:pPr>
              <w:pStyle w:val="TableContents"/>
              <w:bidi w:val="0"/>
              <w:spacing w:before="0" w:after="283"/>
              <w:jc w:val="right"/>
              <w:rPr/>
            </w:pPr>
            <w:r>
              <w:rPr/>
              <w:t>325,000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97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69" w:type="dxa"/>
            <w:tcBorders>
              <w:bottom w:val="double" w:sz="10" w:space="0" w:color="000000"/>
            </w:tcBorders>
            <w:shd w:fill="CCEEFF" w:val="clear"/>
            <w:vAlign w:val="center"/>
          </w:tcPr>
          <w:p>
            <w:pPr>
              <w:pStyle w:val="TableContents"/>
              <w:bidi w:val="0"/>
              <w:spacing w:before="0" w:after="283"/>
              <w:jc w:val="right"/>
              <w:rPr>
                <w:b/>
              </w:rPr>
            </w:pPr>
            <w:r>
              <w:rPr>
                <w:b/>
              </w:rPr>
              <w:t>380,000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304" w:type="dxa"/>
            <w:tcBorders>
              <w:bottom w:val="double" w:sz="10" w:space="0" w:color="000000"/>
            </w:tcBorders>
            <w:shd w:fill="CCEEFF" w:val="clear"/>
            <w:vAlign w:val="center"/>
          </w:tcPr>
          <w:p>
            <w:pPr>
              <w:pStyle w:val="TableContents"/>
              <w:bidi w:val="0"/>
              <w:spacing w:before="0" w:after="283"/>
              <w:jc w:val="right"/>
              <w:rPr>
                <w:b/>
              </w:rPr>
            </w:pPr>
            <w:r>
              <w:rPr>
                <w:b/>
              </w:rPr>
              <w:t>1,793,103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three committees under the Board: an audit committee (“Audit Committee”), a Compensation Committee (“Compensation Committee”) and a nominating and corporate governance committee (“Nominating and Corporate Governance Committee). We have adopted a charter for each of the three committees. Each committee’s members and functions are described below.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consists of Mr. Hok Man Jefferson Au (Chairman of Audit Committee), Ms, Florianna Ann Chi Wan Chan, and Mr. Tam Chun Wa. We have determined that all of these individuals satisfy the “independence” requirements of NASDAQ Rule 5605 and Rule 10A-3 under the Exchange Act. Our Board has determined that Mr. Hok Man Jefferson Au qualifies as an audit committee financial expert and has the accounting or financial management expertise as required under Item 407(d)(5)(ii) and (iii) of Regulation S-K. The audit committee will oversee our accounting and financial reporting processes and the audits of the financial statements of our company. The Audit Committee will be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sz w:val="20"/>
              </w:rPr>
            </w:pPr>
            <w:r>
              <w:rPr>
                <w:sz w:val="20"/>
              </w:rPr>
              <w:t>establishing clear hiring policies for employees or former employees of the independent auditors;</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recommending to the Board for approval, the appointment, reappointment or removal of the independent auditor, after considering its annual performance evaluation of the independent auditor;</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approving the remuneration and terms of engagement of the independent auditor and pre-approving all auditing and non-auditing services permitted to be performed by the Company’s independent auditors at least annually;</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obtaining a written report from the Company’s independent auditor describing matters relating to its independence and quality control procedures;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with the independent registered public accounting firm any audit problems or difficulties and management’s response;</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discussing with the Company’s independent auditor, among other things, the audits of the financial statements, including whether any material information should be disclosed, in addition to issues regarding accounting and auditing principles and practices;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approving all proposed related party transactions, as defined in Item 404 of Regulation S-K under the Securities Act;</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recommending the financial statements for inclusion within the Company’s quarterly earnings releases and to the Board for inclusion in its annual reports;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discussing the annual audited financial statements with management and the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sz w:val="20"/>
              </w:rPr>
            </w:pPr>
            <w:r>
              <w:rPr>
                <w:sz w:val="20"/>
              </w:rPr>
              <w:t>reviewing policies with respect to risk assessment and risk management;</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the adequacy and effectiveness of the Company’s accounting and internal control policies and procedures and any special steps taken to monitor and control major financial risk exposures;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sz w:val="20"/>
              </w:rPr>
            </w:pPr>
            <w:r>
              <w:rPr>
                <w:sz w:val="20"/>
              </w:rPr>
              <w:t>periodically reviewing and reassessing the adequacy of the committee charter;</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sz w:val="20"/>
              </w:rPr>
            </w:pPr>
            <w:r>
              <w:rPr>
                <w:sz w:val="20"/>
              </w:rPr>
              <w:t>approving annual audit plans, and undertaking an annual performance evaluation of the internal audit function;</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sz w:val="20"/>
              </w:rPr>
            </w:pPr>
            <w:r>
              <w:rPr>
                <w:sz w:val="20"/>
              </w:rPr>
              <w:t>establishing and overseeing procedures for the handling of complaints and whistleblowing;</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meeting separately and periodically with management, the internal auditors and the independent registered public accounting firm;</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monitoring compliance with the Company’s code of business conduct and ethics, including reviewing the adequacy and effectiveness of its procedures to ensure proper compliance;</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reporting periodically to the Board; and</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such other matters that are specifically delegated to the Company’s Audit Committee by the Board from time to time.</w:t>
            </w:r>
          </w:p>
        </w:tc>
      </w:tr>
    </w:tbl>
    <w:p>
      <w:pPr>
        <w:pStyle w:val="TextBody"/>
        <w:shd w:fill="FFFFFF" w:val="clear"/>
        <w:bidi w:val="0"/>
        <w:spacing w:before="0" w:after="0"/>
        <w:ind w:left="9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audit committee’s current charter is available at our corporate website at www.newgenivf.com. </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Our Compensation Committee (“Compensation Committee”) consists of Mr. Wing Fung Alfred Siu, Ms. Hei Yue Tina Fong, and Ms Florianna Ann Chi Wan Chan. The Chairman of the Compensation Committee is Mr. Siu. The Company has determined that Ms. Chan satisfies the “independence” requirements of Rule 5605(c)(2) of the Nasdaq Stock Market Listing Rules. The Compensation Committee assists the Board in reviewing and approving compensation structure, including all forms of compensation relating to the Company’s directors and executive officers. The Company’s Chief Executive Officer may not be present at any committee meeting during which their compensation is deliberated upon. The Compensation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reviewing and evaluating the Company’s executive compensation and benefits policies generally;</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sz w:val="20"/>
              </w:rPr>
            </w:pPr>
            <w:r>
              <w:rPr>
                <w:sz w:val="20"/>
              </w:rPr>
              <w:t>reviewing and recommending any incentive compensation or equity plans, programs or other similar arrangements;</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sz w:val="20"/>
              </w:rPr>
            </w:pPr>
            <w:r>
              <w:rPr>
                <w:sz w:val="20"/>
              </w:rPr>
              <w:t>periodically reviewing and reassessing the adequacy of the Compensation Committee charter;</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selecting compensation consultant, legal counsel or other adviser only after taking into consideration all factors relevant to that person’s independence from management;</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reporting periodically to the Board;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sz w:val="20"/>
              </w:rPr>
            </w:pPr>
            <w:r>
              <w:rPr>
                <w:sz w:val="20"/>
              </w:rPr>
              <w:t>such other matters that are specifically delegated to the Compensation Committee by the Board from time to time.</w:t>
            </w:r>
          </w:p>
        </w:tc>
      </w:tr>
    </w:tbl>
    <w:p>
      <w:pPr>
        <w:pStyle w:val="TextBody"/>
        <w:shd w:fill="FFFFFF" w:val="clear"/>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Compensation Committee’s current charter is available at our corporate website at: www.newgenivf.com.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The Company’s Nominating and Corporate Governance Committee consist of Mr. Wing Fung Alfred Siu, Ms. Hei Yue Tina Fong, and Mr. Hok Man Jefferson Au. The Chairman of the Nominating and Corporate Governance Committee is Mr. Siu. The Company has determined that Mr. Au satisfies the “independence” requirements of Rule 5605(c)(2) of the Nasdaq Stock Market Listing Rules. The Nominating and Corporate Governance Committee assists the Board of Directors in selecting individuals qualified to become the Company’s directors and in determining the composition of the Board of Directors and its committees. The Nominating and Corporate Governance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nominees to the Board for election or re-election to the Board, or for appointment to fill any vacancy or newly created directorships on the Board;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periodically with the Board the current composition of the Board with regards to characteristics such as judgment, experience, expertise, diversity and background;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to the Board of criteria with respect to nomination or appointment of members of its Board of Directors and chairs and members of its committees or other corporate governance matters as may be required pursuant to any SEC or Nasdaq Stock Market Listing Rules, or otherwise considered desirable and appropriate;</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to the Board the names of directors to serve as members of the Audit Committee and the Compensation Committee, as well as of the Nominating and Corporate Governance Committee itself;</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sz w:val="20"/>
              </w:rPr>
            </w:pPr>
            <w:r>
              <w:rPr>
                <w:sz w:val="20"/>
              </w:rPr>
              <w:t>periodically and reassessing the adequacy of the committee charter;</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5"/>
        <w:gridCol w:w="170"/>
        <w:gridCol w:w="9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sz w:val="20"/>
              </w:rPr>
            </w:pPr>
            <w:r>
              <w:rPr>
                <w:sz w:val="20"/>
              </w:rPr>
              <w:t>overseeing compliance with the corporate governance guidelines and code of business conduct and ethics;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sz w:val="20"/>
              </w:rPr>
            </w:pPr>
            <w:r>
              <w:rPr>
                <w:sz w:val="20"/>
              </w:rPr>
              <w:t>overseeing and leading the self-evaluation of the Board in its performance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170"/>
        <w:gridCol w:w="2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sz w:val="20"/>
              </w:rPr>
            </w:pPr>
            <w:r>
              <w:rPr>
                <w:sz w:val="20"/>
              </w:rPr>
              <w:t>effectiveness as a whole.</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Nominating and Corporate Governance Committee’s current charter is available at our corporate website at www.newgenivf.com.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Duties and Functions of Directors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British Virgin Islands, the Company’s directors owe fiduciary duties to the Company, including duty to act honestly and in good faith in what the directors believe to be in the best interests of the company, duty to exercise powers for a proper purpose and directors shall not act, or agree to act, in a matter that contravenes the BVI Act or the Memorandum and Articles of Association, duty to exercise the care, diligence and skill that a reasonable director would exercise in the circumstances, and duty to avoid conflicts of interest. In fulfilling their duty of care to the Company, the Company’s directors must ensure compliance with the Company’s Memorandum and Articles of Association, as amended and restated from time to time. The Company has the right to seek damages if a duty owed by its directors is breached. In limited exceptional circumstances, a shareholder may have the right to seek damages in the Company’s name if a duty owed by the Company’s directors is breached. The functions and powers of the Board include, among other things, (i) convening shareholder meetings at such times and in such manner and places as the director considers necessary or desirable, (ii) declaring dividends, (iii) appointing directors or officers and determining their terms of offices and responsibilities, and (iv) approving the transfer of shares of the Company, including the registering of such shares in the Company’s share register.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are elected by and serve at the discretion of the Board. Each director holds office for the term fixed by the resolution of shareholders or the resolution of directors appointing him until such time as his successor takes office or until the earlier of his death, resignation or removal from office by resolution of directors with or without cause or be removed by the shareholders for cause only by a resolution approved at a duly convened and constituted meeting of the shareholders of the Company by the affirmative vote of not less than 75% of the votes of the shares entitled to vote thereon which were present at the meeting and were voted. The directors may at any time appoint any person to be a director either to fill a vacancy or as an addition to the existing directors. Where the directors appoint a person as director to fill a vacancy, the term shall not exceed the term that remained when the person who has ceased to be a director ceased to hold office. A vacancy in relation to directors occurs if a director dies or otherwise ceases to hold office prior to the expiration of his term of office.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Transactions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subject to any separate requirements for Audit Committee approval under applicable laws or applicable Nasdaq Stock Market Listing Rules, vote on a matter relating to the transaction in which he or she is interested, provided that the interest of any directors in such transaction is disclosed by him or her to all other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Agreements </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director agreements with our directors, which require us to maintain director and officer liability insurance for our directors, provide reimbursements for business related travel and accommodation and other reasonable expenses, and an annual remuneration of between $20,000 to $25,000 for our independent directors, and a total of $380,000 and $1.76m for both of our executive directors in the years of 2024 and 2025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87 full-time employees as of December 31, 2025, of which 73 are based in Thailand, Cambodia and Kyrgyzstan. NewGenIvf aims to attract and retain employees with the skills, and experience necessary to implement its growth strategy. The following table sets forth the number of its employees in Thailand, Cambodia and Kyrgyzstan by function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4254" w:type="dxa"/>
        <w:jc w:val="left"/>
        <w:tblInd w:w="0" w:type="dxa"/>
        <w:tblLayout w:type="fixed"/>
        <w:tblCellMar>
          <w:top w:w="0" w:type="dxa"/>
          <w:left w:w="0" w:type="dxa"/>
          <w:bottom w:w="28" w:type="dxa"/>
          <w:right w:w="0" w:type="dxa"/>
        </w:tblCellMar>
      </w:tblPr>
      <w:tblGrid>
        <w:gridCol w:w="2930"/>
        <w:gridCol w:w="60"/>
        <w:gridCol w:w="222"/>
        <w:gridCol w:w="967"/>
        <w:gridCol w:w="75"/>
      </w:tblGrid>
      <w:tr>
        <w:trPr/>
        <w:tc>
          <w:tcPr>
            <w:tcW w:w="2930" w:type="dxa"/>
            <w:tcBorders>
              <w:bottom w:val="single" w:sz="12" w:space="0" w:color="000000"/>
            </w:tcBorders>
            <w:vAlign w:val="center"/>
          </w:tcPr>
          <w:p>
            <w:pPr>
              <w:pStyle w:val="TableContents"/>
              <w:bidi w:val="0"/>
              <w:spacing w:before="0" w:after="283"/>
              <w:jc w:val="both"/>
              <w:rPr>
                <w:b/>
              </w:rPr>
            </w:pPr>
            <w:r>
              <w:rPr>
                <w:b/>
              </w:rPr>
              <w:t>Function</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employees</w:t>
            </w:r>
          </w:p>
        </w:tc>
        <w:tc>
          <w:tcPr>
            <w:tcW w:w="75"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both"/>
              <w:rPr>
                <w:b/>
              </w:rPr>
            </w:pPr>
            <w:r>
              <w:rPr>
                <w:b/>
              </w:rPr>
              <w:t>Thailand</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Cambodia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Kyrgyzstan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Administrative staff and others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CCEEFF" w:val="clear"/>
            <w:vAlign w:val="center"/>
          </w:tcPr>
          <w:p>
            <w:pPr>
              <w:pStyle w:val="TableContents"/>
              <w:bidi w:val="0"/>
              <w:spacing w:before="0" w:after="283"/>
              <w:jc w:val="left"/>
              <w:rPr/>
            </w:pPr>
            <w:r>
              <w:rPr/>
              <w:t> </w:t>
            </w:r>
          </w:p>
        </w:tc>
        <w:tc>
          <w:tcPr>
            <w:tcW w:w="967" w:type="dxa"/>
            <w:tcBorders>
              <w:bottom w:val="single" w:sz="12" w:space="0" w:color="000000"/>
            </w:tcBorders>
            <w:shd w:fill="CCEEFF" w:val="clear"/>
            <w:vAlign w:val="center"/>
          </w:tcPr>
          <w:p>
            <w:pPr>
              <w:pStyle w:val="TableContents"/>
              <w:bidi w:val="0"/>
              <w:spacing w:before="0" w:after="283"/>
              <w:jc w:val="right"/>
              <w:rPr/>
            </w:pPr>
            <w:r>
              <w:rPr/>
              <w:t>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double" w:sz="10" w:space="0" w:color="000000"/>
            </w:tcBorders>
            <w:shd w:fill="FFFFFF" w:val="clear"/>
            <w:vAlign w:val="center"/>
          </w:tcPr>
          <w:p>
            <w:pPr>
              <w:pStyle w:val="TableContents"/>
              <w:bidi w:val="0"/>
              <w:spacing w:before="0" w:after="283"/>
              <w:jc w:val="left"/>
              <w:rPr/>
            </w:pPr>
            <w:r>
              <w:rPr/>
              <w:t> </w:t>
            </w:r>
          </w:p>
        </w:tc>
        <w:tc>
          <w:tcPr>
            <w:tcW w:w="967" w:type="dxa"/>
            <w:tcBorders>
              <w:bottom w:val="double" w:sz="10" w:space="0" w:color="000000"/>
            </w:tcBorders>
            <w:shd w:fill="FFFFFF" w:val="clear"/>
            <w:vAlign w:val="center"/>
          </w:tcPr>
          <w:p>
            <w:pPr>
              <w:pStyle w:val="TableContents"/>
              <w:bidi w:val="0"/>
              <w:spacing w:before="0" w:after="283"/>
              <w:jc w:val="right"/>
              <w:rPr>
                <w:b/>
              </w:rPr>
            </w:pPr>
            <w:r>
              <w:rPr>
                <w:b/>
              </w:rPr>
              <w:t>87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maintain a good working relationship with our employees and we have not experienced any significant labor disputes.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k_007"/>
      <w:bookmarkEnd w:id="8"/>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related parties of the Company is as follows:</w:t>
      </w:r>
    </w:p>
    <w:p>
      <w:pPr>
        <w:pStyle w:val="TextBody"/>
        <w:bidi w:val="0"/>
        <w:spacing w:before="0" w:after="0"/>
        <w:ind w:left="0" w:right="0" w:firstLine="72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4625"/>
        <w:gridCol w:w="60"/>
        <w:gridCol w:w="254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Relationship</w:t>
            </w:r>
          </w:p>
        </w:tc>
      </w:tr>
      <w:tr>
        <w:trPr/>
        <w:tc>
          <w:tcPr>
            <w:tcW w:w="4625" w:type="dxa"/>
            <w:tcBorders/>
            <w:shd w:fill="CCEEFF" w:val="clear"/>
            <w:vAlign w:val="center"/>
          </w:tcPr>
          <w:p>
            <w:pPr>
              <w:pStyle w:val="TableContents"/>
              <w:bidi w:val="0"/>
              <w:spacing w:before="0" w:after="283"/>
              <w:jc w:val="left"/>
              <w:rPr>
                <w:sz w:val="20"/>
              </w:rPr>
            </w:pPr>
            <w:r>
              <w:rPr>
                <w:sz w:val="20"/>
              </w:rPr>
              <w:t>Mr. Siu, Wing Fung Alfred and Ms. Fong, Hei Yue Tina*</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sz w:val="20"/>
              </w:rPr>
            </w:pPr>
            <w:r>
              <w:rPr>
                <w:sz w:val="20"/>
              </w:rPr>
              <w:t>Shareholders and directors</w:t>
            </w:r>
          </w:p>
        </w:tc>
      </w:tr>
      <w:tr>
        <w:trPr/>
        <w:tc>
          <w:tcPr>
            <w:tcW w:w="4625" w:type="dxa"/>
            <w:tcBorders/>
            <w:shd w:fill="FFFFFF" w:val="clear"/>
            <w:vAlign w:val="center"/>
          </w:tcPr>
          <w:p>
            <w:pPr>
              <w:pStyle w:val="TableContents"/>
              <w:bidi w:val="0"/>
              <w:spacing w:before="0" w:after="283"/>
              <w:jc w:val="left"/>
              <w:rPr>
                <w:sz w:val="20"/>
              </w:rPr>
            </w:pPr>
            <w:r>
              <w:rPr>
                <w:sz w:val="20"/>
              </w:rPr>
              <w:t>Harcourt Limited  </w:t>
            </w:r>
          </w:p>
        </w:tc>
        <w:tc>
          <w:tcPr>
            <w:tcW w:w="60" w:type="dxa"/>
            <w:tcBorders/>
            <w:shd w:fill="FFFFFF" w:val="clear"/>
            <w:vAlign w:val="center"/>
          </w:tcPr>
          <w:p>
            <w:pPr>
              <w:pStyle w:val="TableContents"/>
              <w:bidi w:val="0"/>
              <w:spacing w:before="0" w:after="283"/>
              <w:jc w:val="left"/>
              <w:rPr/>
            </w:pPr>
            <w:r>
              <w:rPr/>
              <w:t> </w:t>
            </w:r>
          </w:p>
        </w:tc>
        <w:tc>
          <w:tcPr>
            <w:tcW w:w="2540" w:type="dxa"/>
            <w:tcBorders/>
            <w:shd w:fill="FFFFFF" w:val="clear"/>
            <w:vAlign w:val="center"/>
          </w:tcPr>
          <w:p>
            <w:pPr>
              <w:pStyle w:val="TableContents"/>
              <w:bidi w:val="0"/>
              <w:spacing w:before="0" w:after="283"/>
              <w:jc w:val="left"/>
              <w:rPr>
                <w:sz w:val="20"/>
              </w:rPr>
            </w:pPr>
            <w:r>
              <w:rPr>
                <w:sz w:val="20"/>
              </w:rPr>
              <w:t>Controlled by Mr. Siu</w:t>
            </w:r>
          </w:p>
        </w:tc>
      </w:tr>
      <w:tr>
        <w:trPr/>
        <w:tc>
          <w:tcPr>
            <w:tcW w:w="4625" w:type="dxa"/>
            <w:tcBorders/>
            <w:shd w:fill="CCEEFF" w:val="clear"/>
            <w:vAlign w:val="center"/>
          </w:tcPr>
          <w:p>
            <w:pPr>
              <w:pStyle w:val="TableContents"/>
              <w:bidi w:val="0"/>
              <w:spacing w:before="0" w:after="283"/>
              <w:jc w:val="left"/>
              <w:rPr>
                <w:sz w:val="20"/>
              </w:rPr>
            </w:pPr>
            <w:r>
              <w:rPr>
                <w:sz w:val="20"/>
              </w:rPr>
              <w:t>Mr. Daniel Wai To Siu</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sz w:val="20"/>
              </w:rPr>
            </w:pPr>
            <w:r>
              <w:rPr>
                <w:sz w:val="20"/>
              </w:rPr>
              <w:t>Mr. Siu’s son</w:t>
            </w:r>
          </w:p>
        </w:tc>
      </w:tr>
      <w:tr>
        <w:trPr/>
        <w:tc>
          <w:tcPr>
            <w:tcW w:w="4625" w:type="dxa"/>
            <w:tcBorders/>
            <w:shd w:fill="FFFFFF" w:val="clear"/>
            <w:vAlign w:val="center"/>
          </w:tcPr>
          <w:p>
            <w:pPr>
              <w:pStyle w:val="TableContents"/>
              <w:bidi w:val="0"/>
              <w:spacing w:before="0" w:after="283"/>
              <w:jc w:val="left"/>
              <w:rPr>
                <w:sz w:val="20"/>
              </w:rPr>
            </w:pPr>
            <w:r>
              <w:rPr>
                <w:sz w:val="20"/>
              </w:rPr>
              <w:t>Mr. Jaspar Siu</w:t>
            </w:r>
          </w:p>
        </w:tc>
        <w:tc>
          <w:tcPr>
            <w:tcW w:w="60" w:type="dxa"/>
            <w:tcBorders/>
            <w:shd w:fill="FFFFFF" w:val="clear"/>
            <w:vAlign w:val="center"/>
          </w:tcPr>
          <w:p>
            <w:pPr>
              <w:pStyle w:val="TableContents"/>
              <w:bidi w:val="0"/>
              <w:spacing w:before="0" w:after="283"/>
              <w:jc w:val="left"/>
              <w:rPr/>
            </w:pPr>
            <w:r>
              <w:rPr/>
              <w:t> </w:t>
            </w:r>
          </w:p>
        </w:tc>
        <w:tc>
          <w:tcPr>
            <w:tcW w:w="2540" w:type="dxa"/>
            <w:tcBorders/>
            <w:shd w:fill="FFFFFF" w:val="clear"/>
            <w:vAlign w:val="center"/>
          </w:tcPr>
          <w:p>
            <w:pPr>
              <w:pStyle w:val="TableContents"/>
              <w:bidi w:val="0"/>
              <w:spacing w:before="0" w:after="283"/>
              <w:jc w:val="left"/>
              <w:rPr>
                <w:sz w:val="20"/>
              </w:rPr>
            </w:pPr>
            <w:r>
              <w:rPr>
                <w:sz w:val="20"/>
              </w:rPr>
              <w:t>Mr. Siu’s son</w:t>
            </w:r>
          </w:p>
        </w:tc>
      </w:tr>
      <w:tr>
        <w:trPr/>
        <w:tc>
          <w:tcPr>
            <w:tcW w:w="4625" w:type="dxa"/>
            <w:tcBorders/>
            <w:shd w:fill="CCEEFF" w:val="clear"/>
            <w:vAlign w:val="center"/>
          </w:tcPr>
          <w:p>
            <w:pPr>
              <w:pStyle w:val="TableContents"/>
              <w:bidi w:val="0"/>
              <w:spacing w:before="0" w:after="283"/>
              <w:jc w:val="left"/>
              <w:rPr/>
            </w:pPr>
            <w:r>
              <w:rPr/>
              <w:t>Mr. Kong Yiu Cheung</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pPr>
            <w:r>
              <w:rPr/>
              <w:t>Shareholders and directors</w:t>
            </w:r>
          </w:p>
        </w:tc>
      </w:tr>
    </w:tbl>
    <w:p>
      <w:pPr>
        <w:pStyle w:val="TextBody"/>
        <w:bidi w:val="0"/>
        <w:spacing w:before="0" w:after="0"/>
        <w:ind w:left="0" w:right="0" w:firstLine="72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283"/>
              <w:jc w:val="left"/>
              <w:rPr>
                <w:sz w:val="20"/>
              </w:rPr>
            </w:pPr>
            <w:r>
              <w:rPr>
                <w:sz w:val="20"/>
              </w:rPr>
              <w:t>*</w:t>
            </w:r>
          </w:p>
        </w:tc>
        <w:tc>
          <w:tcPr>
            <w:tcW w:w="2735" w:type="dxa"/>
            <w:tcBorders/>
            <w:vAlign w:val="center"/>
          </w:tcPr>
          <w:p>
            <w:pPr>
              <w:pStyle w:val="TableContents"/>
              <w:bidi w:val="0"/>
              <w:spacing w:before="0" w:after="283"/>
              <w:jc w:val="both"/>
              <w:rPr>
                <w:sz w:val="20"/>
              </w:rPr>
            </w:pPr>
            <w:r>
              <w:rPr>
                <w:sz w:val="20"/>
              </w:rPr>
              <w:t>Ms. Fong is the spouse of Mr. Siu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Wing Fung Alfred Siu and Ms. Hei Yue Tina Fong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recorded remuneration to its directors, Mr. Siu and Ms. Fong. The total remuneration to Mr. Siu, Wing Fung Alfred and Ms Hei Yue Tina Fong was US$380,000 and US$1.76m (including a one-time bonus of $750,000 for maintaining Nasdaq listing status and achieving targeted share capitalization level and benefits paid) during the year ended December 31,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Harcourt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NewGenIvf entered into a service agreement with Harcourt Limited, which is controlled by Mr Siu and Ms Fong, and paid a total of $230,772 as administrative support fee. This service agreement was duly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Daniel Siu and Mr. Jaspar Siu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Mr. Daniel Siu and Mr. Jaspar Siu provided consulting services for NewGenIvf with respect to fund raising and other capital activities, and received a total of $219,045 and $65,000 respectively.</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Kong Yiu Cheung and PredicXion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and until the date of this prospectus, the Company had acquired a 2% minority equity interest and made deposits for another 11% equity interest in PredicXion from Mr. Kong Yiu Cheung. A total of $2,287,500 cash consideration had been paid and a total of 1,240,741 Class A ordinary shares of the Company (as adjusted for the Reverse Stock Splits) had been issued to Mr. Cheung for the transactions. Mr Cheung has been appointed a director of the Company since June 8, 2026.</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k_008"/>
      <w:bookmarkEnd w:id="9"/>
      <w:r>
        <w:rPr>
          <w:rFonts w:ascii="Times New Roman;Times;Serif" w:hAnsi="Times New Roman;Times;Serif"/>
          <w:b/>
          <w:i w:val="false"/>
          <w:caps w:val="false"/>
          <w:smallCaps w:val="false"/>
          <w:sz w:val="20"/>
        </w:rPr>
        <w:t>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currently trade on Nasdaq under the symbol “NIVF.” As of the date of this prospectus, our only listed class of securities are our Class A Ordinary Shares. All of our Class A Ordinary Shares, including those to be offered in the Best Efforts Offering pursuant to this prospectus, have the same rights and privileges. For more information, see “</w:t>
      </w:r>
      <w:r>
        <w:rPr>
          <w:rFonts w:ascii="Times New Roman;Times;Serif" w:hAnsi="Times New Roman;Times;Serif"/>
          <w:b w:val="false"/>
          <w:i/>
          <w:caps w:val="false"/>
          <w:smallCaps w:val="false"/>
          <w:sz w:val="20"/>
        </w:rPr>
        <w:t>Description of Share Capital—Ordinary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k_009"/>
      <w:bookmarkEnd w:id="1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 assumed offering price of $1.1 per Class A Ordinary Share (the last reported sale price rounded to the nearest whole cent of our ordinary shares as reported on the Nasdaq Capital Market on September 9, 2026), we estimate that we will receive gross proceeds from this offering of approximately $6,000,000, and net proceeds of approximately $5,420,000, after deducting placement agent fees and estimated offering expenses of approximately $580,000 payable by us. However, because this is a best-efforts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investment in K25.ai, restructuring of debt securities, working capital, including manufacturing and deployment of Nodexus machines in cell sorting business, and other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must rely on the judgment of our management, who will have broad discretion regarding the application of the remaining net proceeds of this offering after repayment of our outstanding debt obligations. The amounts and timing of our actual expenditures will depend upon numerous factors, including market conditions, cash generated by our operations (if any), business developments and the rate of our growth. We may find it necessary or advisable to use portions of the proceeds of this offering for other purposes. Pending these uses, we intend to invest the net proceeds of this offering in a money market or other interest-bearing account.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k_010"/>
      <w:bookmarkEnd w:id="11"/>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cash dividend on our Class A Ordinary Shares as of the date of this prospectus. We currently intend to retain any future earnings and do not expect to pay any dividends in the near future. Any further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k_011"/>
      <w:bookmarkEnd w:id="12"/>
      <w:r>
        <w:rPr>
          <w:rFonts w:ascii="Times New Roman;Times;Serif" w:hAnsi="Times New Roman;Times;Serif"/>
          <w:b/>
          <w:i w:val="false"/>
          <w:caps w:val="false"/>
          <w:smallCaps w:val="false"/>
          <w:sz w:val="20"/>
        </w:rPr>
        <w:t>CAPITALIZATION AND INDEBTEDNESS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Company’s capitalization as of December 31, 2025 *</w:t>
      </w:r>
    </w:p>
    <w:p>
      <w:pPr>
        <w:pStyle w:val="TextBody"/>
        <w:bidi w:val="0"/>
        <w:spacing w:before="0" w:after="0"/>
        <w:ind w:left="0" w:right="0" w:firstLine="720"/>
        <w:jc w:val="both"/>
        <w:rPr>
          <w:caps w:val="false"/>
          <w:smallCaps w:val="false"/>
        </w:rPr>
      </w:pPr>
      <w:r>
        <w:rPr>
          <w:caps w:val="false"/>
          <w:smallCaps w:val="false"/>
        </w:rPr>
        <w:t> </w:t>
      </w:r>
    </w:p>
    <w:tbl>
      <w:tblPr>
        <w:tblW w:w="9709" w:type="dxa"/>
        <w:jc w:val="left"/>
        <w:tblInd w:w="0" w:type="dxa"/>
        <w:tblLayout w:type="fixed"/>
        <w:tblCellMar>
          <w:top w:w="0" w:type="dxa"/>
          <w:left w:w="0" w:type="dxa"/>
          <w:bottom w:w="0" w:type="dxa"/>
          <w:right w:w="0" w:type="dxa"/>
        </w:tblCellMar>
      </w:tblPr>
      <w:tblGrid>
        <w:gridCol w:w="4640"/>
        <w:gridCol w:w="60"/>
        <w:gridCol w:w="60"/>
        <w:gridCol w:w="1100"/>
        <w:gridCol w:w="95"/>
        <w:gridCol w:w="60"/>
        <w:gridCol w:w="117"/>
        <w:gridCol w:w="2152"/>
        <w:gridCol w:w="95"/>
        <w:gridCol w:w="60"/>
        <w:gridCol w:w="60"/>
        <w:gridCol w:w="1100"/>
        <w:gridCol w:w="110"/>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Proforma 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Cash and Cash equivalents (Note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152" w:type="dxa"/>
            <w:tcBorders/>
            <w:shd w:fill="CCEEFF" w:val="clear"/>
            <w:vAlign w:val="center"/>
          </w:tcPr>
          <w:p>
            <w:pPr>
              <w:pStyle w:val="TableContents"/>
              <w:bidi w:val="0"/>
              <w:spacing w:before="0" w:after="283"/>
              <w:jc w:val="right"/>
              <w:rPr/>
            </w:pPr>
            <w:r>
              <w:rPr/>
              <w:t>3,408,790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4,167,411</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1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152"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Additional paid-in capital (Note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17,881,176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152" w:type="dxa"/>
            <w:tcBorders/>
            <w:shd w:fill="FFFFFF" w:val="clear"/>
            <w:vAlign w:val="center"/>
          </w:tcPr>
          <w:p>
            <w:pPr>
              <w:pStyle w:val="TableContents"/>
              <w:bidi w:val="0"/>
              <w:spacing w:before="0" w:after="283"/>
              <w:jc w:val="right"/>
              <w:rPr/>
            </w:pPr>
            <w:r>
              <w:rPr/>
              <w:t>13,709,190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31,590,366</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Retained Earnings (Note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8,893,414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152" w:type="dxa"/>
            <w:tcBorders/>
            <w:shd w:fill="CCEEFF" w:val="clear"/>
            <w:vAlign w:val="center"/>
          </w:tcPr>
          <w:p>
            <w:pPr>
              <w:pStyle w:val="TableContents"/>
              <w:bidi w:val="0"/>
              <w:spacing w:before="0" w:after="283"/>
              <w:jc w:val="right"/>
              <w:rPr/>
            </w:pPr>
            <w:r>
              <w:rPr/>
              <w:t>(1,008,103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7,885,311</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152"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110" w:type="dxa"/>
            <w:tcBorders/>
            <w:shd w:fill="FFFFFF" w:val="clear"/>
            <w:vAlign w:val="center"/>
          </w:tcPr>
          <w:p>
            <w:pPr>
              <w:pStyle w:val="TableContents"/>
              <w:bidi w:val="0"/>
              <w:spacing w:before="0" w:after="283"/>
              <w:jc w:val="left"/>
              <w:rPr/>
            </w:pPr>
            <w:r>
              <w:rPr/>
              <w:t>)</w:t>
            </w:r>
          </w:p>
        </w:tc>
      </w:tr>
      <w:tr>
        <w:trPr/>
        <w:tc>
          <w:tcPr>
            <w:tcW w:w="4640"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26,631,519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152" w:type="dxa"/>
            <w:tcBorders>
              <w:bottom w:val="double" w:sz="10" w:space="0" w:color="000000"/>
            </w:tcBorders>
            <w:shd w:fill="CCEEFF" w:val="clear"/>
            <w:tcMar>
              <w:bottom w:w="28" w:type="dxa"/>
            </w:tcMar>
            <w:vAlign w:val="center"/>
          </w:tcPr>
          <w:p>
            <w:pPr>
              <w:pStyle w:val="TableContents"/>
              <w:bidi w:val="0"/>
              <w:spacing w:before="0" w:after="283"/>
              <w:jc w:val="right"/>
              <w:rPr/>
            </w:pPr>
            <w:r>
              <w:rPr/>
              <w:t>12,701,087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39,332,606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indebtedness as of December 31, 2025 *</w:t>
      </w:r>
    </w:p>
    <w:p>
      <w:pPr>
        <w:pStyle w:val="TextBody"/>
        <w:bidi w:val="0"/>
        <w:spacing w:before="0" w:after="0"/>
        <w:ind w:left="0" w:right="0" w:firstLine="720"/>
        <w:jc w:val="both"/>
        <w:rPr>
          <w:caps w:val="false"/>
          <w:smallCaps w:val="false"/>
        </w:rPr>
      </w:pPr>
      <w:r>
        <w:rPr>
          <w:caps w:val="false"/>
          <w:smallCaps w:val="false"/>
        </w:rPr>
        <w:t> </w:t>
      </w:r>
    </w:p>
    <w:tbl>
      <w:tblPr>
        <w:tblW w:w="7284" w:type="dxa"/>
        <w:jc w:val="left"/>
        <w:tblInd w:w="0" w:type="dxa"/>
        <w:tblLayout w:type="fixed"/>
        <w:tblCellMar>
          <w:top w:w="0" w:type="dxa"/>
          <w:left w:w="0" w:type="dxa"/>
          <w:bottom w:w="0" w:type="dxa"/>
          <w:right w:w="0" w:type="dxa"/>
        </w:tblCellMar>
      </w:tblPr>
      <w:tblGrid>
        <w:gridCol w:w="3110"/>
        <w:gridCol w:w="60"/>
        <w:gridCol w:w="60"/>
        <w:gridCol w:w="845"/>
        <w:gridCol w:w="60"/>
        <w:gridCol w:w="60"/>
        <w:gridCol w:w="114"/>
        <w:gridCol w:w="1750"/>
        <w:gridCol w:w="80"/>
        <w:gridCol w:w="60"/>
        <w:gridCol w:w="60"/>
        <w:gridCol w:w="950"/>
        <w:gridCol w:w="75"/>
      </w:tblGrid>
      <w:tr>
        <w:trPr/>
        <w:tc>
          <w:tcPr>
            <w:tcW w:w="31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Proforma Adjustment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779,280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779,280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711,892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711,892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238,105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238,105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(Note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256,056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7,914,458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8,170,514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Embedded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5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7,914,458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10,274,388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(Note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4,097,366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(3,122,299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975,067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4,369,725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(3,122,299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1,247,426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Indebtedness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6,729,655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4,792,159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11,521,814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A proforma capitalization and indebtedness table as of December 31, 2025 is presented here to reflect the financial impact of material subsequent events until the date of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Proforma adjustments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The Company received $4,108,190 through equity of credit line with White Lion Capital; received $2,413,100 from issuance of convertible bonds; paid a total of $2,487,500 for the deposit and investment in PredicXion; and paid a total of $625,000 for the Repurchase and Forbearance Agreement with JAK Opportunities VI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The Company issued Class A shares at the consideration of $4,108,190 through equity of credit line with White Lion Capital; issued Class A shares at the consideration of $7,500,000 for the deposit and investment in PredicXion and had a total of $2,101,000 of convertible bond converted into Class A shares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The Company made an unrealized gain of $3,000,000 in the 2% equity investment in PredicXion and made a loss of $4,008,103 with the Amendment and Exchange Agreement with JAK Opportunities VI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The Company issued a total of $2,320,112 of convertible bond to various investors and a total of $256,056 convertible bond was converted into Class A shares during the period. Based on the Repurchase and Forbearance Agreement with JAK Opportunities VI LLC, a total of $4,097,366 of convertible bond was extinguished. Based on the Amendment and Exchange Agreement with JAK Opportunities VI LLC, the Company had issued convertible bond of $7,105,469 and $280,000 of which was converted to Class A shares as of the date of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&amp; EARNING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presented as of December 31, 2025: *</w:t>
      </w:r>
    </w:p>
    <w:p>
      <w:pPr>
        <w:pStyle w:val="TextBody"/>
        <w:bidi w:val="0"/>
        <w:spacing w:before="0" w:after="0"/>
        <w:ind w:left="72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6260"/>
        <w:gridCol w:w="60"/>
        <w:gridCol w:w="134"/>
        <w:gridCol w:w="906"/>
        <w:gridCol w:w="60"/>
        <w:gridCol w:w="60"/>
        <w:gridCol w:w="60"/>
        <w:gridCol w:w="920"/>
        <w:gridCol w:w="80"/>
        <w:gridCol w:w="60"/>
        <w:gridCol w:w="60"/>
        <w:gridCol w:w="845"/>
        <w:gridCol w:w="75"/>
      </w:tblGrid>
      <w:tr>
        <w:trPr/>
        <w:tc>
          <w:tcPr>
            <w:tcW w:w="6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sz w:val="20"/>
              </w:rPr>
            </w:pPr>
            <w:r>
              <w:rPr>
                <w:b/>
                <w:sz w:val="20"/>
              </w:rPr>
              <w:t xml:space="preserve">Existing </w:t>
              <w:br/>
              <w:t>shareholder</w:t>
              <w:b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sz w:val="20"/>
              </w:rPr>
            </w:pPr>
            <w:r>
              <w:rPr>
                <w:b/>
                <w:sz w:val="20"/>
              </w:rPr>
              <w:t>Proforma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31/12/2025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Adjustment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Adjusted</w:t>
            </w:r>
          </w:p>
        </w:tc>
        <w:tc>
          <w:tcPr>
            <w:tcW w:w="75"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sz w:val="20"/>
              </w:rPr>
            </w:pPr>
            <w:r>
              <w:rPr>
                <w:sz w:val="20"/>
              </w:rPr>
              <w:t>Total comprehensive income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906" w:type="dxa"/>
            <w:tcBorders/>
            <w:shd w:fill="CCEEFF" w:val="clear"/>
            <w:vAlign w:val="center"/>
          </w:tcPr>
          <w:p>
            <w:pPr>
              <w:pStyle w:val="TableContents"/>
              <w:bidi w:val="0"/>
              <w:spacing w:before="0" w:after="283"/>
              <w:jc w:val="right"/>
              <w:rPr>
                <w:sz w:val="20"/>
              </w:rPr>
            </w:pPr>
            <w:r>
              <w:rPr>
                <w:sz w:val="20"/>
              </w:rPr>
              <w:t>9,717,462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20"/>
              </w:rPr>
            </w:pPr>
            <w:r>
              <w:rPr>
                <w:sz w:val="20"/>
              </w:rPr>
              <w:t>(1,008,103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8,709,359</w:t>
            </w:r>
          </w:p>
        </w:tc>
        <w:tc>
          <w:tcPr>
            <w:tcW w:w="75"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sz w:val="20"/>
              </w:rPr>
            </w:pPr>
            <w:r>
              <w:rPr>
                <w:sz w:val="20"/>
              </w:rPr>
              <w:t>Earning per share – basic*</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sz w:val="20"/>
              </w:rPr>
            </w:pPr>
            <w:r>
              <w:rPr>
                <w:sz w:val="20"/>
              </w:rPr>
              <w:t>1,932.59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20"/>
              </w:rPr>
            </w:pPr>
            <w:r>
              <w:rPr>
                <w:sz w:val="20"/>
              </w:rPr>
              <w:t>(197.20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1,735.39</w:t>
            </w:r>
          </w:p>
        </w:tc>
        <w:tc>
          <w:tcPr>
            <w:tcW w:w="75"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sz w:val="20"/>
              </w:rPr>
            </w:pPr>
            <w:r>
              <w:rPr>
                <w:sz w:val="20"/>
              </w:rPr>
              <w:t>- diluted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sz w:val="20"/>
              </w:rPr>
            </w:pPr>
            <w:r>
              <w:rPr>
                <w:sz w:val="20"/>
              </w:rPr>
              <w:t>27.36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20"/>
              </w:rPr>
            </w:pPr>
            <w:r>
              <w:rPr>
                <w:sz w:val="20"/>
              </w:rPr>
              <w:t>(2.79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24.57</w:t>
            </w:r>
          </w:p>
        </w:tc>
        <w:tc>
          <w:tcPr>
            <w:tcW w:w="75"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sz w:val="20"/>
              </w:rPr>
            </w:pPr>
            <w:r>
              <w:rPr>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sz w:val="20"/>
              </w:rPr>
            </w:pPr>
            <w:r>
              <w:rPr>
                <w:sz w:val="20"/>
              </w:rPr>
              <w:t>5,112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5,112</w:t>
            </w:r>
          </w:p>
        </w:tc>
        <w:tc>
          <w:tcPr>
            <w:tcW w:w="75"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sz w:val="20"/>
              </w:rPr>
            </w:pPr>
            <w:r>
              <w:rPr>
                <w:sz w:val="20"/>
              </w:rPr>
              <w:t>- diluted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sz w:val="20"/>
              </w:rPr>
            </w:pPr>
            <w:r>
              <w:rPr>
                <w:sz w:val="20"/>
              </w:rPr>
              <w:t>361,113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361,113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proforma comprehensive income and earning per share table as of December 31, 2025 is presented here to reflect the financial impact of material subsequent events until the date of this Prospectus.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existing shareholder audited column, 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in July 2026 of 1 share for every 3 shares issued and in September 2026 of 1 share for every 3 shares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Proforma adjustment is made to reflect that the Company made an unrealized gain of $3,000,000 in the 2% equity investment in PredicXion and realized a loss of $4,008,103 with the Amendment and Exchange Agreement with JAK Opportunities VI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k_012"/>
      <w:bookmarkEnd w:id="13"/>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results of operations and financial condition should be read together with our consolidated financial statements and the notes thereto and other financial information, which are included elsewhere in this registration statement. Our financial statements have been prepared in accordance with U.S. generally accepted accounting principles (“U.S. GAAP”). In addition, our financial statements and the financial information included in this registration statement reflect our organizational transactions and have been prepared as if our current corporate structure had been in place throughout the relevant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contains forward-looking statements. These forward-looking statements are subject to various factors, risks and uncertainties that could cause actual results to differ materially from those reflected in these forward-looking statements. Further, as a result of these factors, risks and uncertainties, the forward-looking events may not occur. Relevant factors, risks and uncertainties include, but are not limited to, those discussed in the section entitled “Business,” “Risk Factors” and elsewhere in this registration statement. Readers are cautioned not to place undue reliance on forward-looking statements, which reflect management’s beliefs and opinions as of the date of this registration statement. We are not obligated to publicly update or revise any forward -looking statements, whether as a result of new information, future events or otherwise. See “Cautionary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an assisted reproductive services (“ARS”) provider in Asia Pacific. Since the establishment of its first clinic in Thailand in 2014, it has established itself as a long-standing ARS provider in the region. NewGenIvf’s mission is to assist couples and individuals across Asia Pacific, regardless of fertility challenges that they may face, to fulfil their dreams of building families and to increase their access to fertility treatments. Its strategic presence in Thailand, Cambodia, and Kyrgyzstan positions the company to take advantage of opportunities across Asia Pacific.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still in the early stage of materializing its long-term objective of building a comprehensive, sophisticated and high-end ARS platform for its clients and providing personalized solutions based on NewGenIvf’s brands and client-generated services. NewGenIvf plans to offer full fertility services for fertility tourists across Asia Pacific, continue to invest in laboratories and facilities updates, increase its brand awareness and market share, as well as expand service reach through acquisitions and partnerships, which NewGenIvf believes will help expand its client base and enhance expertise attraction, and in turn strengthen NewGenIvf’s monetization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NewGenIvf’s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results of operation are principally affected by the following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ARS market in Asia-Pacific region is highly regulated. The implementation and enforcement of laws, regulations and government policies in Thailand, Cambodia, Kyrgyzstan and other applicable jurisdictions significantly impact the design, pricing and sale of fertility services and cost of compliance for clinics across Asia Pacific. Medical facilities providing fertility services generally must be filed and registered with the relevant supervision institutions and such filing and registration must be renewed periodically. Any change in laws, regulations or policies in relation to such filing or registration could affect NewGenIvf’s ability and plans to launch new services and renew registration for existing services. The regulatory framework for medical facilities and services, especially those involving ARS, is, and will continue, evolving. Any changes in the applicable regulatory frameworks in the jurisdictions where NewGenIvf operates may materially affect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and competitive landscape of Asia Pacific’s ARS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has historically been primarily derived from clients in Asia Pacific. As such, NewGenIvf’s financial performance and future growth depend primarily on the demand for ARS, as well as changes in its competitive landscape, in Asia Pacific. Population growth, infertility rates, and demand for facility treatments in the region will ultimately determine the demand for NewGenIvf’s services. According to CIC, infertility is increasingly becoming prevalent globally, primarily driven by increasing average age of first birth, as well as various lifestyle and environmental factors. Driven by an increased infertility rate and growing demand for children without birth defects, resulting from improving living standards and improved awareness about birth defects and prevention, the global ARS market is expected to continue to grow. Furthermore, according to CIC, a growing number of governments around the world has granted legal recognition to same-sex marriages, which brings more desires for having children to form a complete family. According to CIC, because of the fertility rate and recent government incentive policies, such as the Three-child Policy of China in 2021, the ARS market increased significantly in Asia Pacific. Leveraging its status as a long-standing ARS provider in Asia Pacific, NewGenIvf expects to continue to be well positioned to capture the expected growth in the demand for ARS in the area.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NewGenIvf owns and uses MicroSort technology in Thailand and Cambodia, which is a form of pre-conception gender selection technology for humans. While NewGenIvf expects to benefit from first-mover advantages for this technology in the two regions, market entry by potential competitors or faster-than-expected development of potential competitors may affect its market position and demand for its services and cause downward pricing pressure on its treatments, which may in turn materially and adversely affect its results of operations. Meanwhile, ARS market could also be affected by the macroeconomic environment and geopolitical events. Uncertainty in the macroeconomic environment and the outbreak of US and Israel war with Iran in March 2026, resulting from a range of events and trends, including the rise in global inflation and interest rates, supply chain disruptions, geopolitical pressures, including the unknown impact of current and future trade regulations, changes in Asian-Pacific relations, fluctuation in foreign exchange rates, and associated global economic conditions may result in volatility in ARS market and NewGenIvf’s operating performance. For example, NewGenIvf derives a substantial portion of its revenue from Chinese clients and as such, its failure to maintain PRC-sourced revenues and access to new and existing clients from the PRC could materially and adversely affect its results of operations and competitive position. However, the near-term growth prospects of the PRC economy are unclear due to the uncertain effects of ongoing economic stress caused by trade and national security policies, and the elevated levels of private and public indebtedness, among others. A prolonged downturn or slow-growth in the PRC economy generally could materially and adversely affect NewGenIvf’s results of operations and there is a significant likelihood that NewGenIvf’s actual results over the time periods and under the scenarios covered by the projections would be different.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 of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costs primarily include clinic costs, cost of goods sold, selling and marketing expenses and general and administrative expenses, details of which are set out below.</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Clinic costs. </w:t>
            </w:r>
            <w:r>
              <w:rPr>
                <w:sz w:val="20"/>
              </w:rPr>
              <w:t>NewGenIvf’s clinic costs primarily consisted of sub-contracting charges, office supplies and staff salaries and bonus, most of which are recognized during the provision of IVF services. Its clinic costs represented approximately 54.8% and 66.6% of its revenue for the years ended December 31, 2024 and 2025, respectively. As NewGenIvf gradually expands the scale of its operation and presence in Asia Pacific, its clinic costs is expected to increase in the foreseeable future, which will affect its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Cost of goods sold. </w:t>
            </w:r>
            <w:r>
              <w:rPr>
                <w:sz w:val="20"/>
              </w:rPr>
              <w:t>NewGenIvf’s cost of goods sold primarily consisted of purchase and direct cost for IVF treatment services and surrogacy and ancillary caring services, most of which are recognized during the provision of IVF treatment services. Its cost of goods sold represented approximately 11.6% and 13.2% of the revenue for the years ended December 31, 2024 and 2025, respectively. NewGenIvf expects its cost of goods sold to increase in the foreseeable future as it gradually grows its revenues and expand its sales network.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Selling and marketing expenses. </w:t>
            </w:r>
            <w:r>
              <w:rPr>
                <w:sz w:val="20"/>
              </w:rPr>
              <w:t>NewGenIvf’s selling and marketing expenses primarily consisted of social media expense. Its selling and marketing expenses represented approximately 3.8% and 25.2% of its revenue for the years ended December 31, 2024 and 2025, respectively. NewGenIvf expects its selling and marketing expenses to increase as it plans to expand its sales and scale its operation in Asia-Pacific.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General and administrative expenses. </w:t>
            </w:r>
            <w:r>
              <w:rPr>
                <w:sz w:val="20"/>
              </w:rPr>
              <w:t>NewGenIvf’s general and administrative expenses primarily consisted of write-off of agency deposit, legal and professional fees, depreciation in operating lease right-of-use (“ROU”) assets, staff salaries and director fees. Its general and administrative expenses represented approximately 51.2% and 222.01% of its revenue for the years ended December 31, 2024 and 2025, respectively. NewGenIvf expects its general and administrative expenses to increase in line with its expansion plan.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its cost structure to evolve as it develops and expands its business. As NewGenIvf continues to develop new services and technologies, NewGenIvf expects to incur additional costs in relation to its raw materials procurement, production and sales and marketing, among other things. Moreover, to support NewGenIvf’s business growth, it expects to increase its headcount, particularly for its lab and nurse team, and incur higher staff costs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maintain trust of clients and reputation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NewGenIvf’s business will depend to a large extent on its ability to gain broad acceptance of its services from clients. Reputation is crucial in keeping existing clients and attracting new clients. NewGenIvf’s reputation depends on a number of factors, including for example the success, effectiveness, quality and pricing of its services, service offerings of its competitors, the effectiveness of its marketing efforts to drive awareness and the demand for fertility services, which eventually will affect its ability to maintain clients and attract new clients. Therefore, NewGenIvf’s success will depend to a large extent on its ability to maintain its reputation in the industry and its clients’ trust, which would affect the number of its clients and treatment cycles that will in turn affect its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the medical facilities in its network are increasingly recognized among clients, for their service quality, technological expertise and patient experience. NewGenIvf also hopes to keep its clients by providing discounts in treatment services and via the “success guarantee” program for egg donation services in Cambodia and surrogacy services in Kyrgyzstan, which provides treatments to clients until a success is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increasingly recognized reputation, NewGenIvf believes that there is substantial opportunity to continue to grow its revenue through attracting new clients. NewGenIvf’s addressable market is couples who want to have children, egg freezing patients, LGBT groups and couples with genetic abnormalities, particularly those in Asia Pacific. NewGenIvf believes that its current client base represents a small percentage of its total market opportunity. NewGenIvf intends to attract new clients by, among other things, making significant investments in sales and marketing to engage, educate and drive awareness of the unmet need of fertility treatment among its potential clients and by its customer-reference discounts mechanism. Additionally, NewGenIvf believes that its expanding presence has resulted in a heightened awareness of the need to offer fertility services and the value it provides to its clients, which it believes will help facilitate its growth. In addition, NewGenIvf is continuously utilizing its established client relationships to evaluate other potential services that could benefit its clients and simultaneously drive its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traveling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from international clients is a critical component of NewGenIvf’s revenue. International traveling to Thailand, Cambodia and Kyrgyzstan may be affected by a number of factors, including local and global political, economic and cultural conditions. In </w:t>
      </w:r>
      <w:r>
        <w:rPr>
          <w:rFonts w:ascii="Times New Roman;Times;Serif" w:hAnsi="Times New Roman;Times;Serif"/>
          <w:b/>
          <w:i w:val="false"/>
          <w:caps w:val="false"/>
          <w:smallCaps w:val="false"/>
          <w:sz w:val="20"/>
        </w:rPr>
        <w:t>Thailand</w:t>
      </w:r>
      <w:r>
        <w:rPr>
          <w:rFonts w:ascii="Times New Roman;Times;Serif" w:hAnsi="Times New Roman;Times;Serif"/>
          <w:b w:val="false"/>
          <w:i w:val="false"/>
          <w:caps w:val="false"/>
          <w:smallCaps w:val="false"/>
          <w:sz w:val="20"/>
        </w:rPr>
        <w:t>, the political landscape has recently consolidated under a conservative government following February 2026 elections, with Prime Minister Anutin Charnvirakul’s Bhumjaithai Party securing victory by emphasizing nationalism and border security amid ongoing tensions with Cambodia. These border disputes have prompted multiple governments, including Austria and the UK, to issue advisories warning against travel to the Thai-Cambodia border region and parts of southern Thailand. In </w:t>
      </w:r>
      <w:r>
        <w:rPr>
          <w:rFonts w:ascii="Times New Roman;Times;Serif" w:hAnsi="Times New Roman;Times;Serif"/>
          <w:b/>
          <w:i w:val="false"/>
          <w:caps w:val="false"/>
          <w:smallCaps w:val="false"/>
          <w:sz w:val="20"/>
        </w:rPr>
        <w:t>Cambodia</w:t>
      </w:r>
      <w:r>
        <w:rPr>
          <w:rFonts w:ascii="Times New Roman;Times;Serif" w:hAnsi="Times New Roman;Times;Serif"/>
          <w:b w:val="false"/>
          <w:i w:val="false"/>
          <w:caps w:val="false"/>
          <w:smallCaps w:val="false"/>
          <w:sz w:val="20"/>
        </w:rPr>
        <w:t>, authorities strongly assert the country remains “safe, secure, and stable” for tourists, with major destinations like Phnom Penh and Siem Reap operating normally despite diplomatic tensions with Thailand. However, the government has made defending territorial integrity its “highest priority” as it seeks international attention regarding the border dispute. In </w:t>
      </w:r>
      <w:r>
        <w:rPr>
          <w:rFonts w:ascii="Times New Roman;Times;Serif" w:hAnsi="Times New Roman;Times;Serif"/>
          <w:b/>
          <w:i w:val="false"/>
          <w:caps w:val="false"/>
          <w:smallCaps w:val="false"/>
          <w:sz w:val="20"/>
        </w:rPr>
        <w:t>Kyrgyzstan</w:t>
      </w:r>
      <w:r>
        <w:rPr>
          <w:rFonts w:ascii="Times New Roman;Times;Serif" w:hAnsi="Times New Roman;Times;Serif"/>
          <w:b w:val="false"/>
          <w:i w:val="false"/>
          <w:caps w:val="false"/>
          <w:smallCaps w:val="false"/>
          <w:sz w:val="20"/>
        </w:rPr>
        <w:t>, travelers face a different set of considerations, including recent security agency restructuring and detentions that signal political consolidation at the highest levels. The Chinese embassy has advised visitors to exercise heightened vigilance, respect local laws, avoid border areas prone to natural hazards, and be aware of potential scams, reflecting ongoing regional stability concerns. 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 Together, these factors create a dynamic travel environment where regional tensions, domestic politics, and economic conditions intersect to shape the risk landscape for international visitors. These conditions may cause NewGenIvf difficulty in attracting clients from the PRC to travel to Thailand, Cambodia and Kyrgyzstan for NewGenIvf’s services, which could materially and adversely affect NewGenIvf’s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revenues were derived from two types of services: IVF treatment services and surrogacy and ancillary caring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revenue by the types of services,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315"/>
        <w:gridCol w:w="60"/>
        <w:gridCol w:w="60"/>
        <w:gridCol w:w="980"/>
        <w:gridCol w:w="60"/>
        <w:gridCol w:w="60"/>
        <w:gridCol w:w="60"/>
        <w:gridCol w:w="560"/>
        <w:gridCol w:w="60"/>
        <w:gridCol w:w="60"/>
        <w:gridCol w:w="60"/>
        <w:gridCol w:w="980"/>
        <w:gridCol w:w="60"/>
        <w:gridCol w:w="60"/>
        <w:gridCol w:w="60"/>
        <w:gridCol w:w="560"/>
        <w:gridCol w:w="75"/>
      </w:tblGrid>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sz w:val="20"/>
              </w:rPr>
            </w:pPr>
            <w:r>
              <w:rPr>
                <w:sz w:val="20"/>
              </w:rPr>
              <w:t>IVF treatment services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Fertility referral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4,726,433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sz w:val="20"/>
              </w:rPr>
            </w:pPr>
            <w:r>
              <w:rPr>
                <w:sz w:val="20"/>
              </w:rPr>
              <w:t>(1)</w:t>
            </w:r>
          </w:p>
        </w:tc>
        <w:tc>
          <w:tcPr>
            <w:tcW w:w="9974" w:type="dxa"/>
            <w:tcBorders/>
            <w:vAlign w:val="center"/>
          </w:tcPr>
          <w:p>
            <w:pPr>
              <w:pStyle w:val="TableContents"/>
              <w:bidi w:val="0"/>
              <w:spacing w:before="0" w:after="283"/>
              <w:jc w:val="both"/>
              <w:rPr>
                <w:sz w:val="20"/>
              </w:rPr>
            </w:pPr>
            <w:r>
              <w:rPr>
                <w:sz w:val="20"/>
              </w:rPr>
              <w:t>Include an insignificant amount of revenue derived from consultation customers who used NewGenIvf’s non-IVF treatment and insignificant services, such as check-ups services, blood test services and other minor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facilities located in various geographic regions. The following table sets forth a breakdown of NewGenIvf’s revenue based on the locations where the revenue originated,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565"/>
        <w:gridCol w:w="60"/>
        <w:gridCol w:w="60"/>
        <w:gridCol w:w="980"/>
        <w:gridCol w:w="60"/>
        <w:gridCol w:w="60"/>
        <w:gridCol w:w="60"/>
        <w:gridCol w:w="560"/>
        <w:gridCol w:w="60"/>
        <w:gridCol w:w="60"/>
        <w:gridCol w:w="60"/>
        <w:gridCol w:w="980"/>
        <w:gridCol w:w="60"/>
        <w:gridCol w:w="60"/>
        <w:gridCol w:w="60"/>
        <w:gridCol w:w="680"/>
        <w:gridCol w:w="7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China/HK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0.9</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2,312,348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48.9</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U.S.A.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Cambodia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601,526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635,188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Thailand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2,175,253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1,691,862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35.8</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results are affected by, among others, changes in sales price and the fluctuation of foreign currency rates with US dollars. Based on the breakdown of the revenue contribution in terms of currencies used by customers for 2025, a 10% change in foreign currency rates with US dollars would cause approximately 9.99% change in NewGenIvf’s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IVF treatment services provided at facilities that NewGenIvf operated in Thailand and Cambodia. In addition, NewGenIvf’s revenue from IVF treatment service amounted to US$5,433,375 and US$3,905,863, representing approximately 100% and 82.6% of its total revenues in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 involves the performance of a series of medical treatment and procedures and eventually brings benefits to clients when embryo is successfully implanted. Revenue from IVF treatment is recognized at a point in time when different treatment and/or procedure completed in clinic. The completion of the respective treatments and/or procedures are evidenced by treatment cards and reports maintained in the patient files indicating successful completion of respective promised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of US$820,570 from fertility referral services, approximately 17.4% of its total revenue in 2025. Fertility referral service revenue is recognized at a point in time when the customers are referred to our agents and commission is received from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cost of revenue by the nature of the cost, in absolute amounts and as percentages of total cost of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240"/>
        <w:gridCol w:w="60"/>
        <w:gridCol w:w="60"/>
        <w:gridCol w:w="980"/>
        <w:gridCol w:w="60"/>
        <w:gridCol w:w="60"/>
        <w:gridCol w:w="60"/>
        <w:gridCol w:w="560"/>
        <w:gridCol w:w="60"/>
        <w:gridCol w:w="60"/>
        <w:gridCol w:w="60"/>
        <w:gridCol w:w="980"/>
        <w:gridCol w:w="60"/>
        <w:gridCol w:w="60"/>
        <w:gridCol w:w="60"/>
        <w:gridCol w:w="560"/>
        <w:gridCol w:w="75"/>
      </w:tblGrid>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b/>
              </w:rPr>
            </w:pPr>
            <w:r>
              <w:rPr>
                <w:b/>
              </w:rPr>
              <w:t>Cost of revenues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629,620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622,386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16.5</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Clinic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2,976,861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3,148,201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83.5</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b/>
              </w:rPr>
            </w:pPr>
            <w:r>
              <w:rPr>
                <w:b/>
              </w:rPr>
              <w:t>Total 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3,606,481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3,770,587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Cost of goods sold. </w:t>
      </w:r>
      <w:r>
        <w:rPr>
          <w:rFonts w:ascii="Times New Roman;Times;Serif" w:hAnsi="Times New Roman;Times;Serif"/>
          <w:b w:val="false"/>
          <w:i w:val="false"/>
          <w:caps w:val="false"/>
          <w:smallCaps w:val="false"/>
          <w:sz w:val="20"/>
        </w:rPr>
        <w:t>Cost of goods sold primarily consisted of purchase and direct cost for IVF treatment services and ancillary caring services. NewGenIvf’s cost of goods was mostly recognized during the provision of 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Clinic costs. </w:t>
      </w:r>
      <w:r>
        <w:rPr>
          <w:rFonts w:ascii="Times New Roman;Times;Serif" w:hAnsi="Times New Roman;Times;Serif"/>
          <w:b w:val="false"/>
          <w:i w:val="false"/>
          <w:caps w:val="false"/>
          <w:smallCaps w:val="false"/>
          <w:sz w:val="20"/>
        </w:rPr>
        <w:t>Clinic costs primarily consisted of sub-contracting charges, office supplies and staff salaries and bonus of NewGenIvf’s clinics. Sub-contracting charges represented fees paid to agents who supervised and managed the whole IVF services for customers who utilized third party independent clinics, recruited surrogate mothers and assisted in the documentation, consulting and medical treatment arrangement throughout treatment procedure of surrogacy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gross profit in absolute amounts and its gross margin as percentages of total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4757" w:type="dxa"/>
        <w:jc w:val="left"/>
        <w:tblInd w:w="0" w:type="dxa"/>
        <w:tblLayout w:type="fixed"/>
        <w:tblCellMar>
          <w:top w:w="0" w:type="dxa"/>
          <w:left w:w="0" w:type="dxa"/>
          <w:bottom w:w="0" w:type="dxa"/>
          <w:right w:w="0" w:type="dxa"/>
        </w:tblCellMar>
      </w:tblPr>
      <w:tblGrid>
        <w:gridCol w:w="1160"/>
        <w:gridCol w:w="60"/>
        <w:gridCol w:w="60"/>
        <w:gridCol w:w="988"/>
        <w:gridCol w:w="60"/>
        <w:gridCol w:w="60"/>
        <w:gridCol w:w="60"/>
        <w:gridCol w:w="443"/>
        <w:gridCol w:w="60"/>
        <w:gridCol w:w="60"/>
        <w:gridCol w:w="60"/>
        <w:gridCol w:w="988"/>
        <w:gridCol w:w="60"/>
        <w:gridCol w:w="60"/>
        <w:gridCol w:w="60"/>
        <w:gridCol w:w="443"/>
        <w:gridCol w:w="75"/>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1,826,894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955,846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20.2</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that gross profit and gross margin will continue to be affected by various factors including the geographic locations where treatments are performed, as well as the pricing with its clients, agent subcontracting charges and the costs of the supplies provided by major pharmaceutical companies, all of which are negotiated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consist of selling and marketing expenses and general and administrative expenses. NewGenIvf’s selling and marketing expenses are primarily social media expenses. NewGenIvf’s general and administrative expenses mainly include depreciation in operating lease ROU assets, consultant and legal fees, embedded derivative fair value expense, write off of certain receivables and staff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consists primarily of bargain purchase gain on acquisition of the MicroSort and Nodexus businesses, offset partially by the losses arising from investment in digital assets and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interest expense is incurred mainly in relation to its interest-bearing 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incorporated in the British Virgin Islands and is not subject to tax on income or capital gains under current British Virgin Islands law. In addition, upon payment of dividends to shareholders, no British Virgin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Hong Kong profits tax is calculated at 8.25% on the first HK$2 million of the estimated assessable profits and at 16.5% on the remaining estimated assessable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incorporated in Thailand are taxed on worldwide income. A company incorporated outside of Thailand is taxed on its profits arising from or in consequence of the business carried on in Thailand. The Thailand corporate income tax rate is 20%. A foreign company not carrying on business in Thailand is subject to a final withholding tax on certain types of assessable income (e.g., interest, dividends, royalties, rentals, and service fees) paid from or in Thailand. The rate of withholding tax is generally 15%, except for dividends, which is 10%, while other rates may apply under the provisions of a double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rate of corporate income tax for companies and permanent establishments in Cambodia who are classified as medium and large taxpayers is 20%. For companies and permanent establishments who are classified as small taxpayers, the corporate income tax rates are progressive rates from 0% to 20%. In view of the annual turnover of the company, which ranges from KHR1 billion to KHR6 billion for service and commercial sectors, the company is considered a medium-sized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Non-resident legal entities carrying out business activities through a permanent establishment in Kyrgyzstan are subject to profit tax on the income attributed to the activities of that permanent establishments. Profit tax is calculated at a rate of 10% of aggregate annual income less allowed 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U.S.A</w:t>
      </w:r>
      <w:r>
        <w:rPr>
          <w:rFonts w:ascii="Times New Roman;Times;Serif" w:hAnsi="Times New Roman;Times;Serif"/>
          <w:b w:val="false"/>
          <w:i w:val="false"/>
          <w:caps w:val="false"/>
          <w:smallCaps w:val="false"/>
          <w:sz w:val="20"/>
        </w:rPr>
        <w:t>.</w:t>
      </w:r>
    </w:p>
    <w:p>
      <w:pPr>
        <w:pStyle w:val="TextBody"/>
        <w:bidi w:val="0"/>
        <w:spacing w:before="0" w:after="0"/>
        <w:ind w:left="0" w:right="0" w:firstLine="567"/>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1"/>
        <w:gridCol w:w="60"/>
        <w:gridCol w:w="60"/>
        <w:gridCol w:w="1055"/>
        <w:gridCol w:w="95"/>
        <w:gridCol w:w="60"/>
        <w:gridCol w:w="60"/>
        <w:gridCol w:w="1175"/>
        <w:gridCol w:w="109"/>
      </w:tblGrid>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09" w:type="dxa"/>
            <w:tcBorders/>
            <w:vAlign w:val="center"/>
          </w:tcPr>
          <w:p>
            <w:pPr>
              <w:pStyle w:val="TableContents"/>
              <w:bidi w:val="0"/>
              <w:spacing w:before="0" w:after="283"/>
              <w:jc w:val="left"/>
              <w:rPr/>
            </w:pPr>
            <w:r>
              <w:rPr/>
              <w:t> </w:t>
            </w:r>
          </w:p>
        </w:tc>
      </w:tr>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jc w:val="left"/>
              <w:rPr/>
            </w:pPr>
            <w:r>
              <w:rPr/>
              <w:t> </w:t>
            </w:r>
          </w:p>
        </w:tc>
      </w:tr>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09" w:type="dxa"/>
            <w:tcBorders/>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5,433,375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4,726,433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(3,606,481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(3,770,587</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1,826,894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955,846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(1,188,711</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(2,781,075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(10,493,596</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sz w:val="20"/>
              </w:rPr>
            </w:pPr>
            <w:r>
              <w:rPr>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(2,987,389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(11,682,306</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(1,160,495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(10,726,461</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971,391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(8,099</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Bargain purchase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21,653,835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Loss on digital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(332,480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Loss on financial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(700,631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Gain on embedded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456,731</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(616,423</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199,688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20,455,184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(Loss) Income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(960,807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9,728,723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486,706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(474,101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9,728,723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(150,685</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Net (loss) income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(524,643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9,879,408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(222,944</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Total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(441,572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9,505,779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Less: Total comprehensive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(211,683</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Total comprehensive (loss) income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(498,480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9,717,462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(40,357.15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1,932.59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(40,357.15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27.36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Weighted average shares outstanding *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5,112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361,113</w:t>
            </w:r>
          </w:p>
        </w:tc>
        <w:tc>
          <w:tcPr>
            <w:tcW w:w="10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2024 year end, the Company carried out a 1-for-20 reverse stock split, a 1-for-10 reverse stock split, a 1-for-5 reverse stock split, a 1-for-5 reverse stock split, a 1-for-3 reverse stock split, a 1-for-4 reverse stock split and a 1-for-3 reverse stock split of its issued and unissued shares which was effected on February 11, 2025, May 5, 2025, August 4, 2025, December 1, 2025, January 26, 2026, March 16, 2026, July 6, 2026, and September 1, 2026 respectively. The shares above have been adjusted retrospectively for these reverse stock splits.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2024 Compared with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decreased by approximately 13.01% from US$5,433,375 in 2024 to US$4,726,433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IVF treatment service revenue decreased by approximately 28.11% from US$5,433,375 in 2024 to US$3,905,863 in 2025. This decrease was primarily the result of change of management in Thailand clinic and new clinic set-up in Kyrgyzstan focusing on IVF services in late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NewGenIvf’s derived fertility referral services of US$820,570 revenue from referring customers to outside agents for IVF and surrogacy services while no such revenue was recorded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revenue increased by approximately 4.55% from US$3,606,481 in 2024 to US$3,770,587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goods sold decreased by approximately 1.15% from US$629,620 in 2024 to US$622,386 in 2025, primarily attributed to the decrease on procurement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clinic costs increased by approximately 5.76% from US$2,976,861 in 2024 to US$3,148,201 in 2025, primarily due to clinic staff turnover in 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profit decreased by approximately 47.68% from US$1,826,894 in 2024 to US$955,846 in 2025, primarily attributable to a reorganizing of our cooperation model with subcontractors and the decreased efficiency of our marketing services, resulting in a increase in unit service costs per customer, directly leading to decreases in gross profit margins.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margin decreased from 33.6% in 2024 to 20.2% in 2025. This is primarily due to the drop of sales revenue while the overhead costs of clinic was not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increased by approximately 291.05% from US$2,987,389 in 2024 to US$11,682,307 in 2025, primarily attributable to (i) professional fees of US$1,861,572 incurred in 2025 being related to real estate development project in United Arab of Emirates, valuation fees on acquisition of Nodexus (ii) staff and director salary and personnel cost of US$2,910,173 in 2025 due to enlargement of sales/marketing force and administrative staff to implement our business expansion pan and bonus related to maintaining listing status in Nasdaq and increasing share capitalization; and (iii) write-off of certain agency deposit and artwork of US$1,105,370.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increased from US$971,391 in 2024 to US$21,069,356 in 2025, primarily attributable to a non-cash, bargain purchase gain recognized on the acquisition of Nodexus and Microsort businesses of $21,653,835, gain on embedded derivative of $456,731, loss on investment in digital assets, net of $332,480 and loss on investment on financial assets, net of $700,631.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finance costs decreased by approximately 20.84% from US$778,656 in 2024 to US$616,423 in 2025 as a result of securing a lower interest rate on convertible notes issued during the year and some convertible notes being issued second half of 2025 for financing new business initiatives including real estate development project in United Arab of Emirates, supplement business and tokenization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income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made no provision for income taxes in 2024 and 2025. There was no assessable income generated from Hong Kong, Thailand and 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excess provision of US$486,706 was reversed as they are no longer deemed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a net income of US$9,728,723 in 2025 while there was a net loss of US$(474,101)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and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principal sources of liquidity have been cash flows generated from its business operations and external financing via various instruments. As of December 31, 2024 and 2025, NewGenIvf had US$457,740 and US$758,621, respectively, in cash and cash equivalents. NewGenIvf had working capital (defined as total current assets deducted by total current liabilities) of a surplus of $452,391 and US$5,017,221 respectively, as of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owed US$6,421 to related parties. Nevertheless, NewGenIvf is able to generate sufficient cash flow from its business operations and financing activities to operate and grow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continually seeks to monetize from positive cash flow contracts and increase revenue from its operating activities. NewGenIvf monitors its current and expected liquidity requirements to help ensure that it maintains sufficient cash balances to meet its existing and reasonably likely long-term liquidity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finance its future working capital requirements and capital expenditures from cash generated from operating activities, in addition to funds raised from financing activities. NewGenIvf may, however, require additional cash due to changing business conditions or other future developments, including any investments or acquisitions it may decide to pursue. If its existing cash is insufficient to meet its requirements, NewGenIvf may seek to issue debt or equity securities or obtain additional credit facilities. Financing may be unavailable in the amounts NewGenIvf needs or on terms acceptable to it, if at all. Issuance of additional equity securities, including convertible debt securities, would dilute NewGenIvf’s earnings per share. The incurrence of debt would divert cash for working capital and capital expenditures to service debt obligations and could result in operating and financial covenants that restrict NewGenIvf’s operations and its ability to pay dividends to its shareholders. If NewGenIvf is unable to obtain additional equity or debt financing as required, its business operations and prospects may suffer. Please see “</w:t>
      </w:r>
      <w:r>
        <w:rPr>
          <w:rFonts w:ascii="Times New Roman;Times;Serif" w:hAnsi="Times New Roman;Times;Serif"/>
          <w:b w:val="false"/>
          <w:i/>
          <w:caps w:val="false"/>
          <w:smallCaps w:val="false"/>
          <w:sz w:val="20"/>
        </w:rPr>
        <w:t>Risk Factors — Risks Relating to NewGenIvf’s Business and Industry — NewGenIvf requires a significant amount of capital to fund its operations and growth. If NewGenIvf cannot obtain sufficient capital on acceptable terms, its business, financial condition, and prospects may be materially and adversely affected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NewGenIvf’s selected consolidated cash flow data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305"/>
        <w:gridCol w:w="60"/>
        <w:gridCol w:w="60"/>
        <w:gridCol w:w="1055"/>
        <w:gridCol w:w="95"/>
        <w:gridCol w:w="60"/>
        <w:gridCol w:w="60"/>
        <w:gridCol w:w="1175"/>
        <w:gridCol w:w="110"/>
      </w:tblGrid>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1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(8,264,074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(10,926,056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(7,559,774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8,675,790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18,992,758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506,928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(206,047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457,740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457,740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758,621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US$10,926,056 for the year ended December 31, 2025. The difference between NewGenIvf’s net profit of US$9,728,723 for the year ended December 31, 2025 and the net cash used in operating activities was primarily attributable to bargain purchase gain of US$21.7m on acquisition of Nodexus and Microsort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US$8,264,074 for the year ended December 31, 2024. The difference between NewGenIvf’s net loss of US$474,101 for the year ended December 31, 2024 and the net cash used in operating activities was primarily attributable to (i) an increase of agent’s receivable of US$1,191,795, (ii) a cash deposit of US$1,000,000 with a digital trading platform and settlement of charges in relation to the de-spac and business reorganisation.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2025 was US$7,559,774, primarily representing reservation money of US$4.6m paid for the real estate development project in United Arab of Emirates, as well as cash paid for investment in digital assets of $1,000,000, amounts held in custody for investments of $760,000 and cash paid for acquisition of businesses in 2025 of $1,050,000.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2024 was US$53,045, primarily representing purchase of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2025 was US$18,992,758, primarily representing issuance of share capital of US$12.6m utilizing equity line of credit, convertible note issuance of US$6.8m and settlement of $500,000 for a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2024 was US$8,675,790, primarily representing issuance of share capital utilizing equity line of credit, convertible note issuance and proceeds from issuance of promissory notes all totaling to an amount of $8,583,597.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main contractual obligations and commitments as of December 31, 2024 and December 31, 2025.</w:t>
      </w:r>
    </w:p>
    <w:p>
      <w:pPr>
        <w:pStyle w:val="TextBody"/>
        <w:bidi w:val="0"/>
        <w:spacing w:before="0" w:after="0"/>
        <w:ind w:left="0" w:right="0" w:firstLine="72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525"/>
        <w:gridCol w:w="60"/>
        <w:gridCol w:w="60"/>
        <w:gridCol w:w="980"/>
        <w:gridCol w:w="60"/>
        <w:gridCol w:w="60"/>
        <w:gridCol w:w="60"/>
        <w:gridCol w:w="98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US$</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less than 1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262,244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1 – 2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184,041</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2.- 5 years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565,085</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bonds-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3,269,625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5,289,000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have the option of being converted to Class A ordinary shares at the discretion of the holder, any time after issuance. The conversion, however, is subject to certain terms and conditions, including the requirement of the shareholdings not to exceed 4.99 % or 9.99% of the Company’s shares based on the noteholder. As of December 31, 2025, this criterion has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not entered into any financial guarantees or other commitments to guarantee the payment obligations of any third parties, nor any derivative contracts that are indexed to its shares and classified as shareholder’s equity or that are not reflected in its consolidated financial statements. Furthermore, NewGenIvf does not have any retained or contingent interest in assets transferred to an unconsolidated entity that serves as credit, liquidity or market risk support to such entity. NewGenIvf does not have any variable interest in any unconsolidated entity that provides financing, liquidity, market risk or credit support to it or engages in leasing, hedging or product development services with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a holding company with no material operations of its own. NewGenIvf Group Limited conducts all of its operations through its subsidiaries. As a result, NewGenIvf Group Limited’s ability to pay dividends depends upon dividends paid by its subsidiaries. If our subsidiaries or any newly formed subsidiaries incur debt on their own behalf in the future, the instruments governing their debt may restrict their ability to pay dividends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permitted under BVI law to provide funding to its subsidiaries in Hong Kong, Thailand, Cambodia and Kyrgyzstan through loans or capital contributions without restrictions on the amount of the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subsidiaries are currently permitted to pay dividends to the Company in accordance with relevant laws and regulations. Payment of dividends requirements in a company incorporated under the laws of Thailand is governed by the Civil and Commercial Code of Thailand. For example, the company may not declare dividends if the company has incurred losses, the company must appropriate to a reserved fund at each dividend contribution of dividend of at least one-twentieth of the profits until the fund reaches one-tenth of the capital, or the dividends payment must be made to the shareholders within one (1) month from the dividend declaration date. On the capital remittance or payment of dividends to the shareholders from outside of Thailand, it is regulated by the regulations issued by the Bank of Thailand, including the Exchange Control Act B.E. 2485 (1942). The fund remittance from Thailand to a foreign jurisdiction may require an approval from the Bank of Thailand or require notifying the Bank of Thailand for such transfer, depending on the types of the remittance transactions, through the commercial bank in the country. For a company incorporated under the laws of Kyrgyzstan, under Kyrgyz regulations of dividends (net profit), the dividends can be paid once a year depending on the results of the financial year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December 31, 2025 and December 31, 2024 to be $21 and $19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concentration of credit risk on liquid funds which are deposited with several banks with high credit ratings. The credit risk on liquid funds is limited because the counterparties are banks with high credit ratings assigned by international credit-rating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Deposits, prepayments and other receivables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management consider the loss allowance for deposits and other receivables, due from shareholders as of December 31, 2025 and December 31, 2024 is $5, and $4, respectively. The loss allowance for deposits and other receivables, due from shareholders as of December 30, 2025 and December 31, 2024 is $0, and $0,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cash flow interest rate risk through the changes in interest rates related mainly to its variable-rates bank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currently does not have any interest rate hedging policy in relation to fair value interest rate risk and cash flow interest rate risk. The directors monitor NewGenIvf’s exposures on an ongoing basis and will consider hedging the interest rate should the need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had been 1% higher or lower and all other variables were held constant, the Company’s net (loss) income for the period/years ended December 31, 2025 and December 31, 2024 would have increased or decreased by approximately $52,890 and $26,894,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NewGenIvf’s financial position as a result of a change in foreign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and political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operations are mainly conducted in Thailand, Cambodia and Kyrgyzstan. Accordingly, NewGenIvf’s business, financial condition, and results of operations may be influenced by changes in the political, economic, and legal environments in Thailand, Cambodia and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operations in Thailand, Cambodia and Kyrgyzstan are subject to special considerations and significant risks not typically associated with companies in North America and Western Europe. These include risks associated with, among other things, the political, economic and legal environment and foreign currency exchange. NewGenIvf’s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Travel restriction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clients contribute a large portion of NewGenIvf’s revenue. International clients need to travel to Thailand, Cambodia and Kyrgyzstan for treatment services, where NewGenIvf’s operations are mainly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traveling to Thailand, Cambodia and Kyrgyzstan may be affected by a number of factors, including local and global political and economic conditions. Furthermore, an outbreak, or threatened outbreak, of any severe contagious disease may also in turn significantly reduce the demand of traveling or cause extensive travel restrictions. NewGenIvf’s results may be materially and adversely affected if travel restriction was imposed or difficulties in cross-border flow arose.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 Moreover, the recent escalation of the US-Israel-Iran conflict poses a significant threat to the global economy, primarily through the disruption of oil supplies, with cascading effects on the real estate sector in the UAE and a broad economic downturn across Asia, including Hong Kong and China. As the conflict intensifies around the Strait of Hormuz—through which nearly 20% of the world’s oil passes—global oil prices have surged past $100 per barrel, raising fears of an extended energy crisis. Such increase in oil prices might lead to domino effect on the overall costs of business operation for NewGenIvf and NewGenIvf might not be able to pass the cost pressure to its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prepares its financial statements in conformity with U.S. GAAP, which requires NewGenIvf to make judgments, estimates and assumptions. NewGenIvf continually evaluates these estimates and assumptions based on the most recently available information, its historical experience and various other assumptions that NewGenIvf’s management believes to be reasonable under the circumstances. Since the use of estimates is an integral component of the financial reporting process, actual results could differ from its expectations as a result of changes in NewGenIvf’s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critical accounting estimates, the judgments and other uncertainties affecting application of those policies and the sensitivity of reported results to changes in conditions and assumptions are factors that should be considered when reviewing NewGenIvf’s financial statements. NewGenIvf’s management believes the following accounting estimates involve the most significant judgments and estimates used in the preparation of their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Business combination and gain on bargain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805, the accounting for business combinations which requires the application of the acquisition method. This method mandates that the acquiring entity recognize all assets acquired and liabilities assumed at their acquisition-date fair values. Gain on a business acquisition is recognized in earnings only in the specific circumstance of a “bargain purchase.” This occurs when the fair value of the identifiable net assets acquired exceeds the total consideration transferred (including the fair value of any non-controlling interest). It requires the acquirer to first meticulously reassess all measurements—including the identification and valuation of assets, liabilities, and the consideration—to ensure the gain is not a measurement error. Once confirmed, the resulting bargain purchase gain is recognized in profit or loss on the acquisition date. This treatment reflects the economic benefit obtained by the acquirer from purchasing net assets for less than their aggregate fair value. Under US GAAP, the distinction between acquiring a business and acquiring a group of assets is determined by a defined screen test. A transaction is accounted for as a business combination only if the acquired set meets the specific definition of a business, which requires an integrated set of activities with, at a minimum, an input and a substantive process that together significantly contribute to the ability to create outputs.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from third parties are measured initially at fair value and those with an infinite life are not amortized. The Company annually evaluates the recoverability of the infinite-lived intangible assets for possible impairment whenever events or circumstances indicate that the carrying amount of such assets may not be recoverable. To test indefinite-lived intangible assets for impairment, the Company first performs 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 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did not record an impairment on the intangible.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Convertible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Instruments are categorized as equity or debt based on the terms of the notes. Convertible Notes are recorded at amounts equal to the proceeds of the issuance, including the embedded conversion feature, and net of discounts and unamortized debt issuance in accordance with ASC 480-10-55-44 on the consolidated balance sheets. An evaluation of all conversion, purchase and redemption features contained in a debt instrument is performed to determine if there are any embedded features that require bifurcation as a derivative. The conversion feature is recorded separately as a derivative liability at its fair value, calculated using the Black-Scholes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and offering costs are amortized over the contractual term of the Convertible Notes, to the consolidated statements of operations in accordance with ASC 835-30-45-1A.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subsequently recorded at amortized cost, with interest expense recognized using the effective interest method. The derivative liability, if any is remeasured at fair value at each reporting date and any gain or loss on fair value is recognized in the statement of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k_013"/>
      <w:bookmarkEnd w:id="14"/>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assisted reproductive services (“ARS”) provider in Asia-Pacific. Since the opening of our first clinic in Thailand in 2014, we have established ourself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focus on providing fertility treatments to fulfil the dreams of building families, NewGenIvf mainly offers two services, namely: (i) in vitro fertilization (“IVF”) treatment service, comprising traditional IVF and egg donation; and (ii) fertility referral services. Currently, we have three clinics: one clinic in Thailand, one clinic in Cambodia, and one clinic in Kyrgyzstan.</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 xml:space="preserve">IVF treatment service: </w:t>
            </w:r>
            <w:r>
              <w:rPr>
                <w:sz w:val="20"/>
              </w:rPr>
              <w:t>For the years ended December 31, 2025 and 2024, we generated approximately 82.6% and 100% respectively of 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 xml:space="preserve">Fertility referral services: </w:t>
            </w:r>
            <w:r>
              <w:rPr>
                <w:sz w:val="20"/>
              </w:rPr>
              <w:t>We also generate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NewGenIvf’s revenue was US$4,726,433 and US$5,433,375, and its net income/(loss) was US$9,728,723 and US$(474,101),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CIC, NewGenIvf’s core market for fertility services is substantial and growing rapidly, driven by, among other things, societal and cultural shifts, such as people starting families later in life and other health-related challenges which could impact couples’ and individuals’ ability to have children. In addition, NewGenIvf believes that continued overall de-stigmatization of infertility will help drive better access to, and stronger demand for, fertility treatment services, thereby further enabling the expansion of NewGenIvf’s addressable market. According to CIC, the market size of fertility treatments in Asia Pacific was increasing steadily and the potential size of the Asia fertility market is expected to reach US$37.4 billion by 2030. NewGenIvf believes its market opportunity is substantial and is continuing to grow as a result of the rising demand for fertility services, the lack of adequate offerings in the market and the increasing awareness of the challenges of infertility.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the following competitive strengths have positioned it to meet growing opportunities in the fertility market across Asia-Pacific, and have differentiated it from its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Broad-range ARS Provider Offering Comprehensive Fertility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 As of December 31, 2024, NewGenIvf was the one of the few ARS providers in Kyrgyzstan and one of the few companies in Kyrgyzstan that is licensed to offer surrogacy services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Attractive Market with Significant Demand and Fast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operates in the ARS market in Asia Pacific, positioning it to leverage on an attractive market with compelling underlying growth potential.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approximately 90 fertility service agents in China as well as in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Exclusively Owned and Licensed Technology for Family Planning and Access to Mature Fertility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MicroSort Technology:</w:t>
            </w:r>
            <w:r>
              <w:rPr>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Screening (“PGS”)</w:t>
            </w:r>
            <w:r>
              <w:rPr>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Next-Generation Sequencing (“NGS”)</w:t>
            </w:r>
            <w:r>
              <w:rPr>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Diagnosis (“PGD”)</w:t>
            </w:r>
            <w:r>
              <w:rPr>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 xml:space="preserve">Nodexus Technology: </w:t>
            </w:r>
            <w:r>
              <w:rPr>
                <w:sz w:val="2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Well Established Brand with Reliable Reputation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its established client service history, accumulated experience as well as its continuous upgrades and development of treatment models, NewGenIvf believes that it will be able to better monetize its brands through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Experienced Management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vision is to provide tailored ARS solutions to fulfil patients’ dreams of becoming a parent. To realize this vision, NewGenIvf plans to adopt the following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Offer Broad Fertility Services for Fertility Tourists across Asia Pacific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Continue to Invest in Laboratories and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Brand Awareness and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growingly ARS market in Asia-Pacific.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Expand Service Reach Through Acquisitions and Partnerships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NewGenIvf completed its acquisition of the MicroSort technology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technology (as described below from GIVF for a cash consideration of $750,000 and a share consideration of 2,500,000 Class A Ordinary Shares (equivalent to 4.63 Class A Ordinary Shares adjusted for Reverse Stock Splits) (“MicroSort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Exclusively Owned and Licensed Technology for Family Planning and Access to Mature Fertility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MicroSort Technology:</w:t>
            </w:r>
            <w:r>
              <w:rPr>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Preimplantation Genetic Screening (“PGS”)</w:t>
            </w:r>
            <w:r>
              <w:rPr>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Next-Generation Sequencing (“NGS”)</w:t>
            </w:r>
            <w:r>
              <w:rPr>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Diagnosis (“PGD”)</w:t>
            </w:r>
            <w:r>
              <w:rPr>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Nodexus Technology</w:t>
            </w:r>
            <w:r>
              <w:rPr>
                <w:sz w:val="20"/>
              </w:rPr>
              <w:t>: 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focus on providing fertility treatments to fulfil couples and individuals’ dreams of raising children, NewGenIvf offers mainly two services, namely: (i) IVF treatment service, comprising traditional IVF and egg donation; and (ii) fertility referral services. The following table sets forth NewGenIvf’s revenue by service offerings and as a percentage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450"/>
        <w:gridCol w:w="60"/>
        <w:gridCol w:w="60"/>
        <w:gridCol w:w="980"/>
        <w:gridCol w:w="60"/>
        <w:gridCol w:w="60"/>
        <w:gridCol w:w="60"/>
        <w:gridCol w:w="560"/>
        <w:gridCol w:w="60"/>
        <w:gridCol w:w="60"/>
        <w:gridCol w:w="60"/>
        <w:gridCol w:w="980"/>
        <w:gridCol w:w="60"/>
        <w:gridCol w:w="60"/>
        <w:gridCol w:w="60"/>
        <w:gridCol w:w="560"/>
        <w:gridCol w:w="7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IVF Treatment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Fertility Referral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4,726,433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IVF Treatment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revenue from NewGenIvf’s IVF treatments was US$5,433,375 and US$3,905,863, respectively, representing 100% and 82.6% of its total revenue in the corresponding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Treatments Process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371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371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step is to transfer the embryos into the uterus using a catheter. Within eight days after the embryo transfer, a blood test can be conducted to detect whether the implantation was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technology is a preconception process developed by the Genetics and IVF Institute, Inc. that aims to improve the chances that the baby to be conceived will be of the desired gender and prevents certain gender-related hereditary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business from Genetics &amp; IVF Institute, Inc. (“GIVF”).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flow chart below shows the process involved in MicroSort: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019675" cy="2562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19675" cy="2562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67275" cy="2609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867275" cy="26098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Preimplantation Genetic Screening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Next-Generation Sequencing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Preimplantation Genetic Diagnosis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Egg Freezing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Network of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62625" cy="2971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62625" cy="2971800"/>
                    </a:xfrm>
                    <a:prstGeom prst="rect">
                      <a:avLst/>
                    </a:prstGeom>
                  </pic:spPr>
                </pic:pic>
              </a:graphicData>
            </a:graphic>
          </wp:inline>
        </w:drawing>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approximate aggregate average gross floor area (“</w:t>
      </w:r>
      <w:r>
        <w:rPr>
          <w:rFonts w:ascii="Times New Roman;Times;Serif" w:hAnsi="Times New Roman;Times;Serif"/>
          <w:b/>
          <w:i w:val="false"/>
          <w:caps w:val="false"/>
          <w:smallCaps w:val="false"/>
          <w:sz w:val="20"/>
        </w:rPr>
        <w:t>G.F.A.</w:t>
      </w:r>
      <w:r>
        <w:rPr>
          <w:rFonts w:ascii="Times New Roman;Times;Serif" w:hAnsi="Times New Roman;Times;Serif"/>
          <w:b w:val="false"/>
          <w:i w:val="false"/>
          <w:caps w:val="false"/>
          <w:smallCaps w:val="false"/>
          <w:sz w:val="20"/>
        </w:rPr>
        <w:t>”) of each of NewGenIvf’s clinics that were under lease and actively used for client service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5724" w:type="dxa"/>
        <w:jc w:val="left"/>
        <w:tblInd w:w="0" w:type="dxa"/>
        <w:tblLayout w:type="fixed"/>
        <w:tblCellMar>
          <w:top w:w="0" w:type="dxa"/>
          <w:left w:w="0" w:type="dxa"/>
          <w:bottom w:w="0" w:type="dxa"/>
          <w:right w:w="0" w:type="dxa"/>
        </w:tblCellMar>
      </w:tblPr>
      <w:tblGrid>
        <w:gridCol w:w="4115"/>
        <w:gridCol w:w="60"/>
        <w:gridCol w:w="118"/>
        <w:gridCol w:w="1356"/>
        <w:gridCol w:w="7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(Square Feet)</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Thailand</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First Fertility PGS Center Co., Ltd. – PS Tower</w:t>
              <w:br/>
              <w:t>(“</w:t>
            </w:r>
            <w:r>
              <w:rPr>
                <w:b/>
                <w:sz w:val="20"/>
              </w:rPr>
              <w:t>First Fertility PGS Center</w:t>
            </w:r>
            <w:r>
              <w:rPr>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 xml:space="preserve">First Fertility PGS Center Co., Ltd – Erawan Hotel </w:t>
            </w:r>
            <w:r>
              <w:rPr>
                <w:b/>
                <w:sz w:val="20"/>
              </w:rPr>
              <w:br/>
              <w:t>(“First Fertility PGS Center”)</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2,615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Cambodia</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 xml:space="preserve">First Fertility Phnom Penh Center </w:t>
              <w:br/>
              <w:t>(“</w:t>
            </w:r>
            <w:r>
              <w:rPr>
                <w:b/>
                <w:sz w:val="20"/>
              </w:rPr>
              <w:t>Phnom Penh Center</w:t>
            </w:r>
            <w:r>
              <w:rPr>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18,567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Kyrgyzstan</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 xml:space="preserve">Bi Clinic Limited Liability Company </w:t>
              <w:br/>
              <w:t>(“Bi Clinic”)</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2,164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rPr>
            </w:pPr>
            <w:r>
              <w:rPr>
                <w:b/>
              </w:rPr>
              <w:t>Aggregate G.F.A</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38,096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the scale of NewGenIvf’s operations, NewGenIvf expanded its Thailand fertility services by leasing a new property for its second clinic Erawan Consultation Clinic in May 2023. Consisting of approximately 2,615 sq. ft., Erawan Consultation Clinic was open in June 2025 and closed in April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pStyle w:val="TextBody"/>
        <w:bidi w:val="0"/>
        <w:spacing w:before="0" w:after="0"/>
        <w:ind w:left="0" w:right="0" w:firstLine="720"/>
        <w:jc w:val="both"/>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5690"/>
        <w:gridCol w:w="60"/>
        <w:gridCol w:w="995"/>
        <w:gridCol w:w="60"/>
        <w:gridCol w:w="980"/>
      </w:tblGrid>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IVF </w:t>
              <w:br/>
              <w:t>Treatments</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Surrogacy </w:t>
              <w:br/>
              <w:t>Services</w:t>
            </w:r>
          </w:p>
        </w:tc>
      </w:tr>
      <w:tr>
        <w:trPr/>
        <w:tc>
          <w:tcPr>
            <w:tcW w:w="5690" w:type="dxa"/>
            <w:tcBorders/>
            <w:shd w:fill="CEEEFE" w:val="clear"/>
            <w:vAlign w:val="center"/>
          </w:tcPr>
          <w:p>
            <w:pPr>
              <w:pStyle w:val="TableContents"/>
              <w:bidi w:val="0"/>
              <w:spacing w:before="0" w:after="283"/>
              <w:jc w:val="left"/>
              <w:rPr>
                <w:b/>
                <w:i/>
                <w:sz w:val="20"/>
              </w:rPr>
            </w:pPr>
            <w:r>
              <w:rPr>
                <w:b/>
                <w:i/>
                <w:sz w:val="20"/>
              </w:rPr>
              <w:t>Thailand</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First Fertility PGS Center (PS Tower)</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CEEEFE" w:val="clear"/>
            <w:vAlign w:val="center"/>
          </w:tcPr>
          <w:p>
            <w:pPr>
              <w:pStyle w:val="TableContents"/>
              <w:bidi w:val="0"/>
              <w:spacing w:before="0" w:after="283"/>
              <w:jc w:val="left"/>
              <w:rPr>
                <w:sz w:val="20"/>
              </w:rPr>
            </w:pPr>
            <w:r>
              <w:rPr>
                <w:sz w:val="20"/>
              </w:rPr>
              <w:t>First Fertility PGS Center (Erawan Hotel) – closed down in April 2026</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b/>
                <w:i/>
                <w:sz w:val="20"/>
              </w:rPr>
            </w:pPr>
            <w:r>
              <w:rPr>
                <w:b/>
                <w:i/>
                <w:sz w:val="20"/>
              </w:rPr>
              <w:t>Cambodia</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Phnom Penh Center</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b/>
                <w:i/>
                <w:sz w:val="20"/>
              </w:rPr>
            </w:pPr>
            <w:r>
              <w:rPr>
                <w:b/>
                <w:i/>
                <w:sz w:val="20"/>
              </w:rPr>
              <w:t>Kyrgyzstan</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 xml:space="preserve">BiClinic </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pPr>
            <w:r>
              <w:rPr/>
              <w:t>√</w:t>
            </w:r>
          </w:p>
        </w:tc>
      </w:tr>
    </w:tbl>
    <w:p>
      <w:pPr>
        <w:pStyle w:val="TextBody"/>
        <w:bidi w:val="0"/>
        <w:spacing w:before="0" w:after="0"/>
        <w:ind w:left="480" w:right="0" w:hanging="480"/>
        <w:jc w:val="left"/>
        <w:rPr>
          <w:caps w:val="false"/>
          <w:smallCaps w:val="false"/>
        </w:rPr>
      </w:pPr>
      <w:r>
        <w:rPr>
          <w:caps w:val="false"/>
          <w:smallCaps w:val="false"/>
        </w:rPr>
        <w:t> </w:t>
      </w:r>
    </w:p>
    <w:tbl>
      <w:tblPr>
        <w:tblW w:w="765" w:type="dxa"/>
        <w:jc w:val="left"/>
        <w:tblInd w:w="0" w:type="dxa"/>
        <w:tblLayout w:type="fixed"/>
        <w:tblCellMar>
          <w:top w:w="0" w:type="dxa"/>
          <w:left w:w="0" w:type="dxa"/>
          <w:bottom w:w="0" w:type="dxa"/>
          <w:right w:w="0" w:type="dxa"/>
        </w:tblCellMar>
      </w:tblPr>
      <w:tblGrid>
        <w:gridCol w:w="170"/>
        <w:gridCol w:w="260"/>
        <w:gridCol w:w="335"/>
      </w:tblGrid>
      <w:tr>
        <w:trPr/>
        <w:tc>
          <w:tcPr>
            <w:tcW w:w="170" w:type="dxa"/>
            <w:tcBorders/>
            <w:vAlign w:val="center"/>
          </w:tcPr>
          <w:p>
            <w:pPr>
              <w:pStyle w:val="TableContents"/>
              <w:bidi w:val="0"/>
              <w:spacing w:before="0" w:after="283"/>
              <w:jc w:val="both"/>
              <w:rPr/>
            </w:pPr>
            <w:r>
              <w:rPr/>
              <w:t>√</w:t>
            </w:r>
          </w:p>
        </w:tc>
        <w:tc>
          <w:tcPr>
            <w:tcW w:w="26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both"/>
              <w:rPr>
                <w:sz w:val="20"/>
              </w:rPr>
            </w:pPr>
            <w:r>
              <w:rPr>
                <w:sz w:val="20"/>
              </w:rPr>
              <w:t>Yes</w:t>
            </w:r>
          </w:p>
        </w:tc>
      </w:tr>
    </w:tbl>
    <w:p>
      <w:pPr>
        <w:pStyle w:val="TextBody"/>
        <w:bidi w:val="0"/>
        <w:spacing w:before="0" w:after="0"/>
        <w:ind w:left="0" w:right="0" w:hanging="0"/>
        <w:jc w:val="left"/>
        <w:rPr>
          <w:caps w:val="false"/>
          <w:smallCaps w:val="false"/>
        </w:rPr>
      </w:pPr>
      <w:r>
        <w:rPr>
          <w:caps w:val="false"/>
          <w:smallCaps w:val="false"/>
        </w:rPr>
        <w:t> </w:t>
      </w:r>
    </w:p>
    <w:tbl>
      <w:tblPr>
        <w:tblW w:w="675" w:type="dxa"/>
        <w:jc w:val="left"/>
        <w:tblInd w:w="0" w:type="dxa"/>
        <w:tblLayout w:type="fixed"/>
        <w:tblCellMar>
          <w:top w:w="0" w:type="dxa"/>
          <w:left w:w="0" w:type="dxa"/>
          <w:bottom w:w="0" w:type="dxa"/>
          <w:right w:w="0" w:type="dxa"/>
        </w:tblCellMar>
      </w:tblPr>
      <w:tblGrid>
        <w:gridCol w:w="140"/>
        <w:gridCol w:w="260"/>
        <w:gridCol w:w="275"/>
      </w:tblGrid>
      <w:tr>
        <w:trPr/>
        <w:tc>
          <w:tcPr>
            <w:tcW w:w="140" w:type="dxa"/>
            <w:tcBorders/>
            <w:vAlign w:val="center"/>
          </w:tcPr>
          <w:p>
            <w:pPr>
              <w:pStyle w:val="TableContents"/>
              <w:bidi w:val="0"/>
              <w:spacing w:before="0" w:after="283"/>
              <w:jc w:val="both"/>
              <w:rPr>
                <w:sz w:val="20"/>
              </w:rPr>
            </w:pPr>
            <w:r>
              <w:rPr>
                <w:sz w:val="20"/>
              </w:rPr>
              <w:t>×</w:t>
            </w:r>
          </w:p>
        </w:tc>
        <w:tc>
          <w:tcPr>
            <w:tcW w:w="260"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283"/>
              <w:jc w:val="both"/>
              <w:rPr>
                <w:sz w:val="20"/>
              </w:rPr>
            </w:pPr>
            <w:r>
              <w:rPr>
                <w:sz w:val="20"/>
              </w:rPr>
              <w:t>No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revenue from services performed at NewGenIvf’s medical centers for the years indicated:</w:t>
      </w:r>
    </w:p>
    <w:p>
      <w:pPr>
        <w:pStyle w:val="TextBody"/>
        <w:bidi w:val="0"/>
        <w:spacing w:before="0" w:after="0"/>
        <w:ind w:left="0" w:right="0" w:firstLine="72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270"/>
        <w:gridCol w:w="60"/>
        <w:gridCol w:w="60"/>
        <w:gridCol w:w="980"/>
        <w:gridCol w:w="60"/>
        <w:gridCol w:w="60"/>
        <w:gridCol w:w="60"/>
        <w:gridCol w:w="560"/>
        <w:gridCol w:w="60"/>
        <w:gridCol w:w="60"/>
        <w:gridCol w:w="60"/>
        <w:gridCol w:w="980"/>
        <w:gridCol w:w="60"/>
        <w:gridCol w:w="60"/>
        <w:gridCol w:w="60"/>
        <w:gridCol w:w="560"/>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Thailand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2,175,253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43.3</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Cambodia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676,743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1,491,778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38.2</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third party clinics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3,905,863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had two operating clinics in Thailand. 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clinic in Thailand had 8 nurses, 8 full time lab physicians and embryologists, 22 administrative staff, totaling 38 staff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Cambodia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Bi Clinic, NewGenIvf also provide fertility referral services by referring customers who are interested in surrogacy services which are legal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Bi Clinic had 1 full-time physician, 1 embryologist, 1 nurse, and 7 other staff.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Licensed Physicians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NewGenIvf contracted with five licensed physicians, among which one was based in Cambodia, one was based in Kyrgyzstan, and the other three were based in Thailand. Most of NewGenIvf’s physicians had over 10 years of experience or above. The following table summarises the number and types of such licensed physicians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5"/>
        <w:gridCol w:w="60"/>
        <w:gridCol w:w="1997"/>
        <w:gridCol w:w="60"/>
        <w:gridCol w:w="2350"/>
        <w:gridCol w:w="60"/>
        <w:gridCol w:w="2027"/>
        <w:gridCol w:w="60"/>
        <w:gridCol w:w="2626"/>
      </w:tblGrid>
      <w:tr>
        <w:trPr/>
        <w:tc>
          <w:tcPr>
            <w:tcW w:w="965" w:type="dxa"/>
            <w:tcBorders>
              <w:bottom w:val="single" w:sz="12" w:space="0" w:color="000000"/>
            </w:tcBorders>
            <w:vAlign w:val="center"/>
          </w:tcPr>
          <w:p>
            <w:pPr>
              <w:pStyle w:val="TableContents"/>
              <w:bidi w:val="0"/>
              <w:spacing w:before="0" w:after="283"/>
              <w:jc w:val="left"/>
              <w:rPr>
                <w:b/>
                <w:sz w:val="20"/>
              </w:rPr>
            </w:pPr>
            <w:r>
              <w:rPr>
                <w:b/>
                <w:sz w:val="20"/>
              </w:rPr>
              <w:t>Country</w:t>
            </w:r>
          </w:p>
        </w:tc>
        <w:tc>
          <w:tcPr>
            <w:tcW w:w="60" w:type="dxa"/>
            <w:tcBorders/>
            <w:tcMar>
              <w:bottom w:w="0" w:type="dxa"/>
            </w:tcMar>
            <w:vAlign w:val="center"/>
          </w:tcPr>
          <w:p>
            <w:pPr>
              <w:pStyle w:val="TableContents"/>
              <w:bidi w:val="0"/>
              <w:spacing w:before="0" w:after="283"/>
              <w:jc w:val="center"/>
              <w:rPr/>
            </w:pPr>
            <w:r>
              <w:rPr/>
              <w:t> </w:t>
            </w:r>
          </w:p>
        </w:tc>
        <w:tc>
          <w:tcPr>
            <w:tcW w:w="1997" w:type="dxa"/>
            <w:tcBorders>
              <w:bottom w:val="single" w:sz="12" w:space="0" w:color="000000"/>
            </w:tcBorders>
            <w:vAlign w:val="center"/>
          </w:tcPr>
          <w:p>
            <w:pPr>
              <w:pStyle w:val="TableContents"/>
              <w:bidi w:val="0"/>
              <w:spacing w:before="0" w:after="283"/>
              <w:jc w:val="center"/>
              <w:rPr>
                <w:b/>
                <w:sz w:val="20"/>
              </w:rPr>
            </w:pPr>
            <w:r>
              <w:rPr>
                <w:b/>
                <w:sz w:val="20"/>
              </w:rPr>
              <w:t>Licensed physician</w:t>
            </w:r>
          </w:p>
        </w:tc>
        <w:tc>
          <w:tcPr>
            <w:tcW w:w="60" w:type="dxa"/>
            <w:tcBorders/>
            <w:tcMar>
              <w:bottom w:w="0" w:type="dxa"/>
            </w:tcMar>
            <w:vAlign w:val="center"/>
          </w:tcPr>
          <w:p>
            <w:pPr>
              <w:pStyle w:val="TableContents"/>
              <w:bidi w:val="0"/>
              <w:spacing w:before="0" w:after="283"/>
              <w:jc w:val="center"/>
              <w:rPr/>
            </w:pPr>
            <w:r>
              <w:rPr/>
              <w:t> </w:t>
            </w:r>
          </w:p>
        </w:tc>
        <w:tc>
          <w:tcPr>
            <w:tcW w:w="2350" w:type="dxa"/>
            <w:tcBorders>
              <w:bottom w:val="single" w:sz="12" w:space="0" w:color="000000"/>
            </w:tcBorders>
            <w:vAlign w:val="center"/>
          </w:tcPr>
          <w:p>
            <w:pPr>
              <w:pStyle w:val="TableContents"/>
              <w:bidi w:val="0"/>
              <w:spacing w:before="0" w:after="283"/>
              <w:jc w:val="center"/>
              <w:rPr>
                <w:b/>
                <w:sz w:val="20"/>
              </w:rPr>
            </w:pPr>
            <w:r>
              <w:rPr>
                <w:b/>
                <w:sz w:val="20"/>
              </w:rPr>
              <w:t>Licenses and</w:t>
              <w:br/>
              <w:t>Approvals</w:t>
            </w:r>
          </w:p>
        </w:tc>
        <w:tc>
          <w:tcPr>
            <w:tcW w:w="60" w:type="dxa"/>
            <w:tcBorders/>
            <w:tcMar>
              <w:bottom w:w="0" w:type="dxa"/>
            </w:tcMar>
            <w:vAlign w:val="center"/>
          </w:tcPr>
          <w:p>
            <w:pPr>
              <w:pStyle w:val="TableContents"/>
              <w:bidi w:val="0"/>
              <w:spacing w:before="0" w:after="283"/>
              <w:jc w:val="center"/>
              <w:rPr/>
            </w:pPr>
            <w:r>
              <w:rPr/>
              <w:t> </w:t>
            </w:r>
          </w:p>
        </w:tc>
        <w:tc>
          <w:tcPr>
            <w:tcW w:w="2027" w:type="dxa"/>
            <w:tcBorders>
              <w:bottom w:val="single" w:sz="12" w:space="0" w:color="000000"/>
            </w:tcBorders>
            <w:vAlign w:val="center"/>
          </w:tcPr>
          <w:p>
            <w:pPr>
              <w:pStyle w:val="TableContents"/>
              <w:bidi w:val="0"/>
              <w:spacing w:before="0" w:after="283"/>
              <w:jc w:val="center"/>
              <w:rPr>
                <w:b/>
                <w:sz w:val="20"/>
              </w:rPr>
            </w:pPr>
            <w:r>
              <w:rPr>
                <w:b/>
                <w:sz w:val="20"/>
              </w:rPr>
              <w:t>Effective Period</w:t>
            </w:r>
          </w:p>
        </w:tc>
        <w:tc>
          <w:tcPr>
            <w:tcW w:w="60" w:type="dxa"/>
            <w:tcBorders/>
            <w:tcMar>
              <w:bottom w:w="0" w:type="dxa"/>
            </w:tcMar>
            <w:vAlign w:val="center"/>
          </w:tcPr>
          <w:p>
            <w:pPr>
              <w:pStyle w:val="TableContents"/>
              <w:bidi w:val="0"/>
              <w:spacing w:before="0" w:after="283"/>
              <w:jc w:val="center"/>
              <w:rPr/>
            </w:pPr>
            <w:r>
              <w:rPr/>
              <w:t> </w:t>
            </w:r>
          </w:p>
        </w:tc>
        <w:tc>
          <w:tcPr>
            <w:tcW w:w="2626" w:type="dxa"/>
            <w:tcBorders>
              <w:bottom w:val="single" w:sz="12" w:space="0" w:color="000000"/>
            </w:tcBorders>
            <w:vAlign w:val="center"/>
          </w:tcPr>
          <w:p>
            <w:pPr>
              <w:pStyle w:val="TableContents"/>
              <w:bidi w:val="0"/>
              <w:spacing w:before="0" w:after="283"/>
              <w:jc w:val="center"/>
              <w:rPr>
                <w:b/>
                <w:sz w:val="20"/>
              </w:rPr>
            </w:pPr>
            <w:r>
              <w:rPr>
                <w:b/>
                <w:sz w:val="20"/>
              </w:rPr>
              <w:t>Issuing</w:t>
              <w:br/>
              <w:t>Authority</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Cambodia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sz w:val="20"/>
              </w:rPr>
            </w:pPr>
            <w:r>
              <w:rPr>
                <w:sz w:val="20"/>
              </w:rPr>
              <w:t>Mr. Keut Serey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Decision on permission for beauty treatment operation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December 14, 2022 – December 14,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The Ministry of Health of Cambodia</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6"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sz w:val="20"/>
              </w:rPr>
            </w:pPr>
            <w:r>
              <w:rPr>
                <w:sz w:val="20"/>
              </w:rPr>
              <w:t>Dr Keatthisak Boonsimma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Number 31801 Medical Practitioner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April 1, 2005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Royal Thai College of Obstetricians and Gynaecologists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Number 22624/2554</w:t>
              <w:br/>
              <w:t>OB-Gyn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July 1, 2014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Number 40962/2563 Reproductive Medicine Diploma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July 1, 2020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6"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sz w:val="20"/>
              </w:rPr>
            </w:pPr>
            <w:r>
              <w:rPr>
                <w:sz w:val="20"/>
              </w:rPr>
              <w:t>Dr. Anurach Kulvanitchaiyanunt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Practice License No. 11755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February 1 2025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6"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sz w:val="20"/>
              </w:rPr>
            </w:pPr>
            <w:r>
              <w:rPr>
                <w:sz w:val="20"/>
              </w:rPr>
              <w:t>Dr Wiphawee Luangtangvarodom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Number 38347/2562</w:t>
              <w:br/>
              <w:t>OB-Gyn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August 1, 2019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Number 43217/2564 Reproductive Medicine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July 1, 2021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Number 48510 Medical Practitioner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April 1, 2014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6"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Kyrgyzstan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sz w:val="20"/>
              </w:rPr>
            </w:pPr>
            <w:r>
              <w:rPr>
                <w:sz w:val="20"/>
              </w:rPr>
              <w:t>Dr Myrzalymbekova 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 xml:space="preserve">Number №CO170001836 Medical Certificate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June 23. 2017 -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 xml:space="preserve">Medical Council of Kyrgyzstan </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Number №0002953 Medical Practitioner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25 April 2018 -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Number №11373\2565 Medical Certificate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 xml:space="preserve">16 August 2024 - Indefinite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sz w:val="20"/>
              </w:rPr>
            </w:pPr>
            <w:r>
              <w:rPr>
                <w:sz w:val="20"/>
              </w:rPr>
              <w:t>Number №0003447 Medical Certificate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283"/>
              <w:jc w:val="center"/>
              <w:rPr>
                <w:sz w:val="20"/>
              </w:rPr>
            </w:pPr>
            <w:r>
              <w:rPr>
                <w:sz w:val="20"/>
              </w:rPr>
              <w:t>12 April 2023 -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6"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years ended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NewGenIvf promoted brand awareness through its sales teams and, in many cases, through cooperating with third-party agencies and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and Procurement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procurement is mainly for medications, laboratory media and reagents, laboratory consumables, and blood test reagents. As of December 31, 2024 and 2025, there was no single supplier individually contributed more than 10% of the Group’s trade payable respectively. For both the years ended December 31, 2024 and 2025, no vendor contributed more than 10% of total direct cost of the Group. NewGenIvf’s procurement team is experienced in selecting cost-effective supplies as well as selecting reliable suppliers. NewGenIvf’s major suppliers are pharmaceutical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 is a long-standing provider of ARS in Asia Pacific that competes primarily based on the following competitive factors:</w:t>
      </w:r>
    </w:p>
    <w:p>
      <w:pPr>
        <w:pStyle w:val="TextBody"/>
        <w:bidi w:val="0"/>
        <w:spacing w:before="0" w:after="0"/>
        <w:ind w:left="0" w:right="0" w:firstLine="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the value and comprehensiveness of the solutions;</w:t>
            </w:r>
          </w:p>
        </w:tc>
      </w:tr>
    </w:tbl>
    <w:p>
      <w:pPr>
        <w:pStyle w:val="TextBody"/>
        <w:bidi w:val="0"/>
        <w:spacing w:before="0" w:after="0"/>
        <w:ind w:left="960" w:right="0" w:hanging="48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sz w:val="20"/>
              </w:rPr>
            </w:pPr>
            <w:r>
              <w:rPr>
                <w:sz w:val="20"/>
              </w:rPr>
              <w:t>treatment that is effective and achieves desired outcomes;</w:t>
            </w:r>
          </w:p>
        </w:tc>
      </w:tr>
    </w:tbl>
    <w:p>
      <w:pPr>
        <w:pStyle w:val="TextBody"/>
        <w:bidi w:val="0"/>
        <w:spacing w:before="0" w:after="0"/>
        <w:ind w:left="960" w:right="0" w:hanging="48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sz w:val="20"/>
              </w:rPr>
            </w:pPr>
            <w:r>
              <w:rPr>
                <w:sz w:val="20"/>
              </w:rPr>
              <w:t>clients’ experience, including dedicated patient education, clinical guidance and emotional support; and</w:t>
            </w:r>
          </w:p>
        </w:tc>
      </w:tr>
    </w:tbl>
    <w:p>
      <w:pPr>
        <w:pStyle w:val="TextBody"/>
        <w:bidi w:val="0"/>
        <w:spacing w:before="0" w:after="0"/>
        <w:ind w:left="960" w:right="0" w:hanging="48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sz w:val="20"/>
              </w:rPr>
            </w:pPr>
            <w:r>
              <w:rPr>
                <w:sz w:val="20"/>
              </w:rPr>
              <w:t>access to a network of high-quality fertility specialists.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NewGenIvf may introduce new ancillary services and other companies may introduce similar fertility services as NewGenIvf’s, NewGenIvf may become subject to additional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in addition to its clinics, NewGenIvf leased one property in Hong Kong with an aggregate square footage of approximately 8,000 for its administration support offices. NewGenIvf also operates its medical facilities as described above in “— Network of Facilities” above. NewGenIvf believes that its existing facilities are suitable and adequate to meet its current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k_014"/>
      <w:bookmarkEnd w:id="15"/>
      <w:r>
        <w:rPr>
          <w:rFonts w:ascii="Times New Roman;Times;Serif" w:hAnsi="Times New Roman;Times;Serif"/>
          <w:b/>
          <w:i w:val="false"/>
          <w:caps w:val="false"/>
          <w:smallCaps w:val="false"/>
          <w:sz w:val="20"/>
        </w:rPr>
        <w:t>PRINCIPAL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beneficial ownership of our Class A ordinary shares and Class B ordinary shares as of the date of this prospectus 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Each person who is known by us to beneficially own more than 5% of our issued and outstanding Class A ordinary shares and Class B ordinary shares;</w:t>
            </w:r>
          </w:p>
        </w:tc>
      </w:tr>
    </w:tbl>
    <w:p>
      <w:pPr>
        <w:pStyle w:val="TextBody"/>
        <w:bidi w:val="0"/>
        <w:spacing w:before="0" w:after="0"/>
        <w:ind w:left="0" w:right="0" w:firstLine="72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sz w:val="20"/>
              </w:rPr>
            </w:pPr>
            <w:r>
              <w:rPr>
                <w:sz w:val="20"/>
              </w:rPr>
              <w:t>Each of our director, director nominees and named executive officers; and</w:t>
            </w:r>
          </w:p>
        </w:tc>
      </w:tr>
    </w:tbl>
    <w:p>
      <w:pPr>
        <w:pStyle w:val="TextBody"/>
        <w:bidi w:val="0"/>
        <w:spacing w:before="0" w:after="0"/>
        <w:ind w:left="0" w:right="0" w:firstLine="72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sz w:val="20"/>
              </w:rPr>
            </w:pPr>
            <w:r>
              <w:rPr>
                <w:sz w:val="20"/>
              </w:rPr>
              <w:t>All directors and named executive officers as a group.</w:t>
            </w:r>
          </w:p>
        </w:tc>
      </w:tr>
    </w:tbl>
    <w:p>
      <w:pPr>
        <w:pStyle w:val="TextBody"/>
        <w:bidi w:val="0"/>
        <w:spacing w:before="0" w:after="0"/>
        <w:ind w:left="0" w:right="0" w:hanging="0"/>
        <w:jc w:val="both"/>
        <w:rPr>
          <w:caps w:val="false"/>
          <w:smallCaps w:val="false"/>
        </w:rPr>
      </w:pPr>
      <w:r>
        <w:rPr>
          <w:caps w:val="false"/>
          <w:smallCaps w:val="false"/>
        </w:rPr>
        <w:t> </w:t>
      </w:r>
    </w:p>
    <w:tbl>
      <w:tblPr>
        <w:tblW w:w="11585" w:type="dxa"/>
        <w:jc w:val="left"/>
        <w:tblInd w:w="0" w:type="dxa"/>
        <w:tblLayout w:type="fixed"/>
        <w:tblCellMar>
          <w:top w:w="0" w:type="dxa"/>
          <w:left w:w="0" w:type="dxa"/>
          <w:bottom w:w="0" w:type="dxa"/>
          <w:right w:w="0" w:type="dxa"/>
        </w:tblCellMar>
      </w:tblPr>
      <w:tblGrid>
        <w:gridCol w:w="1880"/>
        <w:gridCol w:w="60"/>
        <w:gridCol w:w="60"/>
        <w:gridCol w:w="980"/>
        <w:gridCol w:w="60"/>
        <w:gridCol w:w="60"/>
        <w:gridCol w:w="74"/>
        <w:gridCol w:w="846"/>
        <w:gridCol w:w="60"/>
        <w:gridCol w:w="60"/>
        <w:gridCol w:w="105"/>
        <w:gridCol w:w="980"/>
        <w:gridCol w:w="215"/>
        <w:gridCol w:w="60"/>
        <w:gridCol w:w="97"/>
        <w:gridCol w:w="913"/>
        <w:gridCol w:w="215"/>
        <w:gridCol w:w="60"/>
        <w:gridCol w:w="60"/>
        <w:gridCol w:w="980"/>
        <w:gridCol w:w="60"/>
        <w:gridCol w:w="60"/>
        <w:gridCol w:w="74"/>
        <w:gridCol w:w="846"/>
        <w:gridCol w:w="60"/>
        <w:gridCol w:w="60"/>
        <w:gridCol w:w="119"/>
        <w:gridCol w:w="966"/>
        <w:gridCol w:w="215"/>
        <w:gridCol w:w="60"/>
        <w:gridCol w:w="111"/>
        <w:gridCol w:w="899"/>
        <w:gridCol w:w="230"/>
      </w:tblGrid>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Ordinary shares beneficially owned </w:t>
              <w:br/>
              <w:t>prior to this 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Ordinary shares beneficially owned</w:t>
              <w:br/>
              <w:t>immediately after this offering</w:t>
            </w:r>
          </w:p>
        </w:tc>
        <w:tc>
          <w:tcPr>
            <w:tcW w:w="23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beneficial</w:t>
              <w:br/>
              <w:t>ownership</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aggregate</w:t>
              <w:br/>
              <w:t>voting</w:t>
              <w:br/>
              <w:t>power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beneficial</w:t>
              <w:br/>
              <w:t>ownership</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aggregate</w:t>
              <w:br/>
              <w:t>voting</w:t>
              <w:br/>
              <w:t>power</w:t>
            </w:r>
          </w:p>
        </w:tc>
        <w:tc>
          <w:tcPr>
            <w:tcW w:w="23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b/>
              </w:rPr>
            </w:pPr>
            <w:r>
              <w:rPr>
                <w:b/>
              </w:rPr>
              <w:t>Directors and Executive Officers: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200"/>
              <w:jc w:val="left"/>
              <w:rPr/>
            </w:pPr>
            <w:r>
              <w:rPr/>
              <w:t> </w:t>
            </w:r>
          </w:p>
        </w:tc>
      </w:tr>
      <w:tr>
        <w:trPr/>
        <w:tc>
          <w:tcPr>
            <w:tcW w:w="1880" w:type="dxa"/>
            <w:tcBorders/>
            <w:shd w:fill="CCEEFF" w:val="clear"/>
            <w:vAlign w:val="center"/>
          </w:tcPr>
          <w:p>
            <w:pPr>
              <w:pStyle w:val="TableContents"/>
              <w:bidi w:val="0"/>
              <w:spacing w:before="0" w:after="283"/>
              <w:jc w:val="left"/>
              <w:rPr/>
            </w:pPr>
            <w:r>
              <w:rPr/>
              <w:t>Wing Fung Alfred Siu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6,321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17.23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6,321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0.08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w:t>
            </w:r>
          </w:p>
        </w:tc>
        <w:tc>
          <w:tcPr>
            <w:tcW w:w="230" w:type="dxa"/>
            <w:tcBorders/>
            <w:shd w:fill="CCEEFF" w:val="clear"/>
            <w:vAlign w:val="center"/>
          </w:tcPr>
          <w:p>
            <w:pPr>
              <w:pStyle w:val="TableContents"/>
              <w:bidi w:val="0"/>
              <w:spacing w:before="0" w:after="283"/>
              <w:jc w:val="left"/>
              <w:rPr/>
            </w:pPr>
            <w:r>
              <w:rPr/>
              <w:t>%</w:t>
            </w:r>
          </w:p>
        </w:tc>
      </w:tr>
      <w:tr>
        <w:trPr/>
        <w:tc>
          <w:tcPr>
            <w:tcW w:w="1880" w:type="dxa"/>
            <w:tcBorders/>
            <w:shd w:fill="FFFFFF" w:val="clear"/>
            <w:vAlign w:val="center"/>
          </w:tcPr>
          <w:p>
            <w:pPr>
              <w:pStyle w:val="TableContents"/>
              <w:bidi w:val="0"/>
              <w:spacing w:before="0" w:after="283"/>
              <w:jc w:val="left"/>
              <w:rPr/>
            </w:pPr>
            <w:r>
              <w:rPr/>
              <w:t>Hei Yue Tina Fong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6,322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17.23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6,322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0.08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6.93</w:t>
            </w:r>
          </w:p>
        </w:tc>
        <w:tc>
          <w:tcPr>
            <w:tcW w:w="230" w:type="dxa"/>
            <w:tcBorders/>
            <w:shd w:fill="FFFFFF" w:val="clear"/>
            <w:vAlign w:val="center"/>
          </w:tcPr>
          <w:p>
            <w:pPr>
              <w:pStyle w:val="TableContents"/>
              <w:bidi w:val="0"/>
              <w:spacing w:before="0" w:after="283"/>
              <w:ind w:left="0" w:right="0" w:hanging="200"/>
              <w:jc w:val="left"/>
              <w:rPr/>
            </w:pPr>
            <w:r>
              <w:rPr/>
              <w:t>%</w:t>
            </w:r>
          </w:p>
        </w:tc>
      </w:tr>
      <w:tr>
        <w:trPr/>
        <w:tc>
          <w:tcPr>
            <w:tcW w:w="1880" w:type="dxa"/>
            <w:tcBorders/>
            <w:shd w:fill="CCEEFF" w:val="clear"/>
            <w:vAlign w:val="center"/>
          </w:tcPr>
          <w:p>
            <w:pPr>
              <w:pStyle w:val="TableContents"/>
              <w:bidi w:val="0"/>
              <w:spacing w:before="0" w:after="283"/>
              <w:jc w:val="left"/>
              <w:rPr/>
            </w:pPr>
            <w:r>
              <w:rPr/>
              <w:t>Hok Man Jefferson Au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Chun Wa Tam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1880" w:type="dxa"/>
            <w:tcBorders/>
            <w:shd w:fill="CCEEFF" w:val="clear"/>
            <w:vAlign w:val="center"/>
          </w:tcPr>
          <w:p>
            <w:pPr>
              <w:pStyle w:val="TableContents"/>
              <w:bidi w:val="0"/>
              <w:spacing w:before="0" w:after="283"/>
              <w:jc w:val="left"/>
              <w:rPr/>
            </w:pPr>
            <w:r>
              <w:rPr/>
              <w:t>Florianna Ann Chi Wan Chan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880" w:type="dxa"/>
            <w:tcBorders/>
            <w:shd w:fill="FFFFFF" w:val="clear"/>
            <w:vAlign w:val="center"/>
          </w:tcPr>
          <w:p>
            <w:pPr>
              <w:pStyle w:val="TableContents"/>
              <w:bidi w:val="0"/>
              <w:spacing w:before="0" w:after="283"/>
              <w:jc w:val="left"/>
              <w:rPr/>
            </w:pPr>
            <w:r>
              <w:rPr/>
              <w:t>Lee Sze Mun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1880" w:type="dxa"/>
            <w:tcBorders/>
            <w:shd w:fill="CCEEFF" w:val="clear"/>
            <w:vAlign w:val="center"/>
          </w:tcPr>
          <w:p>
            <w:pPr>
              <w:pStyle w:val="TableContents"/>
              <w:bidi w:val="0"/>
              <w:spacing w:before="0" w:after="283"/>
              <w:jc w:val="left"/>
              <w:rPr/>
            </w:pPr>
            <w:r>
              <w:rPr/>
              <w:t>Kong Yiu Cheung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1,240,741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33.82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1,240,741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1880" w:type="dxa"/>
            <w:tcBorders/>
            <w:shd w:fill="FFFFFF" w:val="clear"/>
            <w:vAlign w:val="center"/>
          </w:tcPr>
          <w:p>
            <w:pPr>
              <w:pStyle w:val="TableContents"/>
              <w:bidi w:val="0"/>
              <w:spacing w:before="0" w:after="283"/>
              <w:jc w:val="left"/>
              <w:rPr/>
            </w:pPr>
            <w:r>
              <w:rPr/>
              <w:t>Lam Chun Tung Patrick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Ho Fai Chung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880" w:type="dxa"/>
            <w:tcBorders/>
            <w:shd w:fill="FFFFFF" w:val="clear"/>
            <w:vAlign w:val="center"/>
          </w:tcPr>
          <w:p>
            <w:pPr>
              <w:pStyle w:val="TableContents"/>
              <w:bidi w:val="0"/>
              <w:spacing w:before="0" w:after="283"/>
              <w:jc w:val="left"/>
              <w:rPr>
                <w:b/>
              </w:rPr>
            </w:pPr>
            <w:r>
              <w:rPr>
                <w:b/>
              </w:rPr>
              <w:t>All Directors and Executive Officers as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1,240,741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12,643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68.28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12,643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27.46</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As of the date of this prospectus, there are 2,404,787 Class A Ordinary Shares and 12,643 Class B Ordinary Shares issued and outstanding. Information with respect to beneficial ownership has been furnished by each director, officer or beneficial owner of more than 5% of our Class A Ordinary Shares and/or Class B Ordinary Shares. Beneficial ownership is determined in accordance with the rules of the SEC and generally requires that such person have voting or investment power with respect to securities. As of the date of this prospectus, we have 3,388 registered shareholders of record of Class A Ordinary Shares and 2 registered shareholders of record of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k_014a"/>
      <w:bookmarkEnd w:id="16"/>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4, 2026 and August 10, 2026, we issued a series of convertible promissory notes (collectively, the “Notes”) to Vanquish Funding Group Inc. (“Vanquish”), White Lion Capital LLC (“White Lion”) and Pacific Pier Capital II, LP (“Pacific Pier” and, together with Vanquish and White Lion, the “Selling Securityholders”), pursuant to separate securities purchase agreements between us and each Selling Securityholder,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283"/>
              <w:jc w:val="both"/>
              <w:rPr/>
            </w:pPr>
            <w:r>
              <w:rPr/>
              <w:t>Vanquish: Notes dated May 4, 2026 ($207,000 principal amount), June 2, 2026 ($132,000 principal amount) and August 10, 2026 ($100,000 principal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(ii)</w:t>
            </w:r>
          </w:p>
        </w:tc>
        <w:tc>
          <w:tcPr>
            <w:tcW w:w="9917" w:type="dxa"/>
            <w:tcBorders/>
            <w:vAlign w:val="center"/>
          </w:tcPr>
          <w:p>
            <w:pPr>
              <w:pStyle w:val="TableContents"/>
              <w:bidi w:val="0"/>
              <w:spacing w:before="0" w:after="283"/>
              <w:jc w:val="both"/>
              <w:rPr/>
            </w:pPr>
            <w:r>
              <w:rPr/>
              <w:t>White Lion: Notes dated April 27, 2026 ($200,000 principal amount), May 26, 2026 ($166,667 principal amount), June 8, 2026 ($83,334 principal amount) and June 22, 2026 ($111,111 principal amount); and</w:t>
            </w:r>
          </w:p>
        </w:tc>
      </w:tr>
    </w:tbl>
    <w:p>
      <w:pPr>
        <w:pStyle w:val="TextBody"/>
        <w:bidi w:val="0"/>
        <w:spacing w:before="0" w:after="0"/>
        <w:ind w:left="0" w:right="0" w:hanging="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35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6545" w:type="dxa"/>
            <w:tcBorders/>
            <w:vAlign w:val="center"/>
          </w:tcPr>
          <w:p>
            <w:pPr>
              <w:pStyle w:val="TableContents"/>
              <w:bidi w:val="0"/>
              <w:spacing w:before="0" w:after="283"/>
              <w:jc w:val="both"/>
              <w:rPr/>
            </w:pPr>
            <w:r>
              <w:rPr/>
              <w:t>Pacific Pier: Note dated April 14, 2026 ($200,000 principal amount).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is convertible into Class A Ordinary Shares at a conversion price equal to 75% of the “Market Price” (as defined in the applicable Note), representing a 25% discount to the lowest traded price of our Class A Ordinary Shares over the ten (10) Trading Days ending on the last complete Trading Day prior to the applicable conversion date, subject in each case to a beneficial ownership limitation of 4.99% (or, at the election of the holder, up to 9.99% for the White Lion and Pacific Pier Notes) of our outstanding Class A Ordinary Shares. Each Note (in the case of Vanquish) and the related securities purchase agreement (in the case of White Lion and Pacific Pier) grants the applicable Selling Securityholder piggyback registration rights, pursuant to which we agreed that if we determined to register any of our Class A Ordinary Shares under the Securities Act (subject to customary exceptions), we would give the Selling Securityholder notice of such determination and, subject to the applicable notice, objection and/or request procedures set forth in the Notes and securities purchase agreements, include in such registration statement all shares of Class A Ordinary Shares issuable upon conversion of the Notes (the “Registrable Securities”). We are registering the Registrable Securities described in the table below pursuant to those piggyback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each Selling Securityholder, the number of Class A Ordinary Shares beneficially owned immediately prior to this offering, the maximum number of shares being registered for resale pursuant to this prospectus, and the number of shares that would be beneficially owned immediately after this offering, assuming the sale of all shares registered hereby. As the number of Class A Ordinary Shares issuable upon conversion of the Notes will fluctuate with, and increase as, the market price of our Class A Ordinary Shares declines, we are registering 300% of the number of Class A Ordinary Shares issuable upon full conversion of the Notes calculated as described below. The number of shares being registered for each Selling Securityholder is based on the outstanding principal amount of the applicable Notes and an assumed Conversion Price of $0.825 per share (75% of $1.10, the closing price of our Class A Ordinary Shares on the Nasdaq Capital Market on September 9, 2026, rounded up to the nearest whole share, and excludes any accrued and unpaid interest that a Selling Securityholder may elect to include in the Conversion Amount under the applicable Note.</w:t>
      </w:r>
    </w:p>
    <w:p>
      <w:pPr>
        <w:pStyle w:val="TextBody"/>
        <w:bidi w:val="0"/>
        <w:spacing w:before="0" w:after="0"/>
        <w:ind w:left="0" w:right="0" w:firstLine="720"/>
        <w:jc w:val="both"/>
        <w:rPr>
          <w:caps w:val="false"/>
          <w:smallCaps w:val="false"/>
        </w:rPr>
      </w:pPr>
      <w:r>
        <w:rPr>
          <w:caps w:val="false"/>
          <w:smallCaps w:val="false"/>
        </w:rPr>
        <w:t> </w:t>
      </w:r>
    </w:p>
    <w:tbl>
      <w:tblPr>
        <w:tblW w:w="10265" w:type="dxa"/>
        <w:jc w:val="left"/>
        <w:tblInd w:w="0" w:type="dxa"/>
        <w:tblLayout w:type="fixed"/>
        <w:tblCellMar>
          <w:top w:w="0" w:type="dxa"/>
          <w:left w:w="0" w:type="dxa"/>
          <w:bottom w:w="28" w:type="dxa"/>
          <w:right w:w="0" w:type="dxa"/>
        </w:tblCellMar>
      </w:tblPr>
      <w:tblGrid>
        <w:gridCol w:w="1370"/>
        <w:gridCol w:w="60"/>
        <w:gridCol w:w="1355"/>
        <w:gridCol w:w="60"/>
        <w:gridCol w:w="100"/>
        <w:gridCol w:w="940"/>
        <w:gridCol w:w="60"/>
        <w:gridCol w:w="60"/>
        <w:gridCol w:w="124"/>
        <w:gridCol w:w="916"/>
        <w:gridCol w:w="260"/>
        <w:gridCol w:w="60"/>
        <w:gridCol w:w="68"/>
        <w:gridCol w:w="1122"/>
        <w:gridCol w:w="60"/>
        <w:gridCol w:w="60"/>
        <w:gridCol w:w="60"/>
        <w:gridCol w:w="980"/>
        <w:gridCol w:w="60"/>
        <w:gridCol w:w="60"/>
        <w:gridCol w:w="100"/>
        <w:gridCol w:w="940"/>
        <w:gridCol w:w="60"/>
        <w:gridCol w:w="60"/>
        <w:gridCol w:w="124"/>
        <w:gridCol w:w="916"/>
        <w:gridCol w:w="230"/>
      </w:tblGrid>
      <w:tr>
        <w:trPr/>
        <w:tc>
          <w:tcPr>
            <w:tcW w:w="137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Security holder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355" w:type="dxa"/>
            <w:tcBorders>
              <w:bottom w:val="single" w:sz="12" w:space="0" w:color="000000"/>
            </w:tcBorders>
            <w:vAlign w:val="center"/>
          </w:tcPr>
          <w:p>
            <w:pPr>
              <w:pStyle w:val="TableContents"/>
              <w:bidi w:val="0"/>
              <w:spacing w:before="0" w:after="283"/>
              <w:jc w:val="center"/>
              <w:rPr>
                <w:b/>
              </w:rPr>
            </w:pPr>
            <w:r>
              <w:rPr>
                <w:b/>
              </w:rPr>
              <w:t>Notes / Agreements</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br/>
              <w:t>Beneficially</w:t>
              <w:br/>
              <w:t>Owned</w:t>
              <w:br/>
              <w:t>Before this</w:t>
              <w:br/>
              <w:t xml:space="preserve">Offering </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 to</w:t>
              <w:br/>
              <w:t xml:space="preserve">Offering </w:t>
            </w:r>
            <w:r>
              <w:rPr>
                <w:rFonts w:ascii="Times New Roman;Times;Serif" w:hAnsi="Times New Roman;Times;Serif"/>
                <w:b/>
                <w:i w:val="false"/>
                <w:caps w:val="false"/>
                <w:smallCaps w:val="false"/>
                <w:position w:val="7"/>
                <w:sz w:val="16"/>
                <w:sz w:val="20"/>
              </w:rPr>
              <w:t>(2)</w:t>
            </w:r>
          </w:p>
        </w:tc>
        <w:tc>
          <w:tcPr>
            <w:tcW w:w="2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b/>
              </w:rPr>
            </w:pPr>
            <w:r>
              <w:rPr>
                <w:b/>
              </w:rPr>
              <w:t>Shares Issuable Upon Full Conversion of the Notes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 of</w:t>
              <w:br/>
              <w:t>Shares</w:t>
              <w:br/>
              <w:t>Being</w:t>
              <w:br/>
              <w:t xml:space="preserve">Registered </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br/>
              <w:t>Beneficially</w:t>
              <w:br/>
              <w:t>Owned</w:t>
              <w:br/>
              <w:t>After this</w:t>
              <w:br/>
              <w:t xml:space="preserve">Offering </w:t>
            </w:r>
            <w:r>
              <w:rPr>
                <w:rFonts w:ascii="Times New Roman;Times;Serif" w:hAnsi="Times New Roman;Times;Serif"/>
                <w:b/>
                <w:position w:val="7"/>
                <w:sz w:val="16"/>
                <w:sz w:val="20"/>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Offering </w:t>
            </w:r>
            <w:r>
              <w:rPr>
                <w:rFonts w:ascii="Times New Roman;Times;Serif" w:hAnsi="Times New Roman;Times;Serif"/>
                <w:b/>
                <w:i w:val="false"/>
                <w:caps w:val="false"/>
                <w:smallCaps w:val="false"/>
                <w:position w:val="7"/>
                <w:sz w:val="16"/>
                <w:sz w:val="20"/>
              </w:rPr>
              <w:t>(4)</w:t>
            </w:r>
          </w:p>
        </w:tc>
        <w:tc>
          <w:tcPr>
            <w:tcW w:w="230" w:type="dxa"/>
            <w:tcBorders/>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Vanquish Funding Group Inc.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Notes dated May 4, 2026, June 2, 2026 and August 10,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pPr>
            <w:r>
              <w:rPr/>
              <w:t>0</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532,121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1,596,364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White Lion Capital LLC </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SPAs/Notes dated April 27, 2026, May 26, 2026, June 8, 2026 and June 22,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940" w:type="dxa"/>
            <w:tcBorders/>
            <w:shd w:fill="FFFFFF" w:val="clear"/>
            <w:tcMar>
              <w:bottom w:w="0" w:type="dxa"/>
            </w:tcMar>
            <w:vAlign w:val="center"/>
          </w:tcPr>
          <w:p>
            <w:pPr>
              <w:pStyle w:val="TableContents"/>
              <w:bidi w:val="0"/>
              <w:spacing w:before="0" w:after="283"/>
              <w:jc w:val="right"/>
              <w:rPr/>
            </w:pPr>
            <w:r>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0.39</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680,136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2,040,407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940" w:type="dxa"/>
            <w:tcBorders/>
            <w:shd w:fill="FFFFFF" w:val="clear"/>
            <w:tcMar>
              <w:bottom w:w="0" w:type="dxa"/>
            </w:tcMar>
            <w:vAlign w:val="center"/>
          </w:tcPr>
          <w:p>
            <w:pPr>
              <w:pStyle w:val="TableContents"/>
              <w:bidi w:val="0"/>
              <w:spacing w:before="0" w:after="283"/>
              <w:jc w:val="right"/>
              <w:rPr/>
            </w:pPr>
            <w:r>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0.24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Pacific Pier Capital II, LP </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SPA/Note dated April 14,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940" w:type="dxa"/>
            <w:tcBorders>
              <w:bottom w:val="single" w:sz="12" w:space="0" w:color="000000"/>
            </w:tcBorders>
            <w:shd w:fill="CCEEFF" w:val="cle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bottom w:val="single" w:sz="12" w:space="0" w:color="000000"/>
            </w:tcBorders>
            <w:shd w:fill="CCEEFF" w:val="clear"/>
            <w:vAlign w:val="center"/>
          </w:tcPr>
          <w:p>
            <w:pPr>
              <w:pStyle w:val="TableContents"/>
              <w:bidi w:val="0"/>
              <w:spacing w:before="0" w:after="283"/>
              <w:jc w:val="left"/>
              <w:rPr/>
            </w:pPr>
            <w:r>
              <w:rPr/>
              <w:t> </w:t>
            </w:r>
          </w:p>
        </w:tc>
        <w:tc>
          <w:tcPr>
            <w:tcW w:w="916" w:type="dxa"/>
            <w:tcBorders>
              <w:bottom w:val="single" w:sz="12" w:space="0" w:color="000000"/>
            </w:tcBorders>
            <w:shd w:fill="CCEEFF" w:val="clear"/>
            <w:vAlign w:val="center"/>
          </w:tcPr>
          <w:p>
            <w:pPr>
              <w:pStyle w:val="TableContents"/>
              <w:bidi w:val="0"/>
              <w:spacing w:before="0" w:after="283"/>
              <w:jc w:val="right"/>
              <w:rPr/>
            </w:pPr>
            <w:r>
              <w:rPr/>
              <w:t>0</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1122" w:type="dxa"/>
            <w:tcBorders>
              <w:bottom w:val="single" w:sz="12" w:space="0" w:color="000000"/>
            </w:tcBorders>
            <w:shd w:fill="CCEEFF" w:val="clear"/>
            <w:vAlign w:val="center"/>
          </w:tcPr>
          <w:p>
            <w:pPr>
              <w:pStyle w:val="TableContents"/>
              <w:bidi w:val="0"/>
              <w:spacing w:before="0" w:after="283"/>
              <w:jc w:val="right"/>
              <w:rPr/>
            </w:pPr>
            <w:r>
              <w:rPr/>
              <w:t>242,424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727,273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940" w:type="dxa"/>
            <w:tcBorders>
              <w:bottom w:val="single" w:sz="12" w:space="0" w:color="000000"/>
            </w:tcBorders>
            <w:shd w:fill="CCEEFF" w:val="cle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bottom w:val="single" w:sz="12" w:space="0" w:color="000000"/>
            </w:tcBorders>
            <w:shd w:fill="CCEEFF" w:val="clear"/>
            <w:vAlign w:val="center"/>
          </w:tcPr>
          <w:p>
            <w:pPr>
              <w:pStyle w:val="TableContents"/>
              <w:bidi w:val="0"/>
              <w:spacing w:before="0" w:after="283"/>
              <w:jc w:val="left"/>
              <w:rPr/>
            </w:pPr>
            <w:r>
              <w:rPr/>
              <w:t> </w:t>
            </w:r>
          </w:p>
        </w:tc>
        <w:tc>
          <w:tcPr>
            <w:tcW w:w="916" w:type="dxa"/>
            <w:tcBorders>
              <w:bottom w:val="single" w:sz="12" w:space="0" w:color="000000"/>
            </w:tcBorders>
            <w:shd w:fill="CCEEFF" w:val="cle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double" w:sz="10" w:space="0" w:color="000000"/>
            </w:tcBorders>
            <w:shd w:fill="FFFFFF" w:val="clear"/>
            <w:vAlign w:val="center"/>
          </w:tcPr>
          <w:p>
            <w:pPr>
              <w:pStyle w:val="TableContents"/>
              <w:bidi w:val="0"/>
              <w:spacing w:before="0" w:after="283"/>
              <w:jc w:val="left"/>
              <w:rPr/>
            </w:pPr>
            <w:r>
              <w:rPr/>
              <w:t> </w:t>
            </w:r>
          </w:p>
        </w:tc>
        <w:tc>
          <w:tcPr>
            <w:tcW w:w="940" w:type="dxa"/>
            <w:tcBorders>
              <w:bottom w:val="double" w:sz="10" w:space="0" w:color="000000"/>
            </w:tcBorders>
            <w:shd w:fill="FFFFFF" w:val="clear"/>
            <w:vAlign w:val="center"/>
          </w:tcPr>
          <w:p>
            <w:pPr>
              <w:pStyle w:val="TableContents"/>
              <w:bidi w:val="0"/>
              <w:spacing w:before="0" w:after="283"/>
              <w:jc w:val="right"/>
              <w:rPr>
                <w:b/>
              </w:rPr>
            </w:pPr>
            <w:r>
              <w:rPr>
                <w:b/>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bottom w:val="double" w:sz="10" w:space="0" w:color="000000"/>
            </w:tcBorders>
            <w:shd w:fill="FFFFFF" w:val="clear"/>
            <w:vAlign w:val="center"/>
          </w:tcPr>
          <w:p>
            <w:pPr>
              <w:pStyle w:val="TableContents"/>
              <w:bidi w:val="0"/>
              <w:spacing w:before="0" w:after="283"/>
              <w:jc w:val="left"/>
              <w:rPr/>
            </w:pPr>
            <w:r>
              <w:rPr/>
              <w:t> </w:t>
            </w:r>
          </w:p>
        </w:tc>
        <w:tc>
          <w:tcPr>
            <w:tcW w:w="916" w:type="dxa"/>
            <w:tcBorders>
              <w:bottom w:val="double" w:sz="10" w:space="0" w:color="000000"/>
            </w:tcBorders>
            <w:shd w:fill="FFFFFF" w:val="clear"/>
            <w:vAlign w:val="center"/>
          </w:tcPr>
          <w:p>
            <w:pPr>
              <w:pStyle w:val="TableContents"/>
              <w:bidi w:val="0"/>
              <w:spacing w:before="0" w:after="283"/>
              <w:jc w:val="right"/>
              <w:rPr>
                <w:b/>
              </w:rPr>
            </w:pPr>
            <w:r>
              <w:rPr>
                <w:b/>
              </w:rPr>
              <w:t>0.39</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double" w:sz="10" w:space="0" w:color="000000"/>
            </w:tcBorders>
            <w:shd w:fill="FFFFFF" w:val="clear"/>
            <w:vAlign w:val="center"/>
          </w:tcPr>
          <w:p>
            <w:pPr>
              <w:pStyle w:val="TableContents"/>
              <w:bidi w:val="0"/>
              <w:spacing w:before="0" w:after="283"/>
              <w:jc w:val="left"/>
              <w:rPr/>
            </w:pPr>
            <w:r>
              <w:rPr/>
              <w:t> </w:t>
            </w:r>
          </w:p>
        </w:tc>
        <w:tc>
          <w:tcPr>
            <w:tcW w:w="1122" w:type="dxa"/>
            <w:tcBorders>
              <w:bottom w:val="double" w:sz="10" w:space="0" w:color="000000"/>
            </w:tcBorders>
            <w:shd w:fill="FFFFFF" w:val="clear"/>
            <w:vAlign w:val="center"/>
          </w:tcPr>
          <w:p>
            <w:pPr>
              <w:pStyle w:val="TableContents"/>
              <w:bidi w:val="0"/>
              <w:spacing w:before="0" w:after="283"/>
              <w:jc w:val="right"/>
              <w:rPr/>
            </w:pPr>
            <w:r>
              <w:rPr/>
              <w:t>1,454,681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980" w:type="dxa"/>
            <w:tcBorders>
              <w:bottom w:val="double" w:sz="10" w:space="0" w:color="000000"/>
            </w:tcBorders>
            <w:shd w:fill="FFFFFF" w:val="clear"/>
            <w:vAlign w:val="center"/>
          </w:tcPr>
          <w:p>
            <w:pPr>
              <w:pStyle w:val="TableContents"/>
              <w:bidi w:val="0"/>
              <w:spacing w:before="0" w:after="283"/>
              <w:jc w:val="right"/>
              <w:rPr/>
            </w:pPr>
            <w:r>
              <w:rPr/>
              <w:t>4,364,044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double" w:sz="10" w:space="0" w:color="000000"/>
            </w:tcBorders>
            <w:shd w:fill="FFFFFF" w:val="clear"/>
            <w:vAlign w:val="center"/>
          </w:tcPr>
          <w:p>
            <w:pPr>
              <w:pStyle w:val="TableContents"/>
              <w:bidi w:val="0"/>
              <w:spacing w:before="0" w:after="283"/>
              <w:jc w:val="left"/>
              <w:rPr/>
            </w:pPr>
            <w:r>
              <w:rPr/>
              <w:t> </w:t>
            </w:r>
          </w:p>
        </w:tc>
        <w:tc>
          <w:tcPr>
            <w:tcW w:w="940" w:type="dxa"/>
            <w:tcBorders>
              <w:bottom w:val="double" w:sz="10" w:space="0" w:color="000000"/>
            </w:tcBorders>
            <w:shd w:fill="FFFFFF" w:val="clear"/>
            <w:vAlign w:val="center"/>
          </w:tcPr>
          <w:p>
            <w:pPr>
              <w:pStyle w:val="TableContents"/>
              <w:bidi w:val="0"/>
              <w:spacing w:before="0" w:after="283"/>
              <w:jc w:val="right"/>
              <w:rPr/>
            </w:pPr>
            <w:r>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bottom w:val="double" w:sz="10" w:space="0" w:color="000000"/>
            </w:tcBorders>
            <w:shd w:fill="FFFFFF" w:val="clear"/>
            <w:vAlign w:val="center"/>
          </w:tcPr>
          <w:p>
            <w:pPr>
              <w:pStyle w:val="TableContents"/>
              <w:bidi w:val="0"/>
              <w:spacing w:before="0" w:after="283"/>
              <w:jc w:val="left"/>
              <w:rPr/>
            </w:pPr>
            <w:r>
              <w:rPr/>
              <w:t> </w:t>
            </w:r>
          </w:p>
        </w:tc>
        <w:tc>
          <w:tcPr>
            <w:tcW w:w="916" w:type="dxa"/>
            <w:tcBorders>
              <w:bottom w:val="double" w:sz="10" w:space="0" w:color="000000"/>
            </w:tcBorders>
            <w:shd w:fill="FFFFFF" w:val="clear"/>
            <w:vAlign w:val="center"/>
          </w:tcPr>
          <w:p>
            <w:pPr>
              <w:pStyle w:val="TableContents"/>
              <w:bidi w:val="0"/>
              <w:spacing w:before="0" w:after="283"/>
              <w:jc w:val="right"/>
              <w:rPr/>
            </w:pPr>
            <w:r>
              <w:rPr/>
              <w:t>0.24</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Except for their respective interests in the Notes described above, none of the Selling Securityholders has, to our knowledge, held any position or office, or had any other material relationship, with us or any of our affiliates within the past three years.</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The applicable percentage of beneficial ownership is calculated based on the total number of ordinary shares issued and outstanding, being 2,417,430 shares as of the date of this prospectus</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283"/>
              <w:jc w:val="both"/>
              <w:rPr/>
            </w:pPr>
            <w:r>
              <w:rPr/>
              <w:t>Assumes conversion in full of the applicable Notes at the assumed Conversion Price described above, without regard to the 4.99%/9.99% beneficial ownership limitation applicable to actual conversions. The actual number of shares issuable upon conversion of the Notes will fluctuate with the market price of our Class A Ordinary Shares and may be higher or lower than the amounts shown.</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both"/>
              <w:rPr/>
            </w:pPr>
            <w:r>
              <w:rPr/>
              <w:t>Assumes the sale of all Registrable Securities offered by each Selling Securityholder pursuant to this prospectus and no other purchase or sale of our Class A Ordinary Shares by such Selling Securityholder.</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(5)</w:t>
            </w:r>
          </w:p>
        </w:tc>
        <w:tc>
          <w:tcPr>
            <w:tcW w:w="9907" w:type="dxa"/>
            <w:tcBorders/>
            <w:vAlign w:val="center"/>
          </w:tcPr>
          <w:p>
            <w:pPr>
              <w:pStyle w:val="TableContents"/>
              <w:bidi w:val="0"/>
              <w:spacing w:before="0" w:after="283"/>
              <w:jc w:val="both"/>
              <w:rPr/>
            </w:pPr>
            <w:r>
              <w:rPr/>
              <w:t>The business address of Vanquish Funding Group Inc. is 1800 Diagonal Road, Suite 623, Alexandria VA 22314.</w:t>
            </w:r>
          </w:p>
        </w:tc>
      </w:tr>
    </w:tbl>
    <w:tbl>
      <w:tblPr>
        <w:tblW w:w="9070" w:type="dxa"/>
        <w:jc w:val="left"/>
        <w:tblInd w:w="0" w:type="dxa"/>
        <w:tblLayout w:type="fixed"/>
        <w:tblCellMar>
          <w:top w:w="0" w:type="dxa"/>
          <w:left w:w="0" w:type="dxa"/>
          <w:bottom w:w="0" w:type="dxa"/>
          <w:right w:w="0" w:type="dxa"/>
        </w:tblCellMar>
      </w:tblPr>
      <w:tblGrid>
        <w:gridCol w:w="305"/>
        <w:gridCol w:w="8765"/>
      </w:tblGrid>
      <w:tr>
        <w:trPr/>
        <w:tc>
          <w:tcPr>
            <w:tcW w:w="305" w:type="dxa"/>
            <w:tcBorders/>
            <w:vAlign w:val="center"/>
          </w:tcPr>
          <w:p>
            <w:pPr>
              <w:pStyle w:val="TableContents"/>
              <w:bidi w:val="0"/>
              <w:spacing w:before="0" w:after="283"/>
              <w:jc w:val="left"/>
              <w:rPr/>
            </w:pPr>
            <w:r>
              <w:rPr/>
              <w:t>(6)</w:t>
            </w:r>
          </w:p>
        </w:tc>
        <w:tc>
          <w:tcPr>
            <w:tcW w:w="8765" w:type="dxa"/>
            <w:tcBorders/>
            <w:vAlign w:val="center"/>
          </w:tcPr>
          <w:p>
            <w:pPr>
              <w:pStyle w:val="TableContents"/>
              <w:bidi w:val="0"/>
              <w:spacing w:before="0" w:after="283"/>
              <w:jc w:val="both"/>
              <w:rPr/>
            </w:pPr>
            <w:r>
              <w:rPr/>
              <w:t>The business address of White Lion is 17631 Ventura Blvd, Suite 1008, Encino, CA 91316.</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(7)</w:t>
            </w:r>
          </w:p>
        </w:tc>
        <w:tc>
          <w:tcPr>
            <w:tcW w:w="9904" w:type="dxa"/>
            <w:tcBorders/>
            <w:vAlign w:val="center"/>
          </w:tcPr>
          <w:p>
            <w:pPr>
              <w:pStyle w:val="TableContents"/>
              <w:bidi w:val="0"/>
              <w:spacing w:before="0" w:after="283"/>
              <w:jc w:val="both"/>
              <w:rPr/>
            </w:pPr>
            <w:r>
              <w:rPr/>
              <w:t>The business address of Pacific Pier Capital II, LP is 285 Imperial Highway, Suite 203, Fullerton, CA 92835.</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Selling Securityholders is a broker-dealer or, to our knowledge, an affiliate of a broker-dealer. We will not receive any proceeds from the sale of shares by the Selling Securityholders. We have agreed to bear all expenses in connection with the registration of the shares offered by the Selling Securityholders, other than underwriting discounts, selling commissions and stock transfer taxes applicable to the sale of such shares, which will be borne by the applicable Selling Securityholder. See “Plan of Distribution.”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5,454,545 Class A Ordinary Shares at an assumed public offering price of $1.1 per share, based upon the closing price of our Class A Ordinary Shares on The Nasdaq Capital Market on September 9,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Pre-Funded Warrants, in lieu of Class A Ordinary Shares, to each purchaser whose purchase of Class A Ordinary Shares in this offering would otherwise result in the purchaser, together with its affiliates and certain related parties, beneficially owning in excess of 4.99% (or, at the election of the purchaser, 9.99%) of our outstanding Class A Ordinary Shares immediately following the consummation of this offering. Each Pre-Funded Warrant will be exercisable for one Class A Ordinary Share. Subject to limited exceptions, a holder of Pre-Funded Warrants will not have the right to exercise any portion of its Pre-Funded Warrants if the holder, together with its affiliates, would beneficially own in excess of 4.99% (or, at the election of the holder, 9.99%) of the number of Class A Ordinary Shares outstanding immediately after giving effect to such exercise. The purchase price of each Pre-Funded Warrant will equal the public offering price per Class A Ordinary Share less $0.00001, and the exercise price of each Pre-Funded Warrant will be $0.00001 per Class A Ordinary Share. The Pre-Funded Warrants will be immediately exercisable (subject to the beneficial ownership limitation) and may be exercised at any time until exercised in full. For each Pre-Funded Warrant we sell, the number of Class A Ordinary Shares that we are offering will be decreased on a one-for-one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any fractional Pre-Funded Warrants in this offering and will round down the number of Pre-Funded Warrants any purchaser would otherwise receive to the nearest whole number.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Class A Ordinary Shares issuable from time to time upon exercise of the Pre-Funded Warrants offered hereby. We are not offering units, and the Class A Ordinary Shares and the Pre-Funded Warrants are being offered separately and not as a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A Ordinary Shares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“Description of Share Capital” in this prospectus for a description of the material terms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terms and provisions of the Pre-Funded Warrants offered hereby is not complete and is subject to, and qualified in its entirety by, the provisions of the form of Pre-Funded Warrant, which will be filed as an exhibit to the registration statement of which this prospectus forms a part. Prospective investors should carefully review the terms and provisions set forth in the form of Pre-Funded Warrant. The Pre-Funded Warrants will be issued in certificated form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Exercisability</w:t>
      </w:r>
      <w:r>
        <w:rPr>
          <w:rFonts w:ascii="Times New Roman;Times;Serif" w:hAnsi="Times New Roman;Times;Serif"/>
          <w:b w:val="false"/>
          <w:i w:val="false"/>
          <w:caps w:val="false"/>
          <w:smallCaps w:val="false"/>
          <w:sz w:val="20"/>
        </w:rPr>
        <w:t>. The Pre-Funded Warrants are exercisable at any time after their original issuance until they are exercised in full. The Pre-Funded Warrants will be exercisable, at the option of each holder, in whole or in part by delivering to us a duly executed exercise notice with payment in full in immediately available funds for the number of Class A Ordinary Shares purchased upon such exercise (except in the case of a cashless exercise, as discussed below). We may be required to pay certain amounts as liquidated damages as specified in the Pre-Funded Warrants in the event we do not deliver Class A Ordinary Shares upon exercise of the Pre-Funded Warrants within the time periods specified therein. No fractional Class A Ordinary Shares will be issued in connection with the exercise of a Pre-Funded Warrant</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Cashless Exercise.</w:t>
      </w:r>
      <w:r>
        <w:rPr>
          <w:rFonts w:ascii="Times New Roman;Times;Serif" w:hAnsi="Times New Roman;Times;Serif"/>
          <w:b w:val="false"/>
          <w:i w:val="false"/>
          <w:caps w:val="false"/>
          <w:smallCaps w:val="false"/>
          <w:sz w:val="20"/>
        </w:rPr>
        <w:t xml:space="preserve"> The holder may, in its sole discretion, elect to exercise the Pre-Funded Warrant through a cashless exercise, in which case the holder would receive upon such exercise the net number of Class A Ordinary Shares determined according to the formula set forth in the Pre-Funded Warrant</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Limitation</w:t>
      </w:r>
      <w:r>
        <w:rPr>
          <w:rFonts w:ascii="Times New Roman;Times;Serif" w:hAnsi="Times New Roman;Times;Serif"/>
          <w:b w:val="false"/>
          <w:i w:val="false"/>
          <w:caps w:val="false"/>
          <w:smallCaps w:val="false"/>
          <w:sz w:val="20"/>
        </w:rPr>
        <w:t>. A holder will not have the right to exercise any portion of the Pre-Funded Warrants if the holder (together with its affiliates and certain related parties) would beneficially own in excess of 4.99% (or, upon election by the holder prior to the issuance of any Pre-Funded Warrants, 9.99%) of the number of our Class A Ordinary Shares outstanding immediately after giving effect to the exercise, as such percentage ownership is determined in accordance with the terms of the Pre-Funded Warrants. However, any holder may increase or decrease such percentage to any other percentage not in excess of 9.99%, upon at least 61 days’ prior notice from the holder to us with respect to any increase in such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The exercise price for the Pre-Funded Warrants is $0.00001 per Class A Ordinary Share. The exercise price and the number of Class A Ordinary Shares issuable upon exercise are subject to appropriate adjustment in the event of share dividends, share splits, reorganizations or similar events affecting our Class A Ordinary Shares. The Pre-Funded Warrants do not contain any price-based anti-dilution or downward-adjustment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Transferability</w:t>
      </w:r>
      <w:r>
        <w:rPr>
          <w:rFonts w:ascii="Times New Roman;Times;Serif" w:hAnsi="Times New Roman;Times;Serif"/>
          <w:b w:val="false"/>
          <w:i w:val="false"/>
          <w:caps w:val="false"/>
          <w:smallCaps w:val="false"/>
          <w:sz w:val="20"/>
        </w:rPr>
        <w:t>. Subject to applicable laws, the Pre-Funded Warrants may be offered for sale, sold, transferred or assigned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Exchange Listing</w:t>
      </w:r>
      <w:r>
        <w:rPr>
          <w:rFonts w:ascii="Times New Roman;Times;Serif" w:hAnsi="Times New Roman;Times;Serif"/>
          <w:b w:val="false"/>
          <w:i w:val="false"/>
          <w:caps w:val="false"/>
          <w:smallCaps w:val="false"/>
          <w:sz w:val="20"/>
        </w:rPr>
        <w:t>. We do not intend to list the Pre-Funded Warrants offered in this offering on any securities exchange or other trading market.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as a Shareholder</w:t>
      </w:r>
      <w:r>
        <w:rPr>
          <w:rFonts w:ascii="Times New Roman;Times;Serif" w:hAnsi="Times New Roman;Times;Serif"/>
          <w:b w:val="false"/>
          <w:i w:val="false"/>
          <w:caps w:val="false"/>
          <w:smallCaps w:val="false"/>
          <w:sz w:val="20"/>
        </w:rPr>
        <w:t>. Except as otherwise provided in the Pre-Funded Warrants or by virtue of such holder’s ownership of our Class A Ordinary Shares, the holder of a Pre-Funded Warrant does not have the rights or privileges of a holder of our Class A Ordinary Shares, including any voting rights, until the issuance of Class A Ordinary Shares upon exercise of the warrant. Holders of Pre-Funded Warrants have the right to participate in dividends and certain other distributions as specified in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Pre-Funded Warrants and generally including, with certain exceptions, any reorganization, recapitalization or reclassification of our Class A Ordinary Shares, the sale, transfer or other disposition of all or substantially all of our properties or assets, our consolidation or merger with or into another person, the acquisition of more than 50% of our outstanding Class A Ordinary Shares or 50% of the voting power represented by our outstanding Class A Ordinary Shares,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The Pre-Funded Warrants are governed by New York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k_015"/>
      <w:bookmarkEnd w:id="1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 or Aegis, has agreed to act as our sole placement agent in connection with this offering subject to the terms and conditions of a placement agency agreement, dated [●], 2026 between Aegis and us. Aegis is not purchasing or selling any securities offered by this prospectus, nor is the placement agent required to arrange the purchase or sale of any specific number or dollar amount of the securities offered. The placement agent has agreed to use reasonable best efforts to arrange for the sale of all of the securities offered hereby. Therefore, we may not sell the entire amount of the securities offered pursuant to this prospectus. The placement agent may engage one or more sub-agents or selected dealers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we will enter into a placement agency agreement with Aegis Capital Corp., as placement agent. Aegis has agreed to act as placement agent on a reasonable best-efforts basis in connection with the offering. The placement agent is not purchasing or selling any securities offered by this prospectus, nor is it required to arrange for the purchase or sale of any specific number or dollar amount of securities. The actual size of the offering, the precise number of securities to be offered and the offering price will be determined through negotiations between us and the investors. The offering is subject to customary closing conditions, including the execution of a definitive securities purchase agreement in connection with the offering, Nasdaq listing approval for the securities to be issued, completion of the placement agent’s due diligence, and delivery of customary legal opinions, comfort letters, negative assurance letters, certificates and other closing deliverables. This offering consists of Class A Ordinary Shares and, to any investor whose purchase would otherwise result in beneficial ownership in excess of the applicable beneficial ownership limitation, Pre-Funded Warrants to purchase Class A Ordinary Shares in lieu of Class A Ordinary Shares, as described under “Description of Securities We Are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deliver the Class A Ordinary Shares electronically and will deliver any Pre-Funded Warrants in certificated form, in each case upon closing and receipt of investor funds for the purchase of the securities offered pursuant to this prospectus. We expect to complete one closing of this offering. The offering will settle delivery versus payment, and accordingly we and the placement agent have not made any arrangements to place investor funds in an escrow, trust or similar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an aggregate cash placement fee equal to eight percent (8.0%) of the gross proceeds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reimburse the placement agent for reasonable legal fees and disbursements incurred by the placement agent not to exceed an aggregate of $100,000. Upon execution of the engagement letter, we paid Aegis an advance of $25,000 to be applied against Aegis’s accountable out-of-pocket expenses (the “Advance”). Any portion of the Advance not actually incurred by Aegis will be returned to us to the extent required by FINRA Rule 5110(g)(4)(A).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payable by us in connection with this offering, other than the placement agent fees referred to above, will be approximately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has informed us that it does not expect to make sales to accounts over which it exercises discretionary authority in excess of five percent (5%) of the securities being offered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certain “lock-up” agreements, our directors, executive officers, employees and shareholders holding at least 10% of our outstanding Ordinary Shares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or engage in any short selling of, any Ordinary Shares or securities convertible into or exchangeable or exercisable for any Ordinary Shares (“Lock-Up Securities”), whether currently owned or subsequently acquired, without the prior written consent of the placement agent, for a period of sixty (60) days after the closing date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Standstill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for a period of sixty (60) days after the closing date of the offering (the “Standstill Period”), that without the prior written consent of the investors, we will not (a) offer, sell, issue, or otherwise transfer or dispose of, directly or indirectly, any equity of our Company or any securities convertible into or exercisable or exchangeable for equity of our Company; (b) file or cause to be filed any registration statement with the Commission relating to the offering of any equity of our Company or any securities convertible into or exercisable or exchangeable for equity of our Company; or (c) enter into any agreement or announce the intention to effect any of the actions described in subsections (a) or (b) hereof (all of such matters, the “Standstill Restrictions”). So long as none of such equity securities shall be saleable in the public market until the expiration of the Standstill Period, the following matters shall not be prohibited by the Standstill Restrictions: (i) the adoption of an equity incentive plan and the grant of awards or equity pursuant to any equity incentive plan, and the filing of a registration statement on Form S-8; (ii) securities issued pursuant to agreements, options, restricted share units or convertible securities existing as of the date of the placement agency agreement, provided the terms are not modified; and (iii) securities issued pursuant to acquisitions or strategic transactions approved by a majority of the disinterested directors of our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entity (or to the equityholders of an entity) which is, itself or through its subsidiaries, an operating company or an owner of an asset in a business synergistic with the business of our Company and shall provide to our Company additional benefits in addition to the investment of funds, but shall not include a transaction in which our Company is issuing securities primarily for the purpose of raising capital or to an entity whose primary business is investing in securities. In no event should any equity transaction during the Standstill Period result in the sale of equity at an offering price to the public less than that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in its sole discretion, may release the Ordinary Shares and other securities subject to the lock-up agreements described above in whole or in part at any time. When determining whether or not to release Ordinary Shares and other securities from lock-up agreements, the placement agent will consider, among other factors, the holder’s reasons for requesting the release, the number of Ordinary Shares and other securities for which the release is being requested and market conditions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under the symbol “NIVF”. There is no established public trading market for the Pre-Funded Warrants, and we do not plan to list the Pre-Funded Warrants on the Nasdaq Capital Market or any other securities exchange or trading market.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the period beginning on the Closing and ending twelve (12) months after the commencement of sales in the offering (which period shall in no event exceed three (3) years from the commencement of sales of the Placement, in compliance with FINRA Rule 5110(g)(6)(A)), we or any of our subsidiaries (a) decide to finance or refinance any indebtedness, Aegis (or any affiliate designated by Aegis) shall have the right to act as sole book-runner, sole manager, sole placement agent or sole agent with respect to such financing or refinancing; or (b) decide to raise funds by means of a public offering (including an at-the-market facility) or a private placement or any other capital raising financing of equity, equity-linked or debt securities, Aegis (or any affiliate designated by Aegis) shall have the right to act as sole book-running manager, sole underwriter or sole placement agent for such financing. If Aegis or one of its affiliates decides to accept any such engagement, the agreement governing such engagement will contain, among other things, provisions for customary fees and terms for transactions of similar size and nature, including indemnification, which are appropriate to such a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decision to accept our engagement shall be made by Aegis or one of its affiliates, by a written notice to us, within ten (10) Business Days after the receipt of our notification of financing needs, including a detailed term sheet. Aegis’s determination of whether in any case to exercise its right of first refusal will be strictly limited to the terms on such term sheet, and any waiver of such right of first refusal shall apply only to such specific terms. If Aegis waives its right of first refusal, any deviation from such terms shall void the waiver and require us to seek a new waiver from the 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shall be entitled to compensation with respect to any public or private offering or other financing or capital raising transaction of any kind (“Tail Financing”) to the extent that such financing or capital is provided to us by investors Aegis has introduced to us and/or contacted on our behalf through an in-person, electronic or telephonic communication or investors that Aegis had “wall-crossed” in connection with this offering (or any entity under common management or having a common investment advisor), if such Tail Financing is consummated at any time within the six (6) month period beginning on the Closing or the expiration or termination of the engagement letter between Aegis and us dated July 28,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affiliates have and may in the future provide, from time to time, investment banking and financial advisory services to us in the ordinary course of business, for which they may receive customary fees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of the securities we are offering was negotiated between us and the investors, in consultation with the placement agent, based on the trading of our Class A Ordinary Shares prior to the offering, among other things. Other factors considered in determining the public offering price of the securities we are offering include our history and prospects, the industry in which we operate, our past and present operating results,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its affiliates may from time to time in the future engage with us and perform services for us or in the ordinary course of their business for which they will receive customary fees and expenses. In the ordinary course of their various business activities, the Placement Agent and its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Placement Agent and its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Placement Agent. In connection with the offering, the Placement Agent or selected dealers may distribute prospectuses electronically. No forms of electronic prospectus other than prospectuses that are printable as Adobe® PDF will be used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prospectus in electronic format, the information on the Placement Agent’ website and any information contained in any other website maintained by the Placement Agent is not part of the prospectus or the registration statement of which this prospectus forms a part, has not been approved and/or endorsed by us or the Placement Agent in their capacity as Placement Agent and should not be relied upon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underwriters within the meaning of Section 2(a)(11) of the Securities Act and any fees received by them and any profit realized on the sale of the securities by them while acting as principal might be deemed to be underwriting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the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of their pledgees, assignees and successors-in-interest may, from time to time, sell any or all of the Class A Ordinary Shares covered by this prospectus on the Nasdaq Capital Market or any other stock exchange, market or trading facility on which our Class A Ordinary Shares are then traded, or in private transactions, at fixed prices, at prevailing market prices at the time of sale, at prices related to such prevailing market prices, at varying prices determined at the time of sale, or at negotiated prices. These sales may be effected through one or more of the following methods: ordinary brokerage transactions and transactions in which the broker-dealer solicits purchasers; block trades; purchases by a broker-dealer as principal and resale by such broker-dealer for its account; an exchange distribution in accordance with the rules of the applicable exchange; privately negotiated transactions; through the writing or settlement of options or other hedging transactions; broker-dealers may agree with a Selling Securityholder to sell a specified number of shares at a stipulated price per share; a combination of any such methods of sale; or any other method permitted under applicable law. The Selling Securityholders may also sell shares under Rule 144 under the Securities Act, if available, rather than under this prospectus. We will not receive any proceeds from the sale of shares by the Selling Securityholders. We have agreed to pay the expenses incurred in connection with the registration of these shares, and each Selling Securityholder will pay all brokerage fees, commissions and similar expenses, if any, incurred in connection with the sale of its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Placement Agent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k_016"/>
      <w:bookmarkEnd w:id="18"/>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Class A and Class B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 the issuance of an unlimited Class A Ordinary Shares, unlimited Class B Ordinary Shares and unlimited preferred shares with no par value (“Preferred Shares”). As of the date of this prospectus, we have 2,404,787 Class A Ordinary Shares outstanding, 12,643 Class B Ordinary Shares outstanding, and no Preferred Shares outstanding. All of our outstanding Class A Ordinary Shares are validly issued, and fully paid. Our Class A Ordinary Shares and Class B Ordinary Shares are not subject to any preemptive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 Yue Tina Fong and Wing Fung Alfred Siu control the voting power of all of the outstanding Class B Ordinary Shares. Although Ms. Fong and Mr. Siu control the voting power of all of the outstanding Class B Ordinary Shares, their control over those shares is not permanent and is subject to reduction or elimination at any time or after certain periods as a result of a variety of factors. As further described below, upon any transfer of Class B Ordinary Shares by a holder thereof to any person which is not a Permitted Transferee (as defined in the Memorandum and Articles of Association) of such holder, those shares will automatically and immediately convert into Class A Ordinary Shares. In addition, all Class B Ordinary Shares will automatically convert to Class A Ordinary Shares in other events described below. See “— Optional and 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and Class B Ordinary Shares are entitled to such dividends as may be declared by its Board of Directors subject to its Memorandum and Articles of Association and applicable law. No dividend may be declared and paid unless the Board of Directors determine that, immediately after the payment, the value of the Company assets will exceed its liabilities and the Company will be able to pay its debts as and when they fall due. Holders of Class A ordinary shares and Class B ordinary shares will be entitled to the same amount of dividends, if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Holders of Class A Ordinary Shares and Class B Ordinary Shares have the right to receive notice of, attend, speak and vote at general meetings of the shareholders. In respect of all matters upon which holders of our shares are entitled to vote, each Class A Ordinary Share are entitled to one (1) vote and each Class B Ordinary Share are entitled to one hundred (100) votes. At any meeting of shareholders a resolution put to the vote of the meeting shall be decided by way of a poll and not by way of a show of hands. </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the shareholders is duly constituted if, at the commencement of the meeting, there are present in person or by proxy not less than 50 per cent of the votes of the shares entitled to vote on resolutions of the shareholders to be considered at the meeting. As a BVI business company, the Company is not obliged by the BVI Act to call shareholders’ annual general meetings. The Memorandum and Articles of Association provide that the Company may (but is not obliged to) in each calendar year hold a general meeting as its annual general meeting in which case the Company will specify the meeting as such in the notices calling it, and the annual general meeting will be held at such time and place as may be determined by its directors. Each general meeting, other than an annual general meeting, shall be an extraordinary general meeting.</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annual general meetings and any other general meetings of the Company’s shareholders may be convened by any director or, upon a requisition of shareholders holding at the date of deposit of the requisition not less than 30 percent of the votes attaching to the issued and outstanding shares entitled to vote at general meetings in respect of the matter for which the meeting is requested, in which case the directors are obliged to convene such meeting and to put the resolutions so requisitioned to a vote at such meeting; however, the Memorandum and Articles of Association do not provide its shareholders with any right to put any proposals before any annual general meetings or any extraordinary general meetings not called by such shareholders. Advance notice of at least ten (10) days and not more than sixty (60) days is required for the convening of the Company’s annual general meeting and other general meetings unless such notice is waived in accordance with its articles of association.</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to be passed at a meeting by the shareholders requires the affirmative vote of a simple majority of the votes attaching to the shares cast by those shareholders entitled to vote who are present in person or by proxy at a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adjustment pursuant to the Memorandum and Articles of Association, 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BVI Act and the Memorandum and Articles of Association, the Company may be voluntarily liquidated under Part XII of the BVI Act by resolution of directors and resolution of shareholders if the Company’s assets exceed the Company’s liabilities and the Company is able to pay the Company’s debts as they fall due. The Company may also be wound up in circumstances where the Company is insolvent in accordance with the terms of the BVI Insolvency Act (As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and the assets available for distribution among the Company’s shareholders are more than sufficient to repay all amounts paid to the Company on account of the issue of shares immediately prior to the winding up, the excess shall be distributable pari passu among those shareholders in proportion to the amount paid up immediately prior to the winding up on the shares held by them, respectively. If the Company is wound up and the assets available for distribution among the shareholders as such are insufficient to repay the whole of the amounts paid to the Company on account of the issue of shares, those assets shall be distributed so that, to the greatest extent possible, the losses shall be borne by the shareholders in proportion to the amounts paid up immediately prior to the winding up on the shares held by them, respectively. If the Company is wound up, the liquidator appointed by the Company may, in accordance with the BVI Act, divide among the Company’s shareholders in specie or kind the whole or any part of the Company’s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Repurchase and Surrender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shares on terms that such shares are subject to redemption, at the Company’s option or at the option of the holders thereof, on such terms and in such manner as may be determined, before the issue of such shares, by the Board of Directors. The Company may also repurchase any of its shares provided that the Company may not purchase, redeem or otherwise acquire its own shares without the consent of the shareholder whose Shares are to be purchased, redeemed or otherwise acquired unless the Company is permitted or required by the Act or any other provision in the Memorandum or Articles to purchase, redeem or otherwise acquire the Shares without such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Company’s share are divided into different classes or series of shares, the rights attached to any class or series of shares (unless otherwise provided by the terms of issue of the shares of that class or series), whether or not the Company is being wound-up, may be varied by a resolution passed at a meeting by the holders of more than fifty percent of the issued shares of that class that have voted (and are entitled to vote thereon) in relation to any such resolution, unless otherwise provided by the terms of issue of such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Inspection of Books and Records.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Class B Ordinary Shares have no general right under BVI law to inspect or obtain copies of the Company’s list of shareholders or its corporate records. However, the Company will provide its shareholders with annual audited financial statements. See “Where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 the Board of Directors to issue additional Class A or Class B Ordinary Shares from time to time as the Board of Directors shall determine, to the extent of available authorized but unissued shares. The Memorandum and Articles of Association also authorize the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sz w:val="20"/>
              </w:rPr>
            </w:pPr>
            <w:r>
              <w:rPr>
                <w:sz w:val="20"/>
              </w:rPr>
              <w:t>the designation of the series;</w:t>
            </w:r>
          </w:p>
        </w:tc>
      </w:tr>
    </w:tbl>
    <w:p>
      <w:pPr>
        <w:pStyle w:val="TextBody"/>
        <w:bidi w:val="0"/>
        <w:spacing w:before="0" w:after="0"/>
        <w:ind w:left="0" w:right="0" w:firstLine="567"/>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sz w:val="20"/>
              </w:rPr>
            </w:pPr>
            <w:r>
              <w:rPr>
                <w:sz w:val="20"/>
              </w:rPr>
              <w:t>the number of shares of the series;</w:t>
            </w:r>
          </w:p>
        </w:tc>
      </w:tr>
    </w:tbl>
    <w:p>
      <w:pPr>
        <w:pStyle w:val="TextBody"/>
        <w:bidi w:val="0"/>
        <w:spacing w:before="0" w:after="0"/>
        <w:ind w:left="0" w:right="0" w:firstLine="567"/>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sz w:val="20"/>
              </w:rPr>
            </w:pPr>
            <w:r>
              <w:rPr>
                <w:sz w:val="20"/>
              </w:rPr>
              <w:t>the dividend rights, dividend rates, conversion rights, voting rights; and</w:t>
            </w:r>
          </w:p>
        </w:tc>
      </w:tr>
    </w:tbl>
    <w:p>
      <w:pPr>
        <w:pStyle w:val="TextBody"/>
        <w:bidi w:val="0"/>
        <w:spacing w:before="0" w:after="0"/>
        <w:ind w:left="0" w:right="0" w:firstLine="567"/>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sz w:val="20"/>
              </w:rPr>
            </w:pPr>
            <w:r>
              <w:rPr>
                <w:sz w:val="20"/>
              </w:rPr>
              <w:t>the rights and terms of redemption and liquidation preferences.</w:t>
            </w:r>
          </w:p>
        </w:tc>
      </w:tr>
    </w:tbl>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issue preferred shares without action by its shareholders to the extent authorized but unissued. Issuance of these shares may dilute the voting power of holders of Class A Ordinary Shares and Class B Ordinary Shares.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the Memorandum and Articles of Association may discourage, delay or prevent a change of control of the Company or management that shareholders may consider favorable, including (i) provisions that authorize the Board of Directors to issue preferred shares in one or more series and to designate the price, rights, preferences, privileges and restrictions of such preferred shares without any further vote or action by its shareholders; and (ii) provisions providing that directors may not be removed by the shareholders except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Memorandum and Articles of Association, the Board of Directors may issue Preferred Shares with such preferred rights as they shall determine. The rights, privileges, restrictions and conditions attaching to the Preferred Shares shall be stated in the Memorandum and Articles of Association, which shall be amended accordingly prior to the issue of such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k_017"/>
      <w:bookmarkEnd w:id="19"/>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general summary of the material U.S. federal income tax consequences relevant to an investment in our Ordinary Shares. The discussion is not intended to be, nor should it be construed as, legal or tax advice to any particular prospective purchaser. The discussion is based on laws and relevant interpretations thereof as of the date of this registration statement, all of which are subject to change or different interpretations, possibly with retroactive effect. The discussion does not address U.S. state or local tax laws. You should consult your own tax advisors with respect to the consequences of acquisition, ownership and disposition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provisions of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considerations that may apply to a securityholder of the Company as a result of the ownership and disposition of the Company Securities.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or, except as discussed here, any tax reporting obligations of a holder of the Company Securities. Holders should consult their own tax advisors regarding such tax consequences in light of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ruling has been requested or will be obtained from the IRS regarding the U.S. federal income tax consequences discussed below; thus, there can be no assurance that the IRS will not challenge the U.S. federal income tax treatment described below or that, if challenged, such treatment will be sustained by a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considerations relevant to U.S. Holders that hold the Company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96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sz w:val="20"/>
              </w:rPr>
            </w:pPr>
            <w:r>
              <w:rPr>
                <w:sz w:val="20"/>
              </w:rPr>
              <w:t>banks or other financial institutions, underwriters, or 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sz w:val="20"/>
              </w:rPr>
            </w:pPr>
            <w:r>
              <w:rPr>
                <w:sz w:val="20"/>
              </w:rPr>
              <w:t>traders in securities who elect to apply a mark-to-market method of accounting;</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sz w:val="20"/>
              </w:rPr>
            </w:pPr>
            <w:r>
              <w:rPr>
                <w:sz w:val="20"/>
              </w:rPr>
              <w:t>real estate investment trusts and 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170"/>
        <w:gridCol w:w="9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sz w:val="20"/>
              </w:rPr>
            </w:pPr>
            <w:r>
              <w:rPr>
                <w:sz w:val="20"/>
              </w:rPr>
              <w:t>tax-exempt organizations, qualified retirement plans, individual retirement accounts, or other tax- deferred accounts;</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sz w:val="20"/>
              </w:rPr>
            </w:pPr>
            <w:r>
              <w:rPr>
                <w:sz w:val="20"/>
              </w:rPr>
              <w:t>expatriates or former citizens or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sz w:val="20"/>
              </w:rPr>
            </w:pPr>
            <w:r>
              <w:rPr>
                <w:sz w:val="20"/>
              </w:rPr>
              <w:t>subchapter S corporations, partnerships or other pass-through entities or investors in such entities;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sz w:val="20"/>
              </w:rPr>
            </w:pPr>
            <w:r>
              <w:rPr>
                <w:sz w:val="20"/>
              </w:rPr>
              <w:t>any holder that is not a U.S. Holder;</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sz w:val="20"/>
              </w:rPr>
            </w:pPr>
            <w:r>
              <w:rPr>
                <w:sz w:val="20"/>
              </w:rPr>
              <w:t>dealers or traders in securities, commodities or currencies;</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both"/>
              <w:rPr>
                <w:sz w:val="20"/>
              </w:rPr>
            </w:pPr>
            <w:r>
              <w:rPr>
                <w:sz w:val="20"/>
              </w:rPr>
              <w:t>grantor trusts;</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persons subject to the alternative minimum tax;</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U.S. persons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who receive stock of the Company through the issuance of restricted share under an incentive plan or through a tax-qualified retirement plan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U.S. shareholders of controlled foreign corporations, as those terms are defined in Sections 951(b) and 957(a),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who own (directly or through attribution) 5% or more (by vote or value) of the outstanding Class A Ordinary Shares (excluding 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holders holding ASCA securities, or, after the Business Combination, the Company Securities, as a position in a “straddle,” as part of a “synthetic security” or “hedge,” as part of a “conversion transaction,” or other integrated investment or risk reduction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“U.S. Holder” means a beneficial owner of the Company Securities, that is, for U.S. federal income tax purposes:</w:t>
      </w:r>
    </w:p>
    <w:p>
      <w:pPr>
        <w:pStyle w:val="TextBody"/>
        <w:bidi w:val="0"/>
        <w:spacing w:before="0" w:after="0"/>
        <w:ind w:left="96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an individual who is a citizen or resident of the United States;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corporation (or other entity that is classified as a corporation for U.S. federal income tax purposes) that is created or organized in or under the laws of the United States or any State thereof or the District of Columbia;</w:t>
            </w:r>
          </w:p>
        </w:tc>
      </w:tr>
    </w:tbl>
    <w:p>
      <w:pPr>
        <w:pStyle w:val="TextBody"/>
        <w:bidi w:val="0"/>
        <w:spacing w:before="0" w:after="0"/>
        <w:ind w:left="960" w:right="0" w:hanging="36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sz w:val="20"/>
              </w:rPr>
            </w:pPr>
            <w:r>
              <w:rPr>
                <w:sz w:val="20"/>
              </w:rPr>
              <w:t>an estate the income of which is subject to U.S. federal income tax regardless of its source; or</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for this purpose any entity or arrangement that is treated as a partnership for U.S. federal income tax purposes, holds the Company Securities,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ownership and disposition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PURPORT TO BE A COMPREHENSIVE ANALYSIS OR DESCRIPTION OF ALL POTENTIAL U.S. FEDERAL INCOME TAX CONSEQUENCES OF OWNERSHIP AND DISPOSITION OF THE COMPANY SECURITIES. IN ADDITION, THE U.S. FEDERAL INCOME TAX TREATMENT OF THE BENEFICIAL OWNERS OF THE COMPANY SECURITIES MAY BE AFFECTED BY MATTERS NOT DISCUSSED HEREIN AND DEPENDS IN SOME INSTANCES ON DETERMINATIONS OF FACT AND INTERPRETATIONS OF COMPLEX PROVISIONS OF U.S. FEDERAL INCOME TAX LAW FOR WHICH NO CLEAR PRECEDENT OR AUTHORITY MAY BE AVAILABLE. HOLDERS OF THE COMPANY SECURITIES SHOULD CONSULT WITH THEIR TAX ADVISORS REGARDING THE PARTICULAR TAX CONSEQUENCES TO THEM OF THE OWNERSHIP AND DISPOSITION OF THE COMPANY SECURITIES, INCLUDING THE APPLICABILITY AND EFFECTS OF U.S. FEDERAL, STATE, LOCAL,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on the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 Passive Foreign Investment Company Status,” the gross amount of any distribution on the Class A Ordinary Shares that is made out of the Company’s current and accumulated earnings and profits (as determined for U.S. federal income tax purposes) will generally be taxable to a U.S. Holder as ordinary dividend income on the date such distribution is actually or constructively received by such U.S. Holder. Any such dividends paid to corporate U.S. Holders generally will not qualify for the dividends-received deduction that may otherwise be allowed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U.S. Treasury Department guidance indicates that shares listed on Nasdaq will be considered readily tradable on an established securities market in the United States. Even if the Class A Ordinary Shares are listed on Nasdaq, there can be no assurance that the Class A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the Company’s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the Company will not constitute a qualified foreign corporation for purposes of these rules if it is a PFIC for the taxable year in which it pays a dividend or for the preceding taxable year. See the discussion below under “— Passive Foreign Investment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dividend paid in foreign currency will be the U.S. dollar value of the foreign currency distributed by the Company, calculated by reference to the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 That currency exchange income or loss (if any) generally will be income or loss from U.S. sources for foreign tax credit limitation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any distribution made by the Company on the Class A Ordinary Shares exceeds the Company’s current and accumulated earnings and profits for a taxable year (as determined under U.S. federal income tax principles), the distribution will first be treated as a tax-free return of capital, causing a reduction in the adjusted basis of the U.S. Holder’s the Class A Ordinary Shares, and to the extent the amount of the distribution exceeds the U.S. Holder’s tax basis, the excess will be taxed as capital gain recognized on a sale or exchange as described below under “— Sale, Exchange, Redemption or Other Taxable Disposition of the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Other Taxable Disposition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 Passive Foreign Investment Company Status,” a U.S. Holder will generally recognize gain or loss on any sale, exchange, redemption, or other taxable disposition of the Class A Ordinary Shares and the Warrants in an amount equal to the difference between the amount realized on the disposition and such U.S. Holder’s adjusted tax basis in such the Class A Ordinary Shares or Warrants. Any gain or loss recognized by a U.S. Holder on a taxable disposition of the Class A Ordinary Shares or Warrants will generally be capital gain or loss and will be long-term capital gain or loss if the holder’s holding period in the Class A Ordinary Shares 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the Class A Ordinary Shares or the Warrants will generally be treated as U.S. source gain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or Lapse of a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gain or loss upon the acquisition of an ordinary share of the Company on the exercise of a Warrant for cash. A U.S. Holder’s tax basis in an ordinary share received upon exercise of the Warrant generally will be an amount equal to the sum of the U.S. Holder’s tax basis in the Warrant exchanged therefor and the exercise price. The U.S. Holder’s holding period for an ordinary share received upon exercise of the Warrant will begin on the date following the date of exercise (or possibly the date of exercise) of the Warrants and will not include the period during which the U.S. Holder held the Warrants. If a Warrant is allowed to lapse unexercised, a U.S. Holder generally will recognize a capital loss equal to such holder’s tax basis in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Class A Ordinary Shares received would equal the holder’s basis in the Warrant. If the cashless exercise were treated as not being a gain recognition event, a U.S. Holder’s holding period in the Class A Ordinary Shares would be treated as commencing on the date following the date of exercise (or possibly the date of exercise) of the Warrant. If the cashless exercise were treated as a recapitalization, the holding period of the Class A Ordinary Share would include the holding period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with respect to the surrendered warrants in an amount generally equal to the difference between (i) the fair market value of the Class A Ordinary Shares that would have been received with respect to the surrendered warrants in a regular exercise of the Warrants and (ii) the sum of the U.S. Holder’s tax basis in the surrendered warrants and the aggregate cash exercise price of such warrants (if they had been exercised in a regular exercise). In this case, a U.S. Holder’s tax basis in the Class A Ordinary Shares received would equal the U.S. Holder’s tax basis in the Warrants exercised plus (or minus) the gain (or loss) recognized with respect to the surrendered warrants. A U.S. Holder’s holding period for the Class A Ordinary Shares would commence on the date following the date of exercise (or possibly the date of exercise)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U.S. federal income tax consequences could apply to a U.S. Holder if the Company or any of its subsidiaries is treated as a PFIC for any taxable year during which the U.S. Holder holds the Company Securities. A non-U.S. corporation will be classified as a PFIC for any taxable year (a) if at least 75% of its gross income in a taxable year, including its pro rata share of the gross income of any entity in which it is considered to own at least 25% of the interest by value, is passive income, or (b) if at least 50% of its assets in a taxable year of the foreign corporation,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 PFIC in the 2024 taxable year, such U.S. Holder would likely recognize gain (but not loss if the Reincorporation Merger qualifies as a “reorganization”) upon the exchange of ASCA securities for The Company securities pursuant to the Reincorporation Merger. The gain (or loss) would be computed as described above under “— If the Reincorporation Merger Does Not Qualify as a Reorganization.” Any such gain recognized by such U.S. Holder on the exchange of ASCA securities for The Company securities would be allocated ratably over the U.S. Holder’s holding period for the ASCA securities. Such amounts allocated for the current taxable year and any taxable year prior to the first taxable year in which ASCA was a PFIC would be treated as ordinary income, and not as capital gain, in the U.S. Holder’s taxable year, and such amounts allocated to each other taxable year beginning with the year that ASCA became a PFIC would be taxed at the highest tax rate in effect for each year to which the gain was allocated, together with a special interest charge on the tax attributable to each such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Company is a PFIC for any taxable year is a factual determination that depends on, among other things, the composition of the Company’s income and assets, the market value of its assets, and potentially the composition of the income and assets of one or more of the Company’s subsidiaries and the market value of their assets in that year. Whether a Company subsidiary is a PFIC for any taxable year is likewise a factual determination that depends on, among other things, the composition of the subsidiary’s income and assets and the market value of such assets in that year. One or more changes in these factors may cause the Company and/or one or more of its subsidiaries to become a PFIC for a taxable year even though it has not been a PFIC for one or more prior taxable years. Whether the Company or a subsidiary is treated as a PFIC for U.S. federal income tax purposes is a factual determination that must be made annually at the close of each taxable year and, thus, is subject to significant uncertainty. Moreover, there can be no assurance that the Company will timely provide a PFIC annual information statement for 2024 or going forward. The failure to provide such information on an annual basis could preclude U.S. Holders from making or maintaining a “qualified electing fund” election under Section 1295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were determined to be a PFIC for any taxable year (or portion thereof) that is included in the holding period of a U.S. Holder of Class A Ordinary Shares, the U.S. Holder did not make a valid “mark-to-market” election, such U.S. Holder generally will be subject to special rules with respect to:</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gain recognized by the U.S. Holder on the sale or other disposition of the Company Securities (including a redemption treated as a sale or exchange);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such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firstLine="72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70"/>
        <w:gridCol w:w="9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sz w:val="20"/>
              </w:rPr>
            </w:pPr>
            <w:r>
              <w:rPr>
                <w:sz w:val="20"/>
              </w:rPr>
              <w:t>the U.S. Holder’s gain or excess distribution will be allocated ratably over the U.S. Holder’s Company Securities;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amount allocated to the U.S. Holder’s taxable year in which the U.S. holder recognized gain or received the excess distribution, or to the period in the U.S. Holder’s holding period before the first day of the Company’s first taxable year in the Company is a PFIC, will be taxed as ordinary income;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amount allocated to other taxable years (or portions thereof) of the U.S. Holder and included in its holding period will be taxed at the highest tax rate in effect for that year and applicable to the U.S. Holder;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interest charge generally applicable to underpayments of tax will be imposed in respect of the tax attributable to each such other taxable year of the U.S. Holder.</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determination as to the Company’s PFIC status will be made annually, an initial determination that the Company is a PFIC will generally apply for subsequent years to a U.S. Holder who held Company Securities while the Company was a PFIC, whether or not the Company meets the test for PFIC status in those subsequent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the Class A Ordinary Shares and for which the Company is determined to be a PFIC, such holder generally will not be subject to the PFIC rules described above in respect to the Class A Ordinary Shares as long as such shares continue to be treated as marketable stock. Instead, in general, the U.S. Holder will include as ordinary income each year that the Company is treated as a PFIC the excess, if any, of the fair market value of its Class A Ordinary Shares at the end of its taxable year over the adjusted basis in its Class A Ordinary Shares. The U.S. Holder also will be allowed to take an ordinary loss in respect of the excess, if any, of the adjusted basis of its Class A Ordinary Shares over the fair market value of its Class A Ordinary Shares at the end of its taxable year (but only to the extent of the net amount of previously recognized income as a result of the mark-to-market election). The U.S. Holder’s adjusted tax basis in its Class A Ordinary Shares will be adjusted to reflect any such income or loss amounts, and any further gain recognized on a sale or other taxable disposition of the Class A Ordinary Shares in a taxable year in which the Company is treated as a PFIC will be treated as ordinary income. Special tax rules may also apply if a U.S. Holder makes a mark-to-market election for a taxable year after the first taxable year in which the U.S. Holder holds (or is deemed to hold) its Class A Ordinary Shares and for which the Company is treated as a PFIC. Currently, a mark-to-market election may not be made with respect to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stock that is regularly traded on a national securities exchange that is registered with the SEC, including Nasdaq (on which the Company Securities are traded), or on a foreign exchange or market that the IRS determines has rules sufficient to ensure that the market price represents a legitimate and sound fair market value. Such stock generally will be “regularly traded” for any calendar year during which such stock is traded, other than in de minimis quantities, on at least 15 days during each calendar quarter, but no assurances can be given in this regard with respect to the Class A Ordinary Shares. U.S. Holders should consult their own tax advisors regarding the availability and tax consequences of a mark-to-market election in respect of the Class A Ordinary Shares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and, at any time, has a foreign subsidiary that is classified as a PFIC, U.S. Holders generally would be deemed to own a portion of the shares of such lower-tier PFIC, and generally could incur liability for the deferred tax and interest charge described above if the Company were to receive a distribution from, or dispose of all or part of the Company’s interest in, the lower-tier PFIC (even though such U.S. Holder would not receive the proceeds of those distributions or dispositions) or the U.S. Holders otherwise were deemed to have disposed of an interest in the lower-tier PFIC. A mark-to-market election generally would not be available with respect to such lower-tier PFIC. U.S. Holders are urged to consult their own tax advisors regarding the tax issues raised by lower-tier PFICs.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(whether or not a mark-to-market election is or has been made) with such U.S. Holder’s U.S. federal income tax return and provide any such other information as may be required by the U.S. Treasury Department. Failure to do so, if required, will extend the statute of limitations until such required information is furnished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mark-to-market elections are very complex and are affected by various factors in addition to those described above. Accordingly, U.S. Holders of Company Securities should consult their own tax advisors concerning the application of the PFIC rules to the Company Securities under the U.S. Holders’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dividends received by U.S. Holders of the Class A Ordinary Shares (including constructive dividends), and the proceeds received on sale or other taxable disposition of the Class A Ordinary Shares or Warrants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or the U.S. Holder’s broker) or is otherwise subject to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holding specified foreign financial assets with an aggregate value in excess of the applicable dollar threshold are required to report information to the IRS relating to the Company Securities, subject to certain exceptions (including an exception for the Company Securities held in accounts maintained by U.S. financial institutions), by attaching a complete IRS Form 8938, Statement of Specified Foreign Financial Assets, with their tax return, for each year in which they hold the Company Securities. In addition to these requirements, U.S. Holders may be required to annually file FinCEN Report 114 (Report of Foreign Bank and Financial Accounts) with the U.S. Department of Treasury. U.S. Holders should consult their own tax advisors regarding information reporting requirements relating to their ownership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contain a detailed description of all the United States federal income tax consequences that may be applicable to you in light of your particular circumstances and, except as set forth below with respect to PRC tax considerations, does not address the effects of any state, local or non-United States tax laws. If you are considering the purchase, ownership or disposition of our Ordinary Shares, you should consult your own tax advisors concerning the United States federal income tax consequences to you in light of your particular situation as well as any consequences arising under the laws of any other taxing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k_018"/>
      <w:bookmarkEnd w:id="2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as to U.S. federal securities law concerning this offering will be passed upon for us by Han Kun Law Offices LLP. Certain legal matters as to BVI law will be passed upon for us by Ogier. Han Kun Law Offices LLP may rely upon Ogier with respect to matters governed by BVI law. Certain legal matters as to U.S. federal law in connection with this Offering will be passed upon for the Placement Agent by Kaufman &amp; Canoles, P.C., Richmond, Virginia.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k_019"/>
      <w:bookmarkEnd w:id="21"/>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NewGenIvf Limited as of and for the years ended December 31, 2025, 2024, and 2023 included in this prospectus have been so included in reliance on the report of J &amp; S Associate PLT (“J &amp; S”), an independent registered public accounting firm with its registered address at B-11-14, Megan Avenue II 12, Jalan Yap Kwan Seng, 50450, Kuala Lumpur, Malaysia, given on the authority of said firm as an expert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k_020"/>
      <w:bookmarkEnd w:id="22"/>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estimated expenses of the issuance and distribution of the securities being registered under the Registration Statement of which this prospectus forms a part, all of which will be paid by us. With the exception of the SEC registration fee, all amounts are estimates and may change:</w:t>
      </w:r>
    </w:p>
    <w:p>
      <w:pPr>
        <w:pStyle w:val="TextBody"/>
        <w:bidi w:val="0"/>
        <w:spacing w:before="0" w:after="0"/>
        <w:ind w:left="0" w:right="0" w:firstLine="720"/>
        <w:jc w:val="both"/>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2060"/>
        <w:gridCol w:w="60"/>
        <w:gridCol w:w="125"/>
        <w:gridCol w:w="695"/>
        <w:gridCol w:w="140"/>
      </w:tblGrid>
      <w:tr>
        <w:trPr/>
        <w:tc>
          <w:tcPr>
            <w:tcW w:w="2060" w:type="dxa"/>
            <w:tcBorders/>
            <w:shd w:fill="CCEEFF" w:val="clear"/>
            <w:vAlign w:val="center"/>
          </w:tcPr>
          <w:p>
            <w:pPr>
              <w:pStyle w:val="TableContents"/>
              <w:bidi w:val="0"/>
              <w:spacing w:before="0" w:after="283"/>
              <w:jc w:val="left"/>
              <w:rPr>
                <w:sz w:val="20"/>
              </w:rPr>
            </w:pPr>
            <w:r>
              <w:rPr>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Printer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1,500</w:t>
            </w:r>
          </w:p>
        </w:tc>
        <w:tc>
          <w:tcPr>
            <w:tcW w:w="140" w:type="dxa"/>
            <w:tcBorders/>
            <w:shd w:fill="FFFFFF" w:val="clear"/>
            <w:vAlign w:val="center"/>
          </w:tcPr>
          <w:p>
            <w:pPr>
              <w:pStyle w:val="TableContents"/>
              <w:bidi w:val="0"/>
              <w:spacing w:before="0" w:after="283"/>
              <w:jc w:val="left"/>
              <w:rPr>
                <w:sz w:val="20"/>
              </w:rPr>
            </w:pPr>
            <w:r>
              <w:rPr>
                <w:sz w:val="20"/>
              </w:rPr>
              <w:t>*</w:t>
            </w:r>
          </w:p>
        </w:tc>
      </w:tr>
      <w:tr>
        <w:trPr/>
        <w:tc>
          <w:tcPr>
            <w:tcW w:w="2060" w:type="dxa"/>
            <w:tcBorders/>
            <w:shd w:fill="CCEEFF" w:val="clear"/>
            <w:vAlign w:val="center"/>
          </w:tcPr>
          <w:p>
            <w:pPr>
              <w:pStyle w:val="TableContents"/>
              <w:bidi w:val="0"/>
              <w:spacing w:before="0" w:after="283"/>
              <w:jc w:val="left"/>
              <w:rPr>
                <w:sz w:val="20"/>
              </w:rPr>
            </w:pPr>
            <w:r>
              <w:rPr>
                <w:sz w:val="20"/>
              </w:rPr>
              <w:t>Finra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100,000</w:t>
            </w:r>
          </w:p>
        </w:tc>
        <w:tc>
          <w:tcPr>
            <w:tcW w:w="140" w:type="dxa"/>
            <w:tcBorders/>
            <w:shd w:fill="FFFFFF" w:val="clear"/>
            <w:vAlign w:val="center"/>
          </w:tcPr>
          <w:p>
            <w:pPr>
              <w:pStyle w:val="TableContents"/>
              <w:bidi w:val="0"/>
              <w:spacing w:before="0" w:after="283"/>
              <w:jc w:val="left"/>
              <w:rPr>
                <w:sz w:val="20"/>
              </w:rPr>
            </w:pPr>
            <w:r>
              <w:rPr>
                <w:sz w:val="20"/>
              </w:rPr>
              <w:t>*</w:t>
            </w:r>
          </w:p>
        </w:tc>
      </w:tr>
      <w:tr>
        <w:trPr/>
        <w:tc>
          <w:tcPr>
            <w:tcW w:w="2060" w:type="dxa"/>
            <w:tcBorders/>
            <w:shd w:fill="CCEEFF" w:val="clear"/>
            <w:vAlign w:val="center"/>
          </w:tcPr>
          <w:p>
            <w:pPr>
              <w:pStyle w:val="TableContents"/>
              <w:bidi w:val="0"/>
              <w:spacing w:before="0" w:after="283"/>
              <w:jc w:val="left"/>
              <w:rPr>
                <w:sz w:val="20"/>
              </w:rPr>
            </w:pPr>
            <w:r>
              <w:rPr>
                <w:sz w:val="20"/>
              </w:rPr>
              <w:t>Miscellaneous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283"/>
              <w:jc w:val="left"/>
              <w:rPr>
                <w:sz w:val="20"/>
              </w:rPr>
            </w:pPr>
            <w:r>
              <w:rPr>
                <w:sz w:val="20"/>
              </w:rPr>
              <w:t>*</w:t>
            </w:r>
          </w:p>
        </w:tc>
        <w:tc>
          <w:tcPr>
            <w:tcW w:w="6380" w:type="dxa"/>
            <w:tcBorders/>
            <w:vAlign w:val="center"/>
          </w:tcPr>
          <w:p>
            <w:pPr>
              <w:pStyle w:val="TableContents"/>
              <w:bidi w:val="0"/>
              <w:spacing w:before="0" w:after="283"/>
              <w:jc w:val="both"/>
              <w:rPr>
                <w:sz w:val="20"/>
              </w:rPr>
            </w:pPr>
            <w:r>
              <w:rPr>
                <w:sz w:val="20"/>
              </w:rPr>
              <w:t>An estimate of expected legal fees and expenses and printer fees and expenses.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k_021"/>
      <w:bookmarkEnd w:id="23"/>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British Virgin Islands with limited liability. We are incorporated in the British Virgin Islands because of certain benefits associated with being a British Virgin Islands company, such as political and economic stability, an effective judicial system, a favorable tax system, the absence of exchange control or currency restrictions and the availability of professional and support services. However, the British Virgin Islands has a less developed body of securities laws as compared to the United States and provides protections for investors to a lesser extent. In addition, British Virgin Islands companies may not have standing to sue before the federal courts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a majority of our directors and officers are nationals and/or residents of countries other than the United States, and all or a substantial portion of such persons’ assets are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to receive service of process with respect to any action brought against us in the United States District Court for districts in the State of New York under the federal securities laws of the United States or of any State of the United  States or any action brought against us in the Supreme Court of the State of New York under the securities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British Virgin Islands courts are unlikely: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recognize or enforce against the Company, judgments of courts of the U.S. based on certain civil liability provisions of U.S. securities laws where that liability is in respect of penalties, taxes, fines or similar fiscal or revenue obligations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impose liabilities against the Company, in original actions brought in the British Virgin Islands, based on certain civil liability provisions of U.S. securities laws that are penal in nature.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British Virgin Islands of judgments obtained in the U.S., however, the courts of the British Virgin Islands will in certain circumstances recognize such a foreign judgment and treat it as a cause of action in itself which may be sued upon as a debt at common law so that no retrial of the issues would be necessary,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U.S. court issuing the judgment had jurisdiction in the matter and the company either submitted to such jurisdiction or was resident or carrying on business within such jurisdiction and was duly served with process;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judgment is final and for a liquidated sum;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judgment given by the U.S. court was not in respect of penalties, taxes, fines or similar fiscal or revenue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obtaining judgment there was no fraud on the part of the person in whose favor judgment was given or on the part of the court;</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recognition or enforcement of the judgment in the British Virgin Islands would not be contrary to public policy;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the proceedings pursuant to which judgment was obtained were not contrary to natural justice.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appropriate circumstances, a British Virgin Islands Court may give effect in the British Virgin Islands to other kinds of final foreign judgments such as declaratory orders, orders for performance of contracts and injunctions.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k_022"/>
      <w:bookmarkEnd w:id="24"/>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under the Securities Act relating to this registration of the Ordinary Shares to be offered in this Best Efforts Offering. This prospectus, which is part of the Registration Statement,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pStyle w:val="TextBody"/>
        <w:bidi w:val="0"/>
        <w:spacing w:before="0" w:after="0"/>
        <w:ind w:left="0" w:right="0" w:firstLine="5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filings with the SEC are also available to the public through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5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www.newgenivf.com. Information contained on, or that can be accessed through, our website does not constitute a part of this prospectus. We have included our website address in this prospectus solely as an inactive textual reference. We will post on our website any materials required to be so posted on such website under applicable corporate or securities laws and regulations, including, posting any XBRL interactive financial data required to be filed with the SEC and any notices of general meetings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LIMITED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8"/>
        <w:gridCol w:w="60"/>
        <w:gridCol w:w="297"/>
      </w:tblGrid>
      <w:tr>
        <w:trPr/>
        <w:tc>
          <w:tcPr>
            <w:tcW w:w="9848" w:type="dxa"/>
            <w:tcBorders/>
            <w:shd w:fill="CCEEFF" w:val="clear"/>
            <w:vAlign w:val="center"/>
          </w:tcPr>
          <w:p>
            <w:pPr>
              <w:pStyle w:val="TableContents"/>
              <w:bidi w:val="0"/>
              <w:spacing w:before="0" w:after="283"/>
              <w:ind w:left="0" w:right="0" w:hanging="180"/>
              <w:jc w:val="left"/>
              <w:rPr>
                <w:b/>
                <w:sz w:val="20"/>
              </w:rPr>
            </w:pPr>
            <w:r>
              <w:rPr>
                <w:b/>
                <w:sz w:val="20"/>
              </w:rPr>
              <w:t>AUDITED CONSOLIDATED FINANCIAL STATEMENTS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left"/>
              <w:rPr/>
            </w:pPr>
            <w:r>
              <w:rPr/>
              <w:t> </w:t>
            </w:r>
          </w:p>
        </w:tc>
      </w:tr>
      <w:tr>
        <w:trPr/>
        <w:tc>
          <w:tcPr>
            <w:tcW w:w="9848" w:type="dxa"/>
            <w:tcBorders/>
            <w:shd w:fill="FFFFFF" w:val="clear"/>
            <w:vAlign w:val="center"/>
          </w:tcPr>
          <w:p>
            <w:pPr>
              <w:pStyle w:val="TableContents"/>
              <w:bidi w:val="0"/>
              <w:spacing w:before="0" w:after="283"/>
              <w:jc w:val="left"/>
              <w:rPr/>
            </w:pPr>
            <w:hyperlink w:anchor="f_001">
              <w:r>
                <w:rPr>
                  <w:rStyle w:val="InternetLink"/>
                  <w:sz w:val="20"/>
                </w:rPr>
                <w:t>Report of Independent Registered Public Accounting Firm (PCAOB ID: 6743)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F-2</w:t>
            </w:r>
          </w:p>
        </w:tc>
      </w:tr>
      <w:tr>
        <w:trPr/>
        <w:tc>
          <w:tcPr>
            <w:tcW w:w="9848" w:type="dxa"/>
            <w:tcBorders/>
            <w:shd w:fill="CCEEFF" w:val="clear"/>
            <w:vAlign w:val="center"/>
          </w:tcPr>
          <w:p>
            <w:pPr>
              <w:pStyle w:val="TableContents"/>
              <w:bidi w:val="0"/>
              <w:spacing w:before="0" w:after="283"/>
              <w:jc w:val="left"/>
              <w:rPr/>
            </w:pPr>
            <w:hyperlink w:anchor="f_002">
              <w:r>
                <w:rPr>
                  <w:rStyle w:val="InternetLink"/>
                  <w:sz w:val="20"/>
                </w:rPr>
                <w:t>Consolidated Balance Sheets as of December 31, 2025 and 2024</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center"/>
              <w:rPr>
                <w:sz w:val="20"/>
              </w:rPr>
            </w:pPr>
            <w:r>
              <w:rPr>
                <w:sz w:val="20"/>
              </w:rPr>
              <w:t>F-3</w:t>
            </w:r>
          </w:p>
        </w:tc>
      </w:tr>
      <w:tr>
        <w:trPr/>
        <w:tc>
          <w:tcPr>
            <w:tcW w:w="9848" w:type="dxa"/>
            <w:tcBorders/>
            <w:shd w:fill="FFFFFF" w:val="clear"/>
            <w:vAlign w:val="center"/>
          </w:tcPr>
          <w:p>
            <w:pPr>
              <w:pStyle w:val="TableContents"/>
              <w:bidi w:val="0"/>
              <w:spacing w:before="0" w:after="283"/>
              <w:jc w:val="left"/>
              <w:rPr/>
            </w:pPr>
            <w:hyperlink w:anchor="f_003">
              <w:r>
                <w:rPr>
                  <w:rStyle w:val="InternetLink"/>
                  <w:sz w:val="20"/>
                </w:rPr>
                <w:t>Consolidated Statements of Operations and Comprehensive Income (Loss) for the Years Ended December 31, 2025, 2024 and 2023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F-4</w:t>
            </w:r>
          </w:p>
        </w:tc>
      </w:tr>
      <w:tr>
        <w:trPr/>
        <w:tc>
          <w:tcPr>
            <w:tcW w:w="9848" w:type="dxa"/>
            <w:tcBorders/>
            <w:shd w:fill="CCEEFF" w:val="clear"/>
            <w:vAlign w:val="center"/>
          </w:tcPr>
          <w:p>
            <w:pPr>
              <w:pStyle w:val="TableContents"/>
              <w:bidi w:val="0"/>
              <w:spacing w:before="0" w:after="283"/>
              <w:jc w:val="left"/>
              <w:rPr/>
            </w:pPr>
            <w:hyperlink w:anchor="f_004">
              <w:r>
                <w:rPr>
                  <w:rStyle w:val="InternetLink"/>
                  <w:sz w:val="20"/>
                </w:rPr>
                <w:t>Consolidated Statements of Changes in Shareholders’ Equity (Deficit) for the Years Ended December 31, 2025, 2024 and 2023</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center"/>
              <w:rPr>
                <w:sz w:val="20"/>
              </w:rPr>
            </w:pPr>
            <w:r>
              <w:rPr>
                <w:sz w:val="20"/>
              </w:rPr>
              <w:t>F-5</w:t>
            </w:r>
          </w:p>
        </w:tc>
      </w:tr>
      <w:tr>
        <w:trPr/>
        <w:tc>
          <w:tcPr>
            <w:tcW w:w="9848" w:type="dxa"/>
            <w:tcBorders/>
            <w:shd w:fill="FFFFFF" w:val="clear"/>
            <w:vAlign w:val="center"/>
          </w:tcPr>
          <w:p>
            <w:pPr>
              <w:pStyle w:val="TableContents"/>
              <w:bidi w:val="0"/>
              <w:spacing w:before="0" w:after="283"/>
              <w:jc w:val="left"/>
              <w:rPr/>
            </w:pPr>
            <w:hyperlink w:anchor="f_005">
              <w:r>
                <w:rPr>
                  <w:rStyle w:val="InternetLink"/>
                  <w:sz w:val="20"/>
                </w:rPr>
                <w:t>Consolidated Statements of Cash Flows for the Years Ended December 31, 2025, 2024 and 2023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F-6</w:t>
            </w:r>
          </w:p>
        </w:tc>
      </w:tr>
      <w:tr>
        <w:trPr/>
        <w:tc>
          <w:tcPr>
            <w:tcW w:w="9848" w:type="dxa"/>
            <w:tcBorders/>
            <w:shd w:fill="CCEEFF" w:val="clear"/>
            <w:vAlign w:val="center"/>
          </w:tcPr>
          <w:p>
            <w:pPr>
              <w:pStyle w:val="TableContents"/>
              <w:bidi w:val="0"/>
              <w:spacing w:before="0" w:after="283"/>
              <w:jc w:val="left"/>
              <w:rPr/>
            </w:pPr>
            <w:hyperlink w:anchor="f_006">
              <w:r>
                <w:rPr>
                  <w:rStyle w:val="InternetLink"/>
                  <w:sz w:val="20"/>
                </w:rPr>
                <w:t>Notes to the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center"/>
              <w:rPr>
                <w:sz w:val="20"/>
              </w:rPr>
            </w:pPr>
            <w:r>
              <w:rPr>
                <w:sz w:val="20"/>
              </w:rPr>
              <w:t>F-7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1275"/>
        <w:gridCol w:w="4745"/>
        <w:gridCol w:w="60"/>
        <w:gridCol w:w="785"/>
        <w:gridCol w:w="1970"/>
      </w:tblGrid>
      <w:tr>
        <w:trPr/>
        <w:tc>
          <w:tcPr>
            <w:tcW w:w="1275" w:type="dxa"/>
            <w:vMerge w:val="restart"/>
            <w:tcBorders/>
            <w:vAlign w:val="center"/>
          </w:tcPr>
          <w:p>
            <w:pPr>
              <w:pStyle w:val="TableContents"/>
              <w:bidi w:val="0"/>
              <w:spacing w:before="0" w:after="283"/>
              <w:jc w:val="left"/>
              <w:rPr/>
            </w:pPr>
            <w:r>
              <w:rPr/>
              <w:drawing>
                <wp:inline distT="0" distB="0" distL="0" distR="0">
                  <wp:extent cx="800100" cy="609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0100" cy="609600"/>
                          </a:xfrm>
                          <a:prstGeom prst="rect">
                            <a:avLst/>
                          </a:prstGeom>
                        </pic:spPr>
                      </pic:pic>
                    </a:graphicData>
                  </a:graphic>
                </wp:inline>
              </w:drawing>
            </w:r>
          </w:p>
        </w:tc>
        <w:tc>
          <w:tcPr>
            <w:tcW w:w="4745" w:type="dxa"/>
            <w:tcBorders/>
            <w:vAlign w:val="center"/>
          </w:tcPr>
          <w:p>
            <w:pPr>
              <w:pStyle w:val="TableContents"/>
              <w:bidi w:val="0"/>
              <w:spacing w:before="0" w:after="283"/>
              <w:jc w:val="left"/>
              <w:rPr>
                <w:b/>
                <w:sz w:val="20"/>
              </w:rPr>
            </w:pPr>
            <w:r>
              <w:rPr>
                <w:b/>
                <w:sz w:val="20"/>
              </w:rPr>
              <w:t>J&amp;S ASSOCIATE PLT</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202206000037 (LLP0033395-LCA) &amp; AF002380</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(Registered with PCAOB and MIA)</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20"/>
              </w:rPr>
            </w:pPr>
            <w:r>
              <w:rPr>
                <w:sz w:val="20"/>
              </w:rPr>
              <w:t>Tel:</w:t>
            </w:r>
          </w:p>
        </w:tc>
        <w:tc>
          <w:tcPr>
            <w:tcW w:w="1970" w:type="dxa"/>
            <w:tcBorders/>
            <w:vAlign w:val="center"/>
          </w:tcPr>
          <w:p>
            <w:pPr>
              <w:pStyle w:val="TableContents"/>
              <w:bidi w:val="0"/>
              <w:spacing w:before="0" w:after="283"/>
              <w:jc w:val="left"/>
              <w:rPr>
                <w:sz w:val="20"/>
              </w:rPr>
            </w:pPr>
            <w:r>
              <w:rPr>
                <w:sz w:val="20"/>
              </w:rPr>
              <w:t>+603-4813 9469</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B-11-14, Megan Avenue II</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20"/>
              </w:rPr>
            </w:pPr>
            <w:r>
              <w:rPr>
                <w:sz w:val="20"/>
              </w:rPr>
              <w:t>Email :</w:t>
            </w:r>
          </w:p>
        </w:tc>
        <w:tc>
          <w:tcPr>
            <w:tcW w:w="1970" w:type="dxa"/>
            <w:tcBorders/>
            <w:vAlign w:val="center"/>
          </w:tcPr>
          <w:p>
            <w:pPr>
              <w:pStyle w:val="TableContents"/>
              <w:bidi w:val="0"/>
              <w:spacing w:before="0" w:after="283"/>
              <w:jc w:val="left"/>
              <w:rPr>
                <w:sz w:val="20"/>
              </w:rPr>
            </w:pPr>
            <w:r>
              <w:rPr>
                <w:sz w:val="20"/>
              </w:rPr>
              <w:t>info@jns-associate.com</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12,Jalan Yap Kwan Seng, 50450, Kuala Lumpur, Malaysia</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20"/>
              </w:rPr>
            </w:pPr>
            <w:r>
              <w:rPr>
                <w:sz w:val="20"/>
              </w:rPr>
              <w:t>Website :</w:t>
            </w:r>
          </w:p>
        </w:tc>
        <w:tc>
          <w:tcPr>
            <w:tcW w:w="1970" w:type="dxa"/>
            <w:tcBorders/>
            <w:vAlign w:val="center"/>
          </w:tcPr>
          <w:p>
            <w:pPr>
              <w:pStyle w:val="TableContents"/>
              <w:bidi w:val="0"/>
              <w:spacing w:before="0" w:after="283"/>
              <w:jc w:val="left"/>
              <w:rPr>
                <w:sz w:val="20"/>
              </w:rPr>
            </w:pPr>
            <w:r>
              <w:rPr>
                <w:sz w:val="20"/>
              </w:rPr>
              <w:t>jns-associate.com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f_001"/>
      <w:bookmarkEnd w:id="2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NewGenivf Group Limited and its subsidiaries (collectively, the “Company”) as of December 31, 2025 and 2024, and the related consolidated statements of operations and comprehensive income (loss), changes in shareholders’ equity, and cash flows for each of the three years in the period ended December 31, 2025, and the related notes to the consolidated financial statements and schedule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72" w:right="0" w:firstLine="33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72" w:right="0" w:firstLine="33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J&amp;S Associate PLT</w:t>
        <w:br/>
        <w:t>Certified Public Accountants</w:t>
        <w:br/>
        <w:t>Firm ID: 6743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br/>
        <w:t>Kuala Lumpur,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except for the number of shares in the balance sheets, statements of changes in shareholders’ equity and in Notes 1, 2, 12, 14, 20 and 23 as well as the earnings per share and weighted average shares outstanding in the statements of operations and comprehensive income (loss), which have been retrospectively adjusted for the reverse share splits effected on July 6, 2026 and September 1, 2026, as to which the report date is September 1, 2026</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6" w:name="f_002"/>
      <w:bookmarkEnd w:id="26"/>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AUDITED CONSOLIDATED BALANCE SHEETS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DECEMBER 31, 2025 AND 2024</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0"/>
        <w:gridCol w:w="60"/>
        <w:gridCol w:w="140"/>
        <w:gridCol w:w="1340"/>
        <w:gridCol w:w="95"/>
        <w:gridCol w:w="60"/>
        <w:gridCol w:w="140"/>
        <w:gridCol w:w="1340"/>
        <w:gridCol w:w="110"/>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758,621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457,740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166,531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49,245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335,360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80,813</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Deposits, prepayments and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503,588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393,152</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Deposit for land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Deposit with a digital asset custodian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34,987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1,000,000</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Deposit with futures broker,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59,369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Receivable from agents,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794,116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1,191,795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116,250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7,383,571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3,172,745</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1,789,110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273,096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504,192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98,570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21,415,069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Digital asset,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1,630,827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Other receivable, deposit and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33,333</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25,339,198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404,999</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FFFFFF" w:val="clear"/>
            <w:tcMar>
              <w:bottom w:w="28" w:type="dxa"/>
            </w:tcMar>
            <w:vAlign w:val="center"/>
          </w:tcPr>
          <w:p>
            <w:pPr>
              <w:pStyle w:val="TableContents"/>
              <w:bidi w:val="0"/>
              <w:spacing w:before="0" w:after="283"/>
              <w:jc w:val="right"/>
              <w:rPr/>
            </w:pPr>
            <w:r>
              <w:rPr/>
              <w:t>32,722,769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FFFFFF" w:val="clear"/>
            <w:tcMar>
              <w:bottom w:w="28" w:type="dxa"/>
            </w:tcMar>
            <w:vAlign w:val="center"/>
          </w:tcPr>
          <w:p>
            <w:pPr>
              <w:pStyle w:val="TableContents"/>
              <w:bidi w:val="0"/>
              <w:spacing w:before="0" w:after="283"/>
              <w:jc w:val="right"/>
              <w:rPr/>
            </w:pPr>
            <w:r>
              <w:rPr/>
              <w:t>3,577,744</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779,280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1,298,964</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Accrued liabilities and other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711,892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500,729</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111,981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63,489</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Due to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6,421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154,453</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238,105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108,526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256,056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82,447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262,616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Promissory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500,000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2,366,351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2,720,354</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272,359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10,231</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Convertible notes,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4,097,366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2,328,916</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4,369,725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2,339,147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6,736,076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5,059,501</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shd w:fill="FFFFFF" w:val="clear"/>
            <w:vAlign w:val="center"/>
          </w:tcPr>
          <w:p>
            <w:pPr>
              <w:pStyle w:val="TableContents"/>
              <w:bidi w:val="0"/>
              <w:spacing w:before="0" w:after="283"/>
              <w:jc w:val="left"/>
              <w:rPr/>
            </w:pPr>
            <w:r>
              <w:rPr/>
              <w:t>Ordinary shares, no par value, unlimited authorized shares and 26,736* and 42* shares issued and outstanding as of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(204,000</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17,881,176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122,505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Retained earnings / (Accumulated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8,893,414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(985,994</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18,875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Equity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26,631,519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(1,048,614</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(644,826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(433,143</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25,986,693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(1,481,757</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32,722,769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3,577,744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f_003"/>
      <w:bookmarkEnd w:id="27"/>
      <w:r>
        <w:rPr>
          <w:rFonts w:ascii="Times New Roman;Times;Serif" w:hAnsi="Times New Roman;Times;Serif"/>
          <w:b/>
          <w:i w:val="false"/>
          <w:caps w:val="false"/>
          <w:smallCaps w:val="false"/>
          <w:sz w:val="20"/>
        </w:rPr>
        <w:t>NEWGENIVF GROUP LIMITED</w:t>
        <w:br/>
        <w:t>AUDITED CONSOLIDATED STATEMENTS OF OPERATIONS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COMPREHENSIVE INCOME (LOSS)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YEARS ENDED DECEMBER 31, 2025, 2024 AND 2023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5"/>
        <w:gridCol w:w="60"/>
        <w:gridCol w:w="60"/>
        <w:gridCol w:w="1175"/>
        <w:gridCol w:w="95"/>
        <w:gridCol w:w="60"/>
        <w:gridCol w:w="140"/>
        <w:gridCol w:w="1055"/>
        <w:gridCol w:w="95"/>
        <w:gridCol w:w="60"/>
        <w:gridCol w:w="140"/>
        <w:gridCol w:w="1100"/>
        <w:gridCol w:w="110"/>
      </w:tblGrid>
      <w:tr>
        <w:trPr/>
        <w:tc>
          <w:tcPr>
            <w:tcW w:w="6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4,726,433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5,433,375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5,136,153</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(3,770,587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(3,606,481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(3,454,368</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955,846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1,681,785</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(1,188,711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(18,030</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(10,493,596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(2,781,075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(1,621,513</w:t>
            </w:r>
          </w:p>
        </w:tc>
        <w:tc>
          <w:tcPr>
            <w:tcW w:w="110" w:type="dxa"/>
            <w:tcBorders/>
            <w:shd w:fill="CCEEFF" w:val="clear"/>
            <w:vAlign w:val="center"/>
          </w:tcPr>
          <w:p>
            <w:pPr>
              <w:pStyle w:val="TableContents"/>
              <w:bidi w:val="0"/>
              <w:spacing w:before="0" w:after="283"/>
              <w:jc w:val="left"/>
              <w:rPr/>
            </w:pPr>
            <w:r>
              <w:rPr/>
              <w:t>)</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(11,682,307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(2,987,389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(1,639,543</w:t>
            </w:r>
          </w:p>
        </w:tc>
        <w:tc>
          <w:tcPr>
            <w:tcW w:w="110" w:type="dxa"/>
            <w:tcBorders/>
            <w:shd w:fill="CCEEFF" w:val="clear"/>
            <w:vAlign w:val="center"/>
          </w:tcPr>
          <w:p>
            <w:pPr>
              <w:pStyle w:val="TableContents"/>
              <w:bidi w:val="0"/>
              <w:spacing w:before="0" w:after="283"/>
              <w:jc w:val="left"/>
              <w:rPr/>
            </w:pPr>
            <w:r>
              <w:rPr/>
              <w:t>)</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(10,726,461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(1,160,495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42,242</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971,391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111,837</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Bargain purchase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21,653,835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Loss on digital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Loss on financial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(700,631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Gain on embedded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456,731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518</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(616,423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(46,179</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20,455,184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199,688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66,176</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(960,807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486,706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(474,101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Less: net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(150,685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(21,775</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Net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9,879,408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(524,643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130,193</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(222,944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32,529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(22,704</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pPr>
            <w:r>
              <w:rPr/>
              <w:t>Total comprehensive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9,505,779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(441,572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85,714</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Less: total comprehensive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(211,683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56,908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(27,621</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Total comprehensive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9,717,462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(498,480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113,335</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Earnings per share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1,932.59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(39,678.88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117,173.70</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xml:space="preserve">– </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(39,678.88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117,173.70</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361,113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f_004"/>
      <w:bookmarkEnd w:id="28"/>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AUDITED CONSOLIDATED STATEMENTS OF CHANGES IN SHAREHOLDERS’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YEARS ENDED DECEMBER 31, 2025, 2024 AND 2023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1265" w:type="dxa"/>
        <w:jc w:val="left"/>
        <w:tblInd w:w="0" w:type="dxa"/>
        <w:tblLayout w:type="fixed"/>
        <w:tblCellMar>
          <w:top w:w="0" w:type="dxa"/>
          <w:left w:w="0" w:type="dxa"/>
          <w:bottom w:w="0" w:type="dxa"/>
          <w:right w:w="0" w:type="dxa"/>
        </w:tblCellMar>
      </w:tblPr>
      <w:tblGrid>
        <w:gridCol w:w="1895"/>
        <w:gridCol w:w="60"/>
        <w:gridCol w:w="60"/>
        <w:gridCol w:w="740"/>
        <w:gridCol w:w="60"/>
        <w:gridCol w:w="60"/>
        <w:gridCol w:w="110"/>
        <w:gridCol w:w="620"/>
        <w:gridCol w:w="60"/>
        <w:gridCol w:w="60"/>
        <w:gridCol w:w="130"/>
        <w:gridCol w:w="790"/>
        <w:gridCol w:w="80"/>
        <w:gridCol w:w="60"/>
        <w:gridCol w:w="110"/>
        <w:gridCol w:w="830"/>
        <w:gridCol w:w="80"/>
        <w:gridCol w:w="60"/>
        <w:gridCol w:w="132"/>
        <w:gridCol w:w="893"/>
        <w:gridCol w:w="80"/>
        <w:gridCol w:w="60"/>
        <w:gridCol w:w="154"/>
        <w:gridCol w:w="931"/>
        <w:gridCol w:w="80"/>
        <w:gridCol w:w="60"/>
        <w:gridCol w:w="110"/>
        <w:gridCol w:w="830"/>
        <w:gridCol w:w="80"/>
        <w:gridCol w:w="60"/>
        <w:gridCol w:w="110"/>
        <w:gridCol w:w="665"/>
        <w:gridCol w:w="80"/>
        <w:gridCol w:w="60"/>
        <w:gridCol w:w="110"/>
        <w:gridCol w:w="830"/>
        <w:gridCol w:w="75"/>
      </w:tblGrid>
      <w:tr>
        <w:trPr/>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Ordinary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Subscription </w:t>
              <w:br/>
              <w:t>receivable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Additional </w:t>
              <w:br/>
              <w:t xml:space="preserve">paid-in </w:t>
              <w:b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Retained </w:t>
              <w:br/>
              <w:t xml:space="preserve">earnings </w:t>
              <w:br/>
              <w:t xml:space="preserve">(Accumulated </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Accumulated </w:t>
              <w:br/>
              <w:t xml:space="preserve">other </w:t>
              <w:br/>
              <w:t xml:space="preserve">comprehensive </w:t>
              <w:br/>
              <w:t>income/(loss)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Total </w:t>
              <w:br/>
              <w:t xml:space="preserve">attributable </w:t>
              <w:br/>
              <w:t xml:space="preserve">to the </w:t>
              <w:br/>
              <w:t xml:space="preserve">shareholders </w:t>
              <w:br/>
              <w:t xml:space="preserve">of the </w:t>
              <w:br/>
              <w:t>Company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Non- controlling </w:t>
              <w:b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b/>
                <w:sz w:val="16"/>
              </w:rPr>
            </w:pPr>
            <w:r>
              <w:rPr>
                <w:b/>
                <w:sz w:val="16"/>
              </w:rPr>
              <w:t>(319,872</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30" w:type="dxa"/>
            <w:tcBorders/>
            <w:shd w:fill="CCEEFF" w:val="clear"/>
            <w:vAlign w:val="center"/>
          </w:tcPr>
          <w:p>
            <w:pPr>
              <w:pStyle w:val="TableContents"/>
              <w:bidi w:val="0"/>
              <w:spacing w:before="0" w:after="283"/>
              <w:jc w:val="right"/>
              <w:rPr>
                <w:b/>
                <w:sz w:val="16"/>
              </w:rPr>
            </w:pPr>
            <w:r>
              <w:rPr>
                <w:b/>
                <w:sz w:val="16"/>
              </w:rPr>
              <w:t>1,464,959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b/>
                <w:sz w:val="16"/>
              </w:rPr>
            </w:pPr>
            <w:r>
              <w:rPr>
                <w:b/>
                <w:sz w:val="16"/>
              </w:rPr>
              <w:t>$</w:t>
            </w:r>
          </w:p>
        </w:tc>
        <w:tc>
          <w:tcPr>
            <w:tcW w:w="893" w:type="dxa"/>
            <w:tcBorders/>
            <w:shd w:fill="CCEEFF" w:val="clear"/>
            <w:vAlign w:val="center"/>
          </w:tcPr>
          <w:p>
            <w:pPr>
              <w:pStyle w:val="TableContents"/>
              <w:bidi w:val="0"/>
              <w:spacing w:before="0" w:after="283"/>
              <w:jc w:val="right"/>
              <w:rPr>
                <w:b/>
                <w:sz w:val="16"/>
              </w:rPr>
            </w:pPr>
            <w:r>
              <w:rPr>
                <w:b/>
                <w:sz w:val="16"/>
              </w:rPr>
              <w:t>(591,544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sz w:val="16"/>
              </w:rPr>
            </w:pPr>
            <w:r>
              <w:rPr>
                <w:b/>
                <w:sz w:val="16"/>
              </w:rPr>
              <w:t>9,570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563,113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665" w:type="dxa"/>
            <w:tcBorders/>
            <w:shd w:fill="CCEEFF" w:val="clear"/>
            <w:vAlign w:val="center"/>
          </w:tcPr>
          <w:p>
            <w:pPr>
              <w:pStyle w:val="TableContents"/>
              <w:bidi w:val="0"/>
              <w:spacing w:before="0" w:after="283"/>
              <w:jc w:val="right"/>
              <w:rPr>
                <w:b/>
                <w:sz w:val="16"/>
              </w:rPr>
            </w:pPr>
            <w:r>
              <w:rPr>
                <w:b/>
                <w:sz w:val="16"/>
              </w:rPr>
              <w:t>(462,430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30" w:type="dxa"/>
            <w:tcBorders/>
            <w:shd w:fill="CCEEFF" w:val="clear"/>
            <w:vAlign w:val="center"/>
          </w:tcPr>
          <w:p>
            <w:pPr>
              <w:pStyle w:val="TableContents"/>
              <w:bidi w:val="0"/>
              <w:spacing w:before="0" w:after="283"/>
              <w:jc w:val="right"/>
              <w:rPr>
                <w:b/>
                <w:sz w:val="16"/>
              </w:rPr>
            </w:pPr>
            <w:r>
              <w:rPr>
                <w:b/>
                <w:sz w:val="16"/>
              </w:rPr>
              <w:t>100,683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130,193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130,193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(21,775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108,418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sz w:val="16"/>
              </w:rPr>
            </w:pPr>
            <w:r>
              <w:rPr>
                <w:sz w:val="16"/>
              </w:rPr>
              <w:t>(16,858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(16,858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(5,846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(22,704</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Settlement of Subscription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192,308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192,308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192,308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b/>
                <w:sz w:val="16"/>
              </w:rPr>
            </w:pPr>
            <w:r>
              <w:rPr>
                <w:b/>
                <w:sz w:val="16"/>
              </w:rPr>
              <w:t>Balance,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2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79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(127,564</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4,331,815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(461,351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93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(7,288</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3,735,612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(490,051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3,245,561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sz w:val="16"/>
              </w:rPr>
            </w:pPr>
            <w:r>
              <w:rPr>
                <w:sz w:val="16"/>
              </w:rPr>
              <w:t>(524,643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(524,643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50,542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(474,101</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sz w:val="16"/>
              </w:rPr>
            </w:pPr>
            <w:r>
              <w:rPr>
                <w:sz w:val="16"/>
              </w:rPr>
              <w:t>26,163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6,366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32,529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Reverse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Settlement of Subscription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127,564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127,564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127,564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Remeasurement of share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Issuance of shares under ELOC/Note Conversion arrangement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(204,000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4,586,236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4,382,236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4,382,236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(204,000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122,505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(985,994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18,875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(1,048,614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(433,143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(1,481,757</w:t>
            </w:r>
          </w:p>
        </w:tc>
        <w:tc>
          <w:tcPr>
            <w:tcW w:w="7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895" w:type="dxa"/>
            <w:tcBorders/>
            <w:shd w:fill="FFFFFF" w:val="clear"/>
            <w:vAlign w:val="center"/>
          </w:tcPr>
          <w:p>
            <w:pPr>
              <w:pStyle w:val="TableContents"/>
              <w:bidi w:val="0"/>
              <w:spacing w:before="0" w:after="283"/>
              <w:jc w:val="left"/>
              <w:rPr>
                <w:sz w:val="16"/>
              </w:rPr>
            </w:pPr>
            <w:r>
              <w:rPr>
                <w:sz w:val="16"/>
              </w:rPr>
              <w:t>Net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9,879,408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9,879,408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(150,685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9,728,723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sz w:val="16"/>
              </w:rPr>
            </w:pPr>
            <w:r>
              <w:rPr>
                <w:sz w:val="16"/>
              </w:rPr>
              <w:t>(161,946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(161,946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(60,998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(222,944</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Issuance of shares under ELOC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15,740.11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 under conversion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6,491.56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sz w:val="16"/>
              </w:rPr>
            </w:pPr>
            <w:r>
              <w:rPr>
                <w:sz w:val="16"/>
              </w:rPr>
              <w:t>204,000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4,860,427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5,064,427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5,064,427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Issuance of shares for business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 for share-based compensation to consultant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Issuance of shares for warrant exercise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4,451.67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26,735.79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17,881,176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8,893,414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(143,071</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26,631,519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(644,826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25,986,693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 in July 2026 of 1 share for every 3 shares issued, and in September 2026 of 1 share for every 3 shares issued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9" w:name="f_005"/>
      <w:bookmarkEnd w:id="29"/>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CASH FLOWS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YEARS ENDED DECEMBER 31, 2025, 2024 AND 2023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0"/>
        <w:gridCol w:w="60"/>
        <w:gridCol w:w="60"/>
        <w:gridCol w:w="1175"/>
        <w:gridCol w:w="95"/>
        <w:gridCol w:w="60"/>
        <w:gridCol w:w="140"/>
        <w:gridCol w:w="1055"/>
        <w:gridCol w:w="95"/>
        <w:gridCol w:w="60"/>
        <w:gridCol w:w="140"/>
        <w:gridCol w:w="1055"/>
        <w:gridCol w:w="110"/>
      </w:tblGrid>
      <w:tr>
        <w:trPr/>
        <w:tc>
          <w:tcPr>
            <w:tcW w:w="6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0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(474,101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00" w:type="dxa"/>
            <w:tcBorders/>
            <w:shd w:fill="FFFFFF" w:val="clear"/>
            <w:vAlign w:val="center"/>
          </w:tcPr>
          <w:p>
            <w:pPr>
              <w:pStyle w:val="TableContents"/>
              <w:bidi w:val="0"/>
              <w:spacing w:before="0" w:after="283"/>
              <w:jc w:val="left"/>
              <w:rPr>
                <w:b/>
              </w:rPr>
            </w:pPr>
            <w:r>
              <w:rPr>
                <w:b/>
              </w:rPr>
              <w:t>Adjustments to reconcile net income (loss)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Depreciation of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31,173</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311,390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198,535</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Loss on digital assets,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332,480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Loss on 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700,631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Amortisation of 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Non cash discount on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Provision of expected credit loss allowance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625</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616,423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46,179</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Impairment on receivable from agency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818,780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Loss on disposal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Waiver of related party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(88,151</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Gain on lease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Gain on promissory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(953,861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Gain on bargain 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(21,653,835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Embedded derivative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(456,731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Legal and professional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27,320</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(Gain on) Provision for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(486,706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(117,285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1,166</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(254,547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(80,665</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Deposit and other receivables,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(2,000,851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(448,266</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Amount due from agency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(421,101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Deferred 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(519,684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1,126,338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71,362</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Accrued liabilities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(6,750,587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(51,167</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(1,352,231</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(321,915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(204,846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(230,433</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Tax paid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(10,926,056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(8,264,074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(1,766,135</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Purchase of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(135,025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(69,848</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Investment in financial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(760,000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Investment in digital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Deposit paid for acquisition of land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Acquisition of businesses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(7,559,774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(53,045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(69,848</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Amount due from A SPAC 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(140,000</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Finance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(9,317</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Settlement of Promissory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Issuance of convertible notes,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6,842,500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8,583,597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Issuance of shares under ELOC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12,620,496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192,308</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(677,663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(24,704</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Amount with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508,738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1,863,206</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18,992,758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8,675,790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1,881,493</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increase/(decrease)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506,928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45,510</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(206,047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(18,962</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457,740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27,556</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758,621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457,740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54,104</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i/>
              </w:rPr>
            </w:pPr>
            <w:r>
              <w:rPr>
                <w:i/>
              </w:rPr>
              <w:t>Supplementary cash flow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Taxes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(677,663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(24,704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no cash was exchanged in respect of these transactions: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shd w:fill="FFFFFF" w:val="clear"/>
        <w:tblLayout w:type="fixed"/>
        <w:tblCellMar>
          <w:top w:w="0" w:type="dxa"/>
          <w:left w:w="0" w:type="dxa"/>
          <w:bottom w:w="0" w:type="dxa"/>
          <w:right w:w="0" w:type="dxa"/>
        </w:tblCellMar>
      </w:tblPr>
      <w:tblGrid>
        <w:gridCol w:w="75"/>
        <w:gridCol w:w="155"/>
        <w:gridCol w:w="474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a.</w:t>
            </w:r>
          </w:p>
        </w:tc>
        <w:tc>
          <w:tcPr>
            <w:tcW w:w="4745" w:type="dxa"/>
            <w:tcBorders/>
            <w:shd w:fill="FFFFFF" w:val="clear"/>
            <w:vAlign w:val="center"/>
          </w:tcPr>
          <w:p>
            <w:pPr>
              <w:pStyle w:val="TableContents"/>
              <w:bidi w:val="0"/>
              <w:spacing w:before="0" w:after="283"/>
              <w:jc w:val="left"/>
              <w:rPr>
                <w:sz w:val="20"/>
              </w:rPr>
            </w:pPr>
            <w:r>
              <w:rPr>
                <w:sz w:val="20"/>
              </w:rPr>
              <w:t>$4,860,427 of convertible debt was converted into equity.</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shd w:fill="FFFFFF" w:val="clear"/>
        <w:tblLayout w:type="fixed"/>
        <w:tblCellMar>
          <w:top w:w="0" w:type="dxa"/>
          <w:left w:w="0" w:type="dxa"/>
          <w:bottom w:w="0" w:type="dxa"/>
          <w:right w:w="0" w:type="dxa"/>
        </w:tblCellMar>
      </w:tblPr>
      <w:tblGrid>
        <w:gridCol w:w="75"/>
        <w:gridCol w:w="170"/>
        <w:gridCol w:w="7085"/>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b.</w:t>
            </w:r>
          </w:p>
        </w:tc>
        <w:tc>
          <w:tcPr>
            <w:tcW w:w="7085" w:type="dxa"/>
            <w:tcBorders/>
            <w:shd w:fill="FFFFFF" w:val="clear"/>
            <w:vAlign w:val="center"/>
          </w:tcPr>
          <w:p>
            <w:pPr>
              <w:pStyle w:val="TableContents"/>
              <w:bidi w:val="0"/>
              <w:spacing w:before="0" w:after="283"/>
              <w:jc w:val="left"/>
              <w:rPr>
                <w:sz w:val="20"/>
              </w:rPr>
            </w:pPr>
            <w:r>
              <w:rPr>
                <w:sz w:val="20"/>
              </w:rPr>
              <w:t>$20,250 was credited to APIC in relation to shares issued for share-based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shd w:fill="FFFFFF" w:val="clear"/>
        <w:tblLayout w:type="fixed"/>
        <w:tblCellMar>
          <w:top w:w="0" w:type="dxa"/>
          <w:left w:w="0" w:type="dxa"/>
          <w:bottom w:w="0" w:type="dxa"/>
          <w:right w:w="0" w:type="dxa"/>
        </w:tblCellMar>
      </w:tblPr>
      <w:tblGrid>
        <w:gridCol w:w="75"/>
        <w:gridCol w:w="155"/>
        <w:gridCol w:w="837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c.</w:t>
            </w:r>
          </w:p>
        </w:tc>
        <w:tc>
          <w:tcPr>
            <w:tcW w:w="8375" w:type="dxa"/>
            <w:tcBorders/>
            <w:shd w:fill="FFFFFF" w:val="clear"/>
            <w:vAlign w:val="center"/>
          </w:tcPr>
          <w:p>
            <w:pPr>
              <w:pStyle w:val="TableContents"/>
              <w:bidi w:val="0"/>
              <w:spacing w:before="0" w:after="283"/>
              <w:jc w:val="left"/>
              <w:rPr>
                <w:sz w:val="20"/>
              </w:rPr>
            </w:pPr>
            <w:r>
              <w:rPr>
                <w:sz w:val="20"/>
              </w:rPr>
              <w:t>$257,500 was credited to APIC in relation to shares issued for acquisition of a business during the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no cash was exchanged in respect of these transactions: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shd w:fill="FFFFFF" w:val="clear"/>
        <w:tblLayout w:type="fixed"/>
        <w:tblCellMar>
          <w:top w:w="0" w:type="dxa"/>
          <w:left w:w="0" w:type="dxa"/>
          <w:bottom w:w="0" w:type="dxa"/>
          <w:right w:w="0" w:type="dxa"/>
        </w:tblCellMar>
      </w:tblPr>
      <w:tblGrid>
        <w:gridCol w:w="75"/>
        <w:gridCol w:w="155"/>
        <w:gridCol w:w="474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a.</w:t>
            </w:r>
          </w:p>
        </w:tc>
        <w:tc>
          <w:tcPr>
            <w:tcW w:w="4745" w:type="dxa"/>
            <w:tcBorders/>
            <w:shd w:fill="FFFFFF" w:val="clear"/>
            <w:vAlign w:val="center"/>
          </w:tcPr>
          <w:p>
            <w:pPr>
              <w:pStyle w:val="TableContents"/>
              <w:bidi w:val="0"/>
              <w:spacing w:before="0" w:after="283"/>
              <w:jc w:val="left"/>
              <w:rPr>
                <w:sz w:val="20"/>
              </w:rPr>
            </w:pPr>
            <w:r>
              <w:rPr>
                <w:sz w:val="20"/>
              </w:rPr>
              <w:t>$2,650,000 of convertible debt was converted into equity.</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shd w:fill="FFFFFF" w:val="clear"/>
        <w:tblLayout w:type="fixed"/>
        <w:tblCellMar>
          <w:top w:w="0" w:type="dxa"/>
          <w:left w:w="0" w:type="dxa"/>
          <w:bottom w:w="0" w:type="dxa"/>
          <w:right w:w="0" w:type="dxa"/>
        </w:tblCellMar>
      </w:tblPr>
      <w:tblGrid>
        <w:gridCol w:w="75"/>
        <w:gridCol w:w="170"/>
        <w:gridCol w:w="914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b.</w:t>
            </w:r>
          </w:p>
        </w:tc>
        <w:tc>
          <w:tcPr>
            <w:tcW w:w="9140" w:type="dxa"/>
            <w:tcBorders/>
            <w:shd w:fill="FFFFFF" w:val="clear"/>
            <w:vAlign w:val="center"/>
          </w:tcPr>
          <w:p>
            <w:pPr>
              <w:pStyle w:val="TableContents"/>
              <w:bidi w:val="0"/>
              <w:spacing w:before="0" w:after="283"/>
              <w:jc w:val="left"/>
              <w:rPr>
                <w:sz w:val="20"/>
              </w:rPr>
            </w:pPr>
            <w:r>
              <w:rPr>
                <w:sz w:val="20"/>
              </w:rPr>
              <w:t>Reversal arising from remeasurement of share-based compensation within prepayment amounting to $2,739,856.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06"/>
      <w:bookmarkEnd w:id="30"/>
      <w:r>
        <w:rPr>
          <w:rFonts w:ascii="Times New Roman;Times;Serif" w:hAnsi="Times New Roman;Times;Serif"/>
          <w:b/>
          <w:i w:val="false"/>
          <w:caps w:val="false"/>
          <w:smallCaps w:val="false"/>
          <w:sz w:val="20"/>
        </w:rPr>
        <w:t>NEWGENIVF GROUP LIMITED</w:t>
        <w:br/>
        <w:t>NOTES TO THE CONSOLIDATED FINANCIAL STATEMENTS</w:t>
        <w:br/>
        <w:t>FOR THE YEARS ENDED DECEMBER 31, 2025 AND DECEMBER 31, 2024</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ORGANIZATION AND PRINCIPAL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then the listed company was renamed as NewGenIvf Group Limited;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Legacy NewGenIvf, ASCA agreed to waive its termination rights and the right to receive any break-up fee due to Legacy NewGenIvf’s failure to deliver audited financial statements by no later than February 28, 2023.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organization chart of the Company and its subsidiaries as of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143750" cy="2571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2571750"/>
                    </a:xfrm>
                    <a:prstGeom prst="rect">
                      <a:avLst/>
                    </a:prstGeom>
                  </pic:spPr>
                </pic:pic>
              </a:graphicData>
            </a:graphic>
          </wp:inline>
        </w:drawing>
      </w: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are detailed in the table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70"/>
        <w:gridCol w:w="60"/>
        <w:gridCol w:w="2364"/>
        <w:gridCol w:w="60"/>
        <w:gridCol w:w="1074"/>
        <w:gridCol w:w="60"/>
        <w:gridCol w:w="3617"/>
      </w:tblGrid>
      <w:tr>
        <w:trPr/>
        <w:tc>
          <w:tcPr>
            <w:tcW w:w="297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2364" w:type="dxa"/>
            <w:tcBorders>
              <w:bottom w:val="single" w:sz="12" w:space="0" w:color="000000"/>
            </w:tcBorders>
            <w:vAlign w:val="center"/>
          </w:tcPr>
          <w:p>
            <w:pPr>
              <w:pStyle w:val="TableContents"/>
              <w:bidi w:val="0"/>
              <w:spacing w:before="0" w:after="283"/>
              <w:jc w:val="center"/>
              <w:rPr>
                <w:b/>
                <w:sz w:val="20"/>
              </w:rPr>
            </w:pPr>
            <w:r>
              <w:rPr>
                <w:b/>
                <w:sz w:val="20"/>
              </w:rPr>
              <w:t>Background</w:t>
            </w:r>
          </w:p>
        </w:tc>
        <w:tc>
          <w:tcPr>
            <w:tcW w:w="60" w:type="dxa"/>
            <w:tcBorders/>
            <w:tcMar>
              <w:bottom w:w="0" w:type="dxa"/>
            </w:tcMar>
            <w:vAlign w:val="center"/>
          </w:tcPr>
          <w:p>
            <w:pPr>
              <w:pStyle w:val="TableContents"/>
              <w:bidi w:val="0"/>
              <w:spacing w:before="0" w:after="283"/>
              <w:jc w:val="left"/>
              <w:rPr/>
            </w:pPr>
            <w:r>
              <w:rPr/>
              <w:t> </w:t>
            </w:r>
          </w:p>
        </w:tc>
        <w:tc>
          <w:tcPr>
            <w:tcW w:w="1074" w:type="dxa"/>
            <w:tcBorders>
              <w:bottom w:val="single" w:sz="12" w:space="0" w:color="000000"/>
            </w:tcBorders>
            <w:vAlign w:val="center"/>
          </w:tcPr>
          <w:p>
            <w:pPr>
              <w:pStyle w:val="TableContents"/>
              <w:bidi w:val="0"/>
              <w:spacing w:before="0" w:after="283"/>
              <w:jc w:val="center"/>
              <w:rPr>
                <w:b/>
                <w:sz w:val="20"/>
              </w:rPr>
            </w:pPr>
            <w:r>
              <w:rPr>
                <w:b/>
                <w:sz w:val="20"/>
              </w:rPr>
              <w:t>Ownership %</w:t>
            </w:r>
          </w:p>
        </w:tc>
        <w:tc>
          <w:tcPr>
            <w:tcW w:w="60" w:type="dxa"/>
            <w:tcBorders/>
            <w:tcMar>
              <w:bottom w:w="0" w:type="dxa"/>
            </w:tcMar>
            <w:vAlign w:val="center"/>
          </w:tcPr>
          <w:p>
            <w:pPr>
              <w:pStyle w:val="TableContents"/>
              <w:bidi w:val="0"/>
              <w:spacing w:before="0" w:after="283"/>
              <w:jc w:val="left"/>
              <w:rPr/>
            </w:pPr>
            <w:r>
              <w:rPr/>
              <w:t> </w:t>
            </w:r>
          </w:p>
        </w:tc>
        <w:tc>
          <w:tcPr>
            <w:tcW w:w="3617"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Principal activity</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NewGenivf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Cayman Islands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16 January,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FFPGS (HK) Limited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19,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Marketing and administrative services</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Well Image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July 11, 2008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Med Holdings Limited (“Med Holdings”) (Note)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21,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First Fertility PGS Center Limited (“FFC”) (Note)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March 6, 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Provision of IVF treatment</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First Fertility Phnom Penh Limited (“FFPP”)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Cambodia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August 10,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Provision of IVF treatment</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Bi Clinic Ltd (“FFBi”)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Kyrgyzstan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16, 2021</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Acquired on December 17,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Provision of IVF treatment, surrogacy and ancillary caring services</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MicroSort Lab Services LLC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US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16,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Specialized applications, in provision of IVF treatment</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NewGenDigital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June 16,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NewGenProperty Limited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September 18,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HyFi Innovations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October 20,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jc w:val="center"/>
              <w:rPr>
                <w:sz w:val="20"/>
              </w:rPr>
            </w:pPr>
            <w:r>
              <w:rPr>
                <w:sz w:val="20"/>
              </w:rPr>
              <w:t>Tokenization Service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15"/>
        <w:gridCol w:w="60"/>
        <w:gridCol w:w="2378"/>
        <w:gridCol w:w="60"/>
        <w:gridCol w:w="439"/>
        <w:gridCol w:w="60"/>
        <w:gridCol w:w="1393"/>
      </w:tblGrid>
      <w:tr>
        <w:trPr/>
        <w:tc>
          <w:tcPr>
            <w:tcW w:w="10205" w:type="dxa"/>
            <w:gridSpan w:val="7"/>
            <w:tcBorders/>
            <w:shd w:fill="FFFFFF" w:val="clear"/>
            <w:vAlign w:val="center"/>
          </w:tcPr>
          <w:p>
            <w:pPr>
              <w:pStyle w:val="TableContents"/>
              <w:bidi w:val="0"/>
              <w:spacing w:before="0" w:after="283"/>
              <w:jc w:val="left"/>
              <w:rPr>
                <w:sz w:val="20"/>
              </w:rPr>
            </w:pPr>
            <w:r>
              <w:rPr>
                <w:sz w:val="20"/>
              </w:rPr>
              <w:t>Incorporated subsequent to the financial year end:</w:t>
            </w:r>
          </w:p>
        </w:tc>
      </w:tr>
      <w:tr>
        <w:trPr/>
        <w:tc>
          <w:tcPr>
            <w:tcW w:w="10205" w:type="dxa"/>
            <w:gridSpan w:val="7"/>
            <w:tcBorders/>
            <w:shd w:fill="FFFFFF" w:val="clear"/>
            <w:vAlign w:val="center"/>
          </w:tcPr>
          <w:p>
            <w:pPr>
              <w:pStyle w:val="TableContents"/>
              <w:bidi w:val="0"/>
              <w:spacing w:before="0" w:after="283"/>
              <w:ind w:left="0" w:right="0" w:hanging="180"/>
              <w:jc w:val="left"/>
              <w:rPr/>
            </w:pPr>
            <w:r>
              <w:rPr/>
              <w:t> </w:t>
            </w:r>
          </w:p>
        </w:tc>
      </w:tr>
      <w:tr>
        <w:trPr/>
        <w:tc>
          <w:tcPr>
            <w:tcW w:w="5815" w:type="dxa"/>
            <w:tcBorders/>
            <w:shd w:fill="CCEEFF" w:val="clear"/>
            <w:vAlign w:val="center"/>
          </w:tcPr>
          <w:p>
            <w:pPr>
              <w:pStyle w:val="TableContents"/>
              <w:bidi w:val="0"/>
              <w:spacing w:before="0" w:after="283"/>
              <w:jc w:val="left"/>
              <w:rPr>
                <w:sz w:val="20"/>
              </w:rPr>
            </w:pPr>
            <w:r>
              <w:rPr>
                <w:sz w:val="20"/>
              </w:rPr>
              <w:t>NewGenBiz Limited  </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13, 2026</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ind w:left="0" w:right="0" w:hanging="180"/>
              <w:jc w:val="center"/>
              <w:rPr>
                <w:sz w:val="20"/>
              </w:rPr>
            </w:pPr>
            <w:r>
              <w:rPr>
                <w:sz w:val="20"/>
              </w:rPr>
              <w:t>Investment Holding</w:t>
            </w:r>
          </w:p>
        </w:tc>
      </w:tr>
      <w:tr>
        <w:trPr/>
        <w:tc>
          <w:tcPr>
            <w:tcW w:w="5815" w:type="dxa"/>
            <w:tcBorders/>
            <w:shd w:fill="FFFFFF" w:val="clear"/>
            <w:vAlign w:val="center"/>
          </w:tcPr>
          <w:p>
            <w:pPr>
              <w:pStyle w:val="TableContents"/>
              <w:bidi w:val="0"/>
              <w:spacing w:before="0" w:after="283"/>
              <w:jc w:val="left"/>
              <w:rPr>
                <w:sz w:val="20"/>
              </w:rPr>
            </w:pPr>
            <w:r>
              <w:rPr>
                <w:sz w:val="20"/>
              </w:rPr>
              <w:t>NewGenOman Limited  </w:t>
            </w:r>
          </w:p>
        </w:tc>
        <w:tc>
          <w:tcPr>
            <w:tcW w:w="60" w:type="dxa"/>
            <w:tcBorders/>
            <w:shd w:fill="FFFFFF" w:val="clear"/>
            <w:vAlign w:val="center"/>
          </w:tcPr>
          <w:p>
            <w:pPr>
              <w:pStyle w:val="TableContents"/>
              <w:bidi w:val="0"/>
              <w:spacing w:before="0" w:after="283"/>
              <w:jc w:val="left"/>
              <w:rPr/>
            </w:pPr>
            <w:r>
              <w:rPr/>
              <w:t> </w:t>
            </w:r>
          </w:p>
        </w:tc>
        <w:tc>
          <w:tcPr>
            <w:tcW w:w="2378" w:type="dxa"/>
            <w:tcBorders/>
            <w:shd w:fill="FFFF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 2026</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sz w:val="20"/>
              </w:rPr>
            </w:pPr>
            <w:r>
              <w:rPr>
                <w:sz w:val="20"/>
              </w:rPr>
              <w:t>100%</w:t>
            </w:r>
          </w:p>
        </w:tc>
        <w:tc>
          <w:tcPr>
            <w:tcW w:w="60" w:type="dxa"/>
            <w:tcBorders/>
            <w:shd w:fill="FFFFFF" w:val="clear"/>
            <w:vAlign w:val="center"/>
          </w:tcPr>
          <w:p>
            <w:pPr>
              <w:pStyle w:val="TableContents"/>
              <w:bidi w:val="0"/>
              <w:spacing w:before="0" w:after="283"/>
              <w:jc w:val="left"/>
              <w:rPr/>
            </w:pPr>
            <w:r>
              <w:rPr/>
              <w:t> </w:t>
            </w:r>
          </w:p>
        </w:tc>
        <w:tc>
          <w:tcPr>
            <w:tcW w:w="1393" w:type="dxa"/>
            <w:tcBorders/>
            <w:shd w:fill="FFFFFF" w:val="clear"/>
            <w:vAlign w:val="center"/>
          </w:tcPr>
          <w:p>
            <w:pPr>
              <w:pStyle w:val="TableContents"/>
              <w:bidi w:val="0"/>
              <w:spacing w:before="0" w:after="283"/>
              <w:ind w:left="0" w:right="0" w:hanging="180"/>
              <w:jc w:val="center"/>
              <w:rPr>
                <w:sz w:val="20"/>
              </w:rPr>
            </w:pPr>
            <w:r>
              <w:rPr>
                <w:sz w:val="20"/>
              </w:rPr>
              <w:t>Investment Holding</w:t>
            </w:r>
          </w:p>
        </w:tc>
      </w:tr>
      <w:tr>
        <w:trPr/>
        <w:tc>
          <w:tcPr>
            <w:tcW w:w="5815" w:type="dxa"/>
            <w:tcBorders/>
            <w:shd w:fill="CCEEFF" w:val="clear"/>
            <w:vAlign w:val="center"/>
          </w:tcPr>
          <w:p>
            <w:pPr>
              <w:pStyle w:val="TableContents"/>
              <w:bidi w:val="0"/>
              <w:spacing w:before="0" w:after="283"/>
              <w:jc w:val="left"/>
              <w:rPr>
                <w:sz w:val="20"/>
              </w:rPr>
            </w:pPr>
            <w:r>
              <w:rPr>
                <w:sz w:val="20"/>
              </w:rPr>
              <w:t>Alfred Siu Charitable Foundation Limited  </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Foundation</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27, 2026</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center"/>
              <w:rPr>
                <w:sz w:val="20"/>
              </w:rPr>
            </w:pPr>
            <w:r>
              <w:rPr>
                <w:sz w:val="20"/>
              </w:rPr>
              <w:t>Charitable activities</w:t>
            </w:r>
          </w:p>
        </w:tc>
      </w:tr>
      <w:tr>
        <w:trPr/>
        <w:tc>
          <w:tcPr>
            <w:tcW w:w="8253"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3" w:type="dxa"/>
            <w:tcBorders/>
            <w:shd w:fill="FFFFFF" w:val="clear"/>
            <w:vAlign w:val="center"/>
          </w:tcPr>
          <w:p>
            <w:pPr>
              <w:pStyle w:val="TableContents"/>
              <w:bidi w:val="0"/>
              <w:spacing w:before="0" w:after="283"/>
              <w:jc w:val="left"/>
              <w:rPr/>
            </w:pPr>
            <w:r>
              <w:rPr/>
              <w:t> </w:t>
            </w:r>
          </w:p>
        </w:tc>
      </w:tr>
      <w:tr>
        <w:trPr/>
        <w:tc>
          <w:tcPr>
            <w:tcW w:w="10205" w:type="dxa"/>
            <w:gridSpan w:val="7"/>
            <w:tcBorders/>
            <w:shd w:fill="FFFFFF" w:val="clear"/>
            <w:vAlign w:val="center"/>
          </w:tcPr>
          <w:p>
            <w:pPr>
              <w:pStyle w:val="TableContents"/>
              <w:bidi w:val="0"/>
              <w:spacing w:before="0" w:after="283"/>
              <w:jc w:val="left"/>
              <w:rPr>
                <w:sz w:val="20"/>
              </w:rPr>
            </w:pPr>
            <w:r>
              <w:rPr>
                <w:sz w:val="20"/>
              </w:rPr>
              <w:t>The following subsidiary was disposed during the year</w:t>
            </w:r>
          </w:p>
        </w:tc>
      </w:tr>
      <w:tr>
        <w:trPr/>
        <w:tc>
          <w:tcPr>
            <w:tcW w:w="10205" w:type="dxa"/>
            <w:gridSpan w:val="7"/>
            <w:tcBorders/>
            <w:shd w:fill="FFFFFF" w:val="clear"/>
            <w:vAlign w:val="center"/>
          </w:tcPr>
          <w:p>
            <w:pPr>
              <w:pStyle w:val="TableContents"/>
              <w:bidi w:val="0"/>
              <w:spacing w:before="0" w:after="283"/>
              <w:ind w:left="0" w:right="0" w:hanging="180"/>
              <w:jc w:val="left"/>
              <w:rPr/>
            </w:pPr>
            <w:r>
              <w:rPr/>
              <w:t> </w:t>
            </w:r>
          </w:p>
        </w:tc>
      </w:tr>
      <w:tr>
        <w:trPr/>
        <w:tc>
          <w:tcPr>
            <w:tcW w:w="5815" w:type="dxa"/>
            <w:tcBorders/>
            <w:shd w:fill="CCEEFF" w:val="clear"/>
            <w:vAlign w:val="center"/>
          </w:tcPr>
          <w:p>
            <w:pPr>
              <w:pStyle w:val="TableContents"/>
              <w:bidi w:val="0"/>
              <w:spacing w:before="0" w:after="283"/>
              <w:jc w:val="left"/>
              <w:rPr/>
            </w:pPr>
            <w:r>
              <w:rPr>
                <w:rFonts w:eastAsia="Times New Roman;Times;Serif"/>
                <w:sz w:val="20"/>
              </w:rPr>
              <w:t>深圳前海豐泰仁匯健康科技有限公司</w:t>
            </w:r>
            <w:r>
              <w:rPr/>
              <w:t xml:space="preserve"> </w:t>
            </w:r>
            <w:r>
              <w:rPr>
                <w:sz w:val="20"/>
              </w:rPr>
              <w:t>(Shenzhen Qianhai Fengtai Renhui Health Technology Co., Ltd.)</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PRC China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Disposed on July 29, 2025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center"/>
              <w:rPr>
                <w:sz w:val="20"/>
              </w:rPr>
            </w:pPr>
            <w:r>
              <w:rPr>
                <w:sz w:val="20"/>
              </w:rPr>
              <w:t>Marketing services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Where less than 50% of the equity of an investee is held, the Company (through its subsidiaries) holds significantly more voting rights than any other vote holder or organized company of vote holders. An assessment has been made, taking into account all the factors relevant to the relationship with the investee, to ascertain control has been established and the investee should be consolidated as a subsidiary of the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Thailand’s Foreign Business Act (the “FBA”), the majority shareholdings of limited company incorporated in Thailand is required to be owned by Thai nationals.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reference to the capital structure and voting rights structure of ordinary shares and preference shares (the “Share Structure”) of Med Holdings and FFC, all the preference share capital shall be owned by a Thai national. No preference shares, however, have been issued to date. The ordinary shares and preference shares have the same rights and status in all respects except for the distribution of profits by way of dividends with details as follow:</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Dividends from profits of Med Holdings and FFC shall be allocated to the holders of preference shares at a rate fixed from time to time by the board of directors prior to allocating to the holders of ordinary shares. In any event, such dividends to be allocated to the holders of preference shares shall not exceed 15% of the total amount of dividends declared from time to time;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20"/>
              </w:rPr>
            </w:pPr>
            <w:r>
              <w:rPr>
                <w:sz w:val="20"/>
              </w:rPr>
              <w:t>(b)</w:t>
            </w:r>
          </w:p>
        </w:tc>
        <w:tc>
          <w:tcPr>
            <w:tcW w:w="9905" w:type="dxa"/>
            <w:tcBorders/>
            <w:vAlign w:val="center"/>
          </w:tcPr>
          <w:p>
            <w:pPr>
              <w:pStyle w:val="TableContents"/>
              <w:bidi w:val="0"/>
              <w:spacing w:before="0" w:after="283"/>
              <w:jc w:val="both"/>
              <w:rPr>
                <w:sz w:val="20"/>
              </w:rPr>
            </w:pPr>
            <w:r>
              <w:rPr>
                <w:sz w:val="20"/>
              </w:rPr>
              <w:t>After allocation of dividends as per (a) above, the rest of the dividends shall be distributed equally amongst the holders of ordinary shares according to their shareholding ratio;</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(c)</w:t>
            </w:r>
          </w:p>
        </w:tc>
        <w:tc>
          <w:tcPr>
            <w:tcW w:w="9924" w:type="dxa"/>
            <w:tcBorders/>
            <w:vAlign w:val="center"/>
          </w:tcPr>
          <w:p>
            <w:pPr>
              <w:pStyle w:val="TableContents"/>
              <w:bidi w:val="0"/>
              <w:spacing w:before="0" w:after="283"/>
              <w:jc w:val="both"/>
              <w:rPr>
                <w:sz w:val="20"/>
              </w:rPr>
            </w:pPr>
            <w:r>
              <w:rPr>
                <w:sz w:val="20"/>
              </w:rPr>
              <w:t>The holders of preferred shares shall be entitled to dividends only in respect of the years for which the Company has declared a dividend payment, and there shall be no cumulative dividends;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20"/>
              </w:rPr>
            </w:pPr>
            <w:r>
              <w:rPr>
                <w:sz w:val="20"/>
              </w:rPr>
              <w:t>(d)</w:t>
            </w:r>
          </w:p>
        </w:tc>
        <w:tc>
          <w:tcPr>
            <w:tcW w:w="9907" w:type="dxa"/>
            <w:tcBorders/>
            <w:vAlign w:val="center"/>
          </w:tcPr>
          <w:p>
            <w:pPr>
              <w:pStyle w:val="TableContents"/>
              <w:bidi w:val="0"/>
              <w:spacing w:before="0" w:after="283"/>
              <w:jc w:val="both"/>
              <w:rPr>
                <w:sz w:val="20"/>
              </w:rPr>
            </w:pPr>
            <w:r>
              <w:rPr>
                <w:sz w:val="20"/>
              </w:rPr>
              <w:t>Dividends allocated to the holders of preferred shares in each year shall be limited at the rate as stated in (a) only. No additional dividends shall be paid to the holders of preferred shares.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management’s judgement on the Shares Structure, as the Company is able to exercise majority voting power in any board meeting, the Company accounts for Med Holdings and FFC as subsidiaries on the ground that the Company is able to control Med Holdings and FFC by exercising its majority voting power in any board meetings.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the Company entered into a non-binding term sheet (the “Non-Binding Term Sheet”) with European Wellness Investment Holdings Limited (“EWIHL”) for (i) the potential acquisition of the entire equity interest of EWIHL by the Company for a consideration of US$268,000,000 to be payable by issuing 53,600,000 ordinary shares of the of the Company to the shareholder(s) of EWIHL or its associate and (ii) the fund-raising activity by the Company from public or private shareholders, and in a form mutually acceptable to the parties, including structured equity investment for up to US$30 million. On December 11, 2024, NewGenIvf announced its entry into a binding term sheet with European Wellness Investment Holdings Limited (“EWIHL”) for the above proposed reverse merger, completion of which was subject to, among other conditions, the completion of due diligence, the negotiation of a definitive agreement, and obtaining adequate financing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On March 31, 2025, the Company terminated the binding term sheet with healthcare company EWIHL regarding their previously announced reverse merger transaction on the grounds of non fulfilment of certain criteria as contained in the term sheet.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deficiency letter from the Listing Qualifications Department of The Nasdaq Stock Market LLC (“Nasdaq”) notifying the Company of its non-compliance with two (2) listing requirements for continued listing on Nasdaq pursuant to Nasdaq Listing Rules. On November 21, 2024, a delisting notice was received from the continued non-compliance. The Company had filed to appeal the delisting determination and undertook several strategic actions to regain compliance with Nasdaq’s listing require. On February 27, 2025, the Company received approval for the transfer of the Company’s securities from the Nasdaq Global Market to the Nasdaq Capital Market and on March 10, 2025 met its compliance with the listing requirements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2024, the Company announced the execution of a non-binding term sheet (the “Term Sheet”) regarding a proposed reverse merger (the “Proposed Transaction”) with pharmaceutical company COVIRIX Medical Pty Ltd (“COVIRIX”). The consideration was to be settled by way of the issuance of issue 102,890,000 of its ordinary shares to the shareholder(s) of COVIRIX or their respective nominees (the “COVIRIX Shareholders”) in exchange for 100% equity interest of COVIRIX, at a deemed price per share of US$6, representing an aggregate amount of US$617,340,000. Simultaneously, it is proposed that COVIRIX undertakes to introduce investors to raise US$6 million at US$6 per share for NIVF, in a form mutually acceptable to both NewGen and COVIRIX. Following stockholder approval of the Proposed Transaction, COVIRIX Shareholders are expected to hold approximately 85.8% equity interest in NewGen. However, on September 21, 2024, COVIRIX withdrew from the Proposed Transaction, as such the Proposed Transaction was terminated with no cost to the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7, 2024, the Company entered into a Securities Purchase Agreement with certain investors named therein (collectively, the “Buyers”), pursuant to which, amongst other things: (i) the Company agreed to sell, at an initial closing with JAK Opportunities VI LLC (“JAK” and such initial closing, the “Initial Closing”), pursuant to which the Company agreed to sell to JAK (a) a senior convertible note (the “Initial Note”) in the aggregate original principal amount not exceeding $1,100,000), and which terms are further set forth below under the subheading “(ii) Initial Closing with JAK”), (b) a warrant to purchase 1,325,301 Class A Ordinary Shares of the Company, no par value (“Class A Shares” and such warrant, the Series A Warrant), and (c) a warrant to purchase 180,722 Class B Ordinary Shares of the Company, no par value (“Class B Shares” and such warrant, the Series B Warrant, and the Series B Warrants, together with the Series A Warrants, the “Warrants”); and (ii) the Company may require each Buyer (or each Buyer may require the Company, as applicable) to participate in the sale of (a) one or more additional convertible notes (which aggregate original principal amount for all additional convertible notes shall not exceed $9,500,000) (the “Additional Notes,” and, together with the Initial Note, the “Notes”).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12, 2024, the Company and JAK consummated the Initial Closing. The Initial Note sold to JAK in connection with the Securities Purchase Agreement bears an interest rate of 14.75% per annum and is convertible into the Company’s Class A Shares as follows: the Conversion Amount (as defined below) into validly issued, fully paid and non-assessable Class A at the Conversion Rate determined by dividing the aggregate of the principal sum plus the interest rates (including late interest charges, if any) and the Make-Whole Amount, if any, by conversion price of $0.83.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Initial Closing, the Company also sold to JAK a Series A Warrant to purchase 1,325,301 Class A Shares and a Series B Warrant to purchase 180,722 Class B Shares subject to Reverse Stock Split adjustments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in connection with the Securities Purchase Agreement, the Company entered into amendment and exchange agreements with certain holders of its convertible promissory notes (the “Existing Notes” and each of such amendment and exchange agreements, “Amendment and Exchange Agreement”), pursuant to which the Company will exchange the Existing Notes by issuing, among other things, (i) senior convertible notes in the aggregate principal amount of $2,700,000 (the “Exchange Notes”) and (b) a series of warrants to initially acquire up to a certain number of ordinary shares to the holders of the Existing Notes set forth therein or in the Amendment and Exchange Agreement (the “Exchange Warrants”)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28, 2024, the Company consummated the second tranche of its debt financing under the terms of the Securities Purchase Agreement. At the closing of the second tranche, the Company sold to JAK Opportunities VI LLC (“JAK”) a senior convertible note (the “Note”) in the principal amount of $500,000.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2024, the Company consummated the third tranche of its debt financing under the terms of the Securities Purchase Agreement (“SPA”) referenced in the current report on Form 6-K filed with the United States Securities and Exchange Commission (the “SEC”) on August 16, 2024. The Form 6-K filed with the SEC on August 16, 2024 is incorporated by reference herein. Pursuant to the terms of the SPA, the Company may elect at the second additional mandatory closing to sell and the institutional investor party to the SPA shall be required to purchases, subject to certain conditions, an additional note (“Second Additional Mandatory Note”) in the principal amount of $1,500,000, after the effective date of the Registration Statement (as defined in the SPA). The sale of the Second Additional Mandatory Note resulted in $1,395,000 of gross proceeds to the company before fees and expenses. The Notes bears an interest rate of 14.75% per annum and may be adjustable from time to time pursuant to its terms, with maturity at the 4.5 years anniversary of the date of issuance, subject to extension at the option of the holders in certain circumstances. The Second Additional Note are convertible at any time, at an initial conversion price of $0.658.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18, 2024, the Company entered into a binding term sheet (the “Term Sheet”) with White Lion Capital, LLC, (“White Lion”) a California-based institutional investor focused on high-growth, early-stage public companies, setting out the principal terms and conditions for a $100 million equity line of credit, expandable to $500 million. Pursuant to the Term Sheet, NewGen will have the option, but not the obligation, to sell to White Lion up to $100.0 million in shares of common stock over an initial 36-month period, with the potential to increase to $300.0 million upon substantial M&amp;A or merger activity, and further to $500.0 million after $250.0 million has been drawn.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28, 2025, the Company completed its acquisition of the MicroSort business from Genetics &amp; IVF Institute, Inc. (“GIVF”). Pursuant to a Purchase Agreement dated January 21, 2025 between the Company and GIVF (“Purchase Agreement”), the Company purchased all of the Assets (as defined in the Purchase Agreement) and IP Licenses (as defined in the Purchase Agreement) relating to the MicroSort business from GIVF for a total cash consideration of for US$5 million, which was satisfied through a combination of US$750,000 in cash and the issuance of 2,500,000 ordinary shares (as was adjusted to 4.63 ordinary shares after all the Reverse Stock Splits done as of this Report date at date of completion) at a deemed value of US$1.70 per share.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the Company entered into a cooperation agreement with FERTILITY GROUP LLC (“BOBCARE”) to jointly develop fertility services in the Kyrgyzstan market. The collaboration aims to combine NewGen’s technical expertise in fertility treatments with BOBCARE’s market resources in the region. This strategic partnership is anticipated to contribute to NewGen’s market presence over the next three years, improving the competitive position of both parties in the Kyrgyzstan market. Both companies will work together on several initiatives, including enhancing clinical protocols and patient management systems, knowledge exchange between fertility specialists, coordinated marketing and brand-building activities in Kyrgyzstan, and developing specialized fertility treatment options for the regional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2025, the Company’s Board approved certain amendments to its Share Incentive Plan of 2024, the awards of which are valid for a period of 10 years from March 28, 2025, whereby the maximum aggregate number of shares with respect to which Awards may be granted under the Plan shall be 1,054,260 Shares (39 ordinary shares as adjusted for reverse stock splits in May 2025, August 2025, December 2025, January 2026, March 2026, July 2026 and September 2026) and has been increased in March 2026 by the Board to 454,812 ordinary shares (12,634 ordinary shares as adjusted by reverse stock splits in March 2026, in July 2026 and September 2026) of the Company, which may be increased from time to time as determined by the Board or Committee of the Board, in an amount equal to 20% of the then outstanding ordinary shares of the Company at the time of such increase. On May 27, 2026, the Company’s Board approved the replenishment of the Share Incentive Plan such that the maximum aggregate number of ordinary shares with respect to which awards may be granted under the Plan be increased to 20% of the total outstanding ordinary shares, which was 555,584 ordinary shares (61,732 ordinary shares as adjusted by reverse stocks splits in July and September 2026). Shares may be made available from Shares held in treasury or authorized but unissued shares of the Company not reserved for any other purpose. To date, 12,634 ordinary shares as adjusted by Reverse Stock Splits have been awarded under this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2025, the Company entered into a new Securities Purchase Agreement (“2025 Securities Purchase Agreement”) with JAK, pursuant to which, amongst other things: (i) the Company agreed to sell, at an initial closing, a senior convertible note in the aggregate original principal amount not exceeding $3,200,000, convertible into Class A Ordinary Shares pursuant to its terms; and (ii) the Company may require JAK (or JAK may require the Company, as applicable) to participate in the sale of one or more additional convertible notes (which aggregate original principal amount for all additional convertible notes shall not exceed $25,600,000).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2025 Securities Purchase Agreement is filed as Exhibit 4.1 of the Company’s current report on Form 6-K dated April 3, 2025 and is incorporated by reference herein. The first tranche of $3,200,000 was received on June 3,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2025 and July 16, 2025, the Company consummated the fourth and fifth tranche of its debt financing under the terms of its existing Securities Purchase Agreement with the investor, At the closing of the fourth and fifth tranche, the Company sold to the investor a senior convertible note in the principal amount of $2,000,000 each. The Note bears an interest rate of 14.75% per annum and may be adjustable from time to time pursuant to its terms. The funding from these arrangements with the investor is intended to be used to finance the establishment of a fertility clinic in Dubai.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24, 2025, NewGenIvf signed a Purchase Agreement to acquire the Nodexus business which included certain tangible assets, company domain and six patents from Nodexus Inc, a distressed company, for a consideration of $300,000.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NewGenProperty Limited (“NewGenProperty”), a wholly owned subsidiary of the Company, entered into a joint venture agreement with BNW to develop the Plot. Under the terms of the joint venture agreement, NewGenProperty shall hold 60% of the joint venture, and be responsible for funding 36% of the purchase price of the Plot to the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joint venture agreement. 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15, 2025, November 4, 2025 and January 22, 2026, the Company entered into three Convertible Promissory notes with Vanguish Funding Group, in amount to $257,000, 157,000 and $107,000 respectively and also November 12, 2025, the Company entered another Convertible Promissory notes with Labrys Fund II, L.P. Note, totaling to $250,000.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3, 2025, the Company announced the execution of a non-binding term sheet regarding a proposed reverse merger (the “Proposed RTO”) with SAXA, Inc. (“SAXA”), an international holdings company focused on mining and processing operations. On November 5, 2025, the Company announced the signing of an service agreement with SAXA to act as the worldwide agent for the tokenization of an initial US$100 million tranche of SAXA’s gold-backed assets (“Tokenization Engagement”). The Tokenization Engagement was intended to be the first part of a two-part transaction culminating in the Proposed RTO. The Proposed RTO was subject to completion of due diligence, and negotiation of a definitive agreement, among other conditions. As the conditions set out in the term sheet, in particular, with respect to due diligence and execution of definitive agreements, had not been satisfied by SAXA by the later of: (i) the end of the 30-day period as set out in the term sheet; or (ii) the tentative timetable with completion by January 28, 2026 as set out in the term sheet, the Company will not be proceeding with the Proposed RTO, or the Tokenization Engagement. No material agreements have been entered into between SAXA and the Company, and the Company is not pursuing any transaction with SAXA.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10, 2025, Board of Directors (the “Board”) has authorized a share repurchase program under which the Company may repurchase up to US$2 million of its outstanding Class A ordinary shares over the next 24 months (“Share Repurchase Program”). The Company plans to adopt and implement this Share Repurchase Program in accordance with applicable rules and requirements under the Securities Exchange Act of 1934, as amended (the “Exchange Act”), and the Company’s insider trading policy.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Yip Eng Jeremy Foo, a director of NewGenIvf Group Limited (the “Company”), has resigned from the Board of Directors of the Company, the Audit Committee of the Company, and the Compensation Committee of the Company due to personal reasons, effective April 4, 2025. Mr. Foo’s resignation did not result from any disagreement with the Board or the Company on any matter relating to the Company’s operations, policies or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Florianna Ann Chi Wan Chan was appointed as a director of the Company, effective April 15, 2025, to fill the vacancy on the Audit Committee and the Compensation Committee created by Mr. Foo’s resignation. Ms Chan has over 20 years of experience in project management, real estate development, and luxury hospitality, and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 and basis of preparation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the accounts of the Company and all of its subsidiaries in which a controlling interest is maintained. All inter-company balances and transactions have been eliminated in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transaction between Legacy NewGenIvf and SPAC I was accounted for as a reverse recapitalization under ASC 805, Business Combinations, with NewGenIvf Group Limited, and deemed to be the accounting acquirer. As SPAC I did not meet the definition of a business under ASC 805, the transaction was not treated as a business combination. Instead, it was accounted for as a recapitalization.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consolidated assets, liabilities and results of operations of the accounting acquirer will become the historical financial statements of the Company, and the accounting acquirer’s assets, liabilities and results of operations will be consolidated with the Company beginning on the acquisition date. The Legacy NewGenIvf was the legal acquiree but deemed to be the accounting acquirer. The Company was the legal acquirer but deemed to be the accounting acquiree in the reverse merger. The historical financial statements prior to the acquisition are those of the accounting acquirer (Legacy NewGenivf). After completion of the Share Exchange Transaction, the Company’s consolidated financial statements include the assets and liabilities, the operations and cash flow of the accounting acquirer. Any excess of the value of shares issued by the Company over the net book value of the accounting acquirer will be recognized as a reduction to equity (APIC).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 and gain on bargain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805, the accounting for business combinations which requires the application of the acquisition method. This method mandates that the acquiring entity recognize all assets acquired and liabilities assumed at their acquisition-date fair values. Gain on a business acquisition is recognized in earnings only in the specific circumstance of a “bargain purchase.” This occurs when the fair value of the identifiable net assets acquired exceeds the total consideration transferred (including the fair value of any non-controlling interest). It requires the acquirer to first meticulously reassess all measurements—including the identification and valuation of assets, liabilities, and the consideration—to ensure the gain is not a measurement error. Once confirmed, the resulting bargain purchase gain is recognized in profit or loss on the acquisition date. This treatment reflects the economic benefit obtained by the acquirer from purchasing net assets for less than their aggregate fair value. Under US GAAP, the distinction between acquiring a business and acquiring a group of assets is determined by a defined screen test. A transaction is accounted for as a business combination only if the acquired set meets the specific definition of a business, which requires an integrated set of activities with, at a minimum, an input and a substantive process that together significantly contribute to the ability to create outputs.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is required to apply the provisions of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The Company determines its operating segments based on the information used by the Chief Operating Decision Maker (CODM) to allocate resources and assess performance. The CODM has been identified as the Chief Executive Officer.</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financial information at the operating segment level on a regular basis. Based on this review process, the Company has determined its reportable segments to be IVF Revenue and Fertility Referral Revenue. These segments reflect how the CEO manages the business, evaluates performance, and makes strategic decisions regarding resource allocation.</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the performance of each segment based on segment contribution margin. Significant expenses are reviewed by CEO and it is determined that expenses related to Fertility Referral Revenue are immaterial and thus there is no need to segregate the expenses under different segments. Other segment items represent general and administrative and other miscellaneous expenses not separately reported to the CODM.</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applies the provisions of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Segment assets are not regularly provided to the CODM and are therefore not reported in the segment disclosures.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periods presented. Actual results could differ from those estimates. Significant accounting estimates reflected in the Company’s consolidated financial statements includes the impairment of long-lived assets including the intangible assets, revenue recognition, fair value measurement of digital assets, assessment of whether an acquisition is that of a business or an asset and recognition of bargain purchase gain, determination of embedded derivatives requiring bifurcation and valuation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in United States dollar (“$”), which is the reporting currency of the Company. The functional currency of the Company and its subsidiaries, FFPGS (HK) Limited and Well Image Limited, are Hong Kong dollar (“HK$”). Med Holdings and FFC use Thai baht (“THB”) as their functional currencies. The other subsidiaries use United States dollar (“USD”) as their functional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denominated in currencies other than the reporting currency are translated into the reporting currency at the rates of exchange prevailing at the balance sheet date. Monetary assets and liabilities denominated in currencies other than the functional currency are translated into the functional currency using the applicable exchange rates at the balance sheet dates. Translation gains and losses are recognized in the consolidated statements of operations and comprehensive income as other comprehensive income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currencies other than the reporting currency are measured and recorded in the reporting currency at the exchange rate prevailing on the transaction date. The cumulative gain or loss from foreign currency transactions is reflected in the consolidated statements of operations and comprehensive income as other income (other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foreign currencies including, the HK$, THB and RMB, may fluctuate against the United States dollar. Any significant variations of the aforementioned currencies relative to the United States dollar may materially affect the Company’s financial condition in terms of reporting in USD. The following table outlines the currency exchange rates that were used in preparing the accompanying consolidated financial statements:</w:t>
      </w:r>
    </w:p>
    <w:p>
      <w:pPr>
        <w:pStyle w:val="TextBody"/>
        <w:bidi w:val="0"/>
        <w:spacing w:before="0" w:after="0"/>
        <w:ind w:left="0" w:right="0" w:firstLine="72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445"/>
        <w:gridCol w:w="60"/>
        <w:gridCol w:w="680"/>
        <w:gridCol w:w="60"/>
        <w:gridCol w:w="60"/>
        <w:gridCol w:w="60"/>
        <w:gridCol w:w="800"/>
        <w:gridCol w:w="60"/>
        <w:gridCol w:w="60"/>
        <w:gridCol w:w="60"/>
        <w:gridCol w:w="800"/>
        <w:gridCol w:w="60"/>
        <w:gridCol w:w="60"/>
        <w:gridCol w:w="60"/>
        <w:gridCol w:w="800"/>
        <w:gridCol w:w="75"/>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HK$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HK$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THB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34.3353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34.2265</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THB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31.7436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35.2262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34.7867</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RMB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7.0971</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RMB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7.2327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7.0835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financial institutions, other short-term deposits with original maturities of three months or less that are readily convertible to known amounts of cash and which are subject to an insignificant risk of changes in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Deposits, prepayments other receivables,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other receivables, net primarily include deposits paid to suppliers and prepaid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 incurred in connection with issuing convertible debt are deferred and amortized over the life of the debt. These costs are presented as a direct deduction from the carrying amount of the debt liability on the balance sheet (per ASC 835-30).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crypto assets in accordance with ASC 350-60, Intangibles — Goodwill and Other — Crypto Assets. We have ownership of and control over our digital assets and use third-party custodial services to store the private keys that provide access to the digital assets in its digital wallets. Digital assets are initially recorded at cost and are subsequently remeasured at fair value, with changes in fair value recognized in net income in the period of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and record the fair value of our digital assets in accordance with ASC 820, Fair Value Measurement (“ASC 820”), based on quoted prices on the active exchange(s) that we have determined is the principal market for such assets (Level I inputs). We determine the cost basis (using the first-in, first-out (“FIFO”) method) of our digital assets using the specific identification of each unit received. Realized and unrealized gains and losses are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ASC Topic 718-10, Compensation-Stock Compensation, which requires the measurement and recognition of compensation expense for all share-based payment arrangements related to the acquisition of goods and services from both non-employees and employees based on fair values of the shares at grant date represented by the closing prices of the Company’s common stock at the respective grant date in accordance with ASC 718. Stock-based compensation expense recognized during the period is based on the value of the portion of share-based payment awards that relate to the service period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share-based compensation is recorded when the Company issues fully vested, nonforfeitable share-based payment awards to nonemployees on the grant date, when the nonemployee earns the right to receive and where no specific performance is required by the nonemployee to retain those equity instruments, in accordance with ASC 718-10-45-3. The prepayment is recorded where the shares are issued before the financial year end in accordance with the grant date and represents the fair value of goods or services that are to be received from the nonemployee subsequent to the financial period end.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cost for awards that do not have an established accounting grant date, but for which the service inception date has been established is based on the best estimate of fair value of Company’s common stock at the end of each reporting period and a corresponding accrual is recorded.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cost is recognized over the requisite service period for employees and over the service period for non employees.</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Plant and equipment are stated at cost less accumulated depreciation. Depreciation is provided over their estimated useful lives, using the straight-line method. The Company typically applies a salvage value of 0%. The estimated useful lives of the plan and equipment are as follows: </w:t>
      </w:r>
    </w:p>
    <w:p>
      <w:pPr>
        <w:pStyle w:val="TextBody"/>
        <w:bidi w:val="0"/>
        <w:spacing w:before="0" w:after="0"/>
        <w:ind w:left="0" w:right="0" w:firstLine="72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405"/>
        <w:gridCol w:w="60"/>
        <w:gridCol w:w="3665"/>
      </w:tblGrid>
      <w:tr>
        <w:trPr/>
        <w:tc>
          <w:tcPr>
            <w:tcW w:w="240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5 years</w:t>
            </w:r>
          </w:p>
        </w:tc>
      </w:tr>
      <w:tr>
        <w:trPr/>
        <w:tc>
          <w:tcPr>
            <w:tcW w:w="240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665" w:type="dxa"/>
            <w:tcBorders/>
            <w:shd w:fill="FFFFFF" w:val="clear"/>
            <w:vAlign w:val="center"/>
          </w:tcPr>
          <w:p>
            <w:pPr>
              <w:pStyle w:val="TableContents"/>
              <w:bidi w:val="0"/>
              <w:spacing w:before="0" w:after="283"/>
              <w:jc w:val="center"/>
              <w:rPr/>
            </w:pPr>
            <w:r>
              <w:rPr/>
              <w:t>the lesser of useful life or term of lease</w:t>
            </w:r>
          </w:p>
        </w:tc>
      </w:tr>
      <w:tr>
        <w:trPr/>
        <w:tc>
          <w:tcPr>
            <w:tcW w:w="2405" w:type="dxa"/>
            <w:tcBorders/>
            <w:shd w:fill="CCEEFF" w:val="clear"/>
            <w:vAlign w:val="center"/>
          </w:tcPr>
          <w:p>
            <w:pPr>
              <w:pStyle w:val="TableContents"/>
              <w:bidi w:val="0"/>
              <w:spacing w:before="0" w:after="283"/>
              <w:jc w:val="left"/>
              <w:rPr/>
            </w:pPr>
            <w:r>
              <w:rPr/>
              <w:t>Medical instruments</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10 years</w:t>
            </w:r>
          </w:p>
        </w:tc>
      </w:tr>
      <w:tr>
        <w:trPr/>
        <w:tc>
          <w:tcPr>
            <w:tcW w:w="2405"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3665" w:type="dxa"/>
            <w:tcBorders/>
            <w:shd w:fill="FFFFFF" w:val="clear"/>
            <w:vAlign w:val="center"/>
          </w:tcPr>
          <w:p>
            <w:pPr>
              <w:pStyle w:val="TableContents"/>
              <w:bidi w:val="0"/>
              <w:spacing w:before="0" w:after="283"/>
              <w:jc w:val="center"/>
              <w:rPr/>
            </w:pPr>
            <w:r>
              <w:rPr/>
              <w:t>3 – 5 years</w:t>
            </w:r>
          </w:p>
        </w:tc>
      </w:tr>
      <w:tr>
        <w:trPr/>
        <w:tc>
          <w:tcPr>
            <w:tcW w:w="240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5 years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related accumulated depreciation of assets sold or otherwise retired are eliminated from the accounts, and any gain or loss are included in the Company’s results of operations. The costs of maintenance and repairs are expensed as incurred. Significant renewals and betterments that extend the useful life of an assets are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from third parties are measured initially at fair value and those with an infinite live are not amortized. The Company annually evaluates the recoverability of the infinite-lived intangible assets for possible impairment whenever events or circumstances indicate that the carrying amount of such assets may not be recoverable. To test indefinite-lived intangible assets for impairment, the Company first performs 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 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did not record an impairment on the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Impairment of long-lived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provisions of ASC Topic 360, </w:t>
      </w:r>
      <w:r>
        <w:rPr>
          <w:rFonts w:ascii="Times New Roman;Times;Serif" w:hAnsi="Times New Roman;Times;Serif"/>
          <w:b w:val="false"/>
          <w:i/>
          <w:caps w:val="false"/>
          <w:smallCaps w:val="false"/>
          <w:sz w:val="20"/>
        </w:rPr>
        <w:t>Impairment or Disposal of Long-Lived Assets</w:t>
      </w:r>
      <w:r>
        <w:rPr>
          <w:rFonts w:ascii="Times New Roman;Times;Serif" w:hAnsi="Times New Roman;Times;Serif"/>
          <w:b w:val="false"/>
          <w:i w:val="false"/>
          <w:caps w:val="false"/>
          <w:smallCaps w:val="false"/>
          <w:sz w:val="20"/>
        </w:rPr>
        <w:t>, all long-lived assets such as property, plant and equipment owned and held by the Company are reviewed for impairment whenever events or changes in circumstances indicate that the carrying amount of an asset may not be recoverable. Recoverability of assets to be held and used is evaluated by a comparison of the carrying amount of an asset to its estimated future undiscounted cash flows expected to be generated by the asset. If such assets are considered to be impaired, the impairment to be recognized is measured by the amount by which the carrying amounts of the assets exceed the fair value of the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impairment loss on plant and equipment for the year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 with futures broker,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financial assets, derivative instruments, and broker margin balances in accordance with Accounting Standards Codification (“ASC”) 815, Derivatives and Hedging, ASC 820, Fair Value Measurement. The Company has engaged in trading of exchange-traded equity index futures through a margin account maintained with a regulated futures broker. Futures contracts are accounted for as derivative instruments under ASC 815.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designate any derivative instruments as hedging instruments for accounting purposes. Accordingly, all derivatives are accounted for at fair value with changes in fair value recognized in earnings as incurred. Realised and unrealised gains and losses arising from derivative trading activities are recorded within other income (expense) in the consolidated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deposited with a futures broker to support margin requirements is included within deposit held by futures broker. The margin account reflects the accumulation of realised gains and losses from futures transactions, brokerage commissions, margin interest, and other related charges. Broker margin accounts may include balances denominated in multiple currencies. Amounts related to trading activity are primarily accumulated in Japanese yen (“JPY”), while margin deposits are funded principally in U.S. dollars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closure of a margin account, cash proceeds are expected to be received net of outstanding broker charges and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incurred on negative balances within broker margin accounts is recognized as interest expense in the period incurred and included within other income (expense) or finance costs,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Exchange-traded futures contracts are measured at fair value using quoted prices in active markets. When outstanding, such instruments are classified within Level 1 of the fair value hierarchy described in ASC 820.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realizable value. Costs are determined on a first-in, first-out basis. Net realizable value is based on the estimated selling prices less any estimated costs to be incurred to completion and disposal. A provision for excess and obsolete inventory will be made based primarily on products approaching expiry period and forecasts of product demand. The excess balance above the product demand as determined by this analysis becomes the basis for excess inventory charge and the written-down value of the inventory becomes its cost. Written-down inventory would not be reversed if market conditions improve.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which consist of legal and other expenses incurred through the balance sheet date that are directly related to the proposed public offering, are capitalized, and will be charged against the gross proceeds of the offering and recorded as reduction of shareholders’ equity upon the completion of the proposed offering. Should the proposed public offering prove to be unsuccessful, these deferred costs, as well as additional expenses incurred, will be charged to the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borrowings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borrowings are recognized initially at fair value, net of debt issuance costs incurred. Other borrowings are subsequently stated at amortized cost; any difference between the proceeds (net of debt issuance costs) and the redemption value is recognized in the consolidated statements of operations over the period of the borrowings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Instruments are categorized as equity or debt based on the terms of the notes. Convertible Notes are recorded at amounts equal to the proceeds of the issuance, including the embedded conversion feature, and net of discounts and unamortized debt issuance in accordance with ASC 480-10-55-44 on the consolidated balance sheets. An evaluation of all conversion, purchase and redemption features contained in a debt instrument is performed to determine if there are any embedded features that require bifurcation as a derivative. The conversion feature is recorded separately as a derivative liability at its fair value, calculated using the Black-Scholes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and offering costs are amortized over the contractual term of the Convertible Notes, to the consolidated statements of operations in accordance with ASC 835-30-45-1A and presented as a reduction of the amortised cost of the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subsequently recorded at amortized cost, with interest expense recognized using the effective interest method. The derivative liability, if any is remeasured at fair value at each reporting date and any gain or loss on fair value is recognized in the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period end date while the warrants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Warrants classified as equity instruments are initially recognized at fair value within additional paid in capital and are not subsequently remeasured. The warrants have been assessed to meet the requirements for equity classification and accounted for as equity. Upon exercise of the warrants, the Company will record the proceeds received, together with the carrying value of the warrants, as an increase to common stock and additional paid-in capital. Warrants that expire unexercised will be derecognized with no impact on the statement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do not meet all the criteria for equity classification, the warrants are required to be recorded as liabilities at their initial fair value on the date of issuance and are remeasured at each reporting date until settlement. Changes in fair value is recognized as a component of change in fair value of warrant liability in the condensed consolidated statements of operations and as a non-cash gain or loss in the condensed consolidated statement of comprehensive loss. Transaction costs allocated to warrants that are presented as a liability are immediately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classified warrants have been issued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notes, are of non-interest bearing and recorded at original cost. They are subsequently measured at amortised cost, with interest expense recognized using the effective interest method in the consolidated statement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are stated at no par value. The difference between the consideration received, net of issuance cost, is recorded in additional paid-in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505, reverse stock splits are applied retrospectively. Consequently, all share and per share amounts for all periods presented in the accompanying consolidated financial statements and notes thereto have been adjusted to reflect the reverse stock split. This retrospective adjustment includes the recalculation of shares within equity and ensures that basic and diluted earnings per share, as well as all other share-based information such as stock options and warrants, are presented as if the reverse stock split had been in effect for all periods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equity of the Company as of December 31, 2025 represents 26,736 ordinary shares with par value of $Nil. The number of shares as above have taken into consideration the reverse stock split effected on February 11, 2025, May 6, 2025, August 4, 2025, December 1, 2025, January 26, 2026, March 16, 2026, July 6, 2026 and September 1, 2026 at an exchange ratio of one (1) share for twenty (20) shares, one (1) share for ten (10) shares, one (1) share for five (5) shares, one (1) share for five (5) shares, one (1) share for three (3) shares, one (1) share for four (4) shares, one (1) share for three (3) shares and one (1) share for three (3) shares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Topic 606, Revenue from Contracts with Customers, and all subsequent ASUs that modified ASC 606 on April 1, 2017 using the full retrospective method which requires the Company to present the financial statements for all periods as if Topic 606 had been applied to all prior periods. The Company derives revenue principally from provision of In vitro fertilization (“IVF”) treatment and surrogacy and ancillary caring services. Revenue from contracts with customers is recognized using the following five steps:</w:t>
      </w:r>
    </w:p>
    <w:p>
      <w:pPr>
        <w:pStyle w:val="TextBody"/>
        <w:bidi w:val="0"/>
        <w:spacing w:before="0" w:after="0"/>
        <w:ind w:left="964" w:right="0" w:hanging="48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(1)</w:t>
            </w:r>
          </w:p>
        </w:tc>
        <w:tc>
          <w:tcPr>
            <w:tcW w:w="9918" w:type="dxa"/>
            <w:tcBorders/>
            <w:vAlign w:val="center"/>
          </w:tcPr>
          <w:p>
            <w:pPr>
              <w:pStyle w:val="TableContents"/>
              <w:bidi w:val="0"/>
              <w:spacing w:before="0" w:after="283"/>
              <w:jc w:val="both"/>
              <w:rPr>
                <w:sz w:val="20"/>
              </w:rPr>
            </w:pPr>
            <w:r>
              <w:rPr>
                <w:sz w:val="20"/>
              </w:rPr>
              <w:t>identify its contracts with customers;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(2)</w:t>
            </w:r>
          </w:p>
        </w:tc>
        <w:tc>
          <w:tcPr>
            <w:tcW w:w="9918" w:type="dxa"/>
            <w:tcBorders/>
            <w:vAlign w:val="center"/>
          </w:tcPr>
          <w:p>
            <w:pPr>
              <w:pStyle w:val="TableContents"/>
              <w:bidi w:val="0"/>
              <w:spacing w:before="0" w:after="283"/>
              <w:jc w:val="both"/>
              <w:rPr>
                <w:sz w:val="20"/>
              </w:rPr>
            </w:pPr>
            <w:r>
              <w:rPr>
                <w:sz w:val="20"/>
              </w:rPr>
              <w:t>identify its performance obligations under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(3)</w:t>
            </w:r>
          </w:p>
        </w:tc>
        <w:tc>
          <w:tcPr>
            <w:tcW w:w="9918" w:type="dxa"/>
            <w:tcBorders/>
            <w:vAlign w:val="center"/>
          </w:tcPr>
          <w:p>
            <w:pPr>
              <w:pStyle w:val="TableContents"/>
              <w:bidi w:val="0"/>
              <w:spacing w:before="0" w:after="283"/>
              <w:jc w:val="both"/>
              <w:rPr>
                <w:sz w:val="20"/>
              </w:rPr>
            </w:pPr>
            <w:r>
              <w:rPr>
                <w:sz w:val="20"/>
              </w:rPr>
              <w:t>determine the transaction prices of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(4)</w:t>
            </w:r>
          </w:p>
        </w:tc>
        <w:tc>
          <w:tcPr>
            <w:tcW w:w="9918" w:type="dxa"/>
            <w:tcBorders/>
            <w:vAlign w:val="center"/>
          </w:tcPr>
          <w:p>
            <w:pPr>
              <w:pStyle w:val="TableContents"/>
              <w:bidi w:val="0"/>
              <w:spacing w:before="0" w:after="283"/>
              <w:jc w:val="both"/>
              <w:rPr>
                <w:sz w:val="20"/>
              </w:rPr>
            </w:pPr>
            <w:r>
              <w:rPr>
                <w:sz w:val="20"/>
              </w:rPr>
              <w:t>allocate the transaction prices to its performance obligations in those contracts; and</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(5)</w:t>
            </w:r>
          </w:p>
        </w:tc>
        <w:tc>
          <w:tcPr>
            <w:tcW w:w="9918" w:type="dxa"/>
            <w:tcBorders/>
            <w:vAlign w:val="center"/>
          </w:tcPr>
          <w:p>
            <w:pPr>
              <w:pStyle w:val="TableContents"/>
              <w:bidi w:val="0"/>
              <w:spacing w:before="0" w:after="283"/>
              <w:jc w:val="both"/>
              <w:rPr>
                <w:sz w:val="20"/>
              </w:rPr>
            </w:pPr>
            <w:r>
              <w:rPr>
                <w:sz w:val="20"/>
              </w:rPr>
              <w:t>recognize revenue when each performance obligation under those contracts is satisfied. Revenue is recognized when promised services are transferred to the client in an amount that reflects the consideration expected in exchange for those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verbal agreements with its customers that outline the rights, responsibilities, and obligations of each party. The agreements also identify the scope of services, service fees, and payment terms. Agreements are acknowledged and consent forms are signed by the customers prior to each promised service or bundle of services are inter dependent. All the contracts have commercial substance, and it is probable that the Company will collect considerations from its customers for service component as settlement is predominantly required prior to performance of the promised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two sources: (1) revenue from IVF treatment, and (2) revenue from fertility referral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fertilization (“IVF”) treatment is an assisted reproductive technique where eggs and sperm are collected and fertilized in laboratory to become embryo. Fertilized embryo is then implanted to the customer or a surrogate mother. IVF treatment involves the performance of a series of medical treatment as well as procedures and brings benefits to clients as the service of bundles service is completed. Revenue from IVF treatment is recognized at a point in time when different treatment and/or procedure or bundles thereof, are completed in clinic. The full completion of the various procedures and treatments are evidenced by treatment cards and reports included within the patient files indicating successful completion of the service. Collections from customer who are individuals are received in advance of the service, whereas for entities, a credit term of 30 days is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arranges fertility referral services for customers seeking IVF and/or surrogacy services and earns referral fee income. Upon a customer inquiry, the Company evaluates the customer’s needs and, if appropriate, refers them to independent third-party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arrangements, the Company’s performance obligation is satisfied upon the successful referral of the customer to the independent agent. Referral fee revenue is recognized when the Company transfers control of the service by completing the referral, as this represents the point at which the Company’s obligation is fulfilled and the customer (the agent) simultaneously receives and consumes the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consists of a referral fee, which is negotiated with the agent on a case-by-case basis. As the referral fee is contingent upon the agent’s acceptance of the referral and subsequent income received from the agent, revenue is constrained until it is probable that a significant reversal will not occur. Accordingly, revenue is recognized at the point in time when the referral fee is received from the agent, as this is when the uncertainty surrounding the consideration is resolved and the Company’s right to consideration becomes unconditional.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egg freezing and storage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access the facility to its customers. Upon request for the service, which is agreed verbally and followed by signed consent form from the customer, the Company makes available access to the facility with no further substantial involvement. Revenue is recognized at a point in time when the facility is made available to the customer at the agreed consideration by the provision of specific address within the facility as maintained in the patient file. The receipt of consideration is assured as payment is required upfront.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versus agency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provided in ASC 606, Revenue from Contracts with Customers, for determining whether the Company is the principal or an agent in arrangements with customers that involve another party that contributes to the provision of services to a customer. In these instances, the Company determines whether it has promised to provide the service itself (as principal) or to arrange for the specified service to be provided by another party (as an agent). This determination is a matter of judgment that depends on the facts and circumstances of each arrangement. The Company recognizes revenue from the performance of the procedures and treatment on a gross basis as the Company is responsible for the fulfillment, controls the delivery of the promised service, and has full discretion in establishing prices and therefore is the principal in the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related assets and liabilities are classified as current assets and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 receivables,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are stated at the original amount less an allowance for expected credit loss on such receivables. The allowance for expected credit loss is estimated based upon the Company’s assessment of various factors including historical experience, the age of the accounts receivable balances, current general economic conditions, future expectations and customer specific quantitative and qualitative factors that may affect the Company’s customers’ ability to pay. An allowance is also made when there is objective evidence for the Company to reasonably estimate the amount of probable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represent considerations received from customers in advance of satisfying the Company’s performance obligations under the contract. These amounts are expected to be earned within 12 months and are classified as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Expected credit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No. 2016-13, Financial Instruments — Credit Losses (Topic 326): Measurement of Credit Losses on Financial Instruments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Expected credit losses are probability-weighted estimates of credit losses. Credit losses are measured at the present value of all cash shortfalls (i.e., the difference between the cash flows due to the entity in accordance with the contract and the cash flows that the Company expects to receive). ECLs are discounted at the effective interest rate of the financial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Retirement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benefits in the form of mandatory government-sponsored defined contribution plans are charged to either expense as incurred or allocated to wages as part of 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measured the lease in accordance to ASU 2016-02, “Leases” (Topic 842). Lease terms used to calculate the present value of lease payments generally do not include any options to extend, renew, or terminate the lease, as the Company does not have reasonable certainty at lease inception that these options will be exercised. The Company generally considers the economic life of its operating lease ROU assets to be comparable to the useful life of similar owned assets. The Company has elected the short-term lease exception, therefore operating lease ROU assets and liabilities do not include leases with a lease term of twelve months or less. Its leases generally do not provide a residual guarantee. The operating lease ROU asset also excludes lease incentives. Lease expense is recognized on a straight-line basis over the lease term.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income tax assets or liabilities for expected future tax consequences of events recognized in the consolidated financial statements or tax returns. Under this method, deferred income tax assets and liabilities are determined based on the differences between the financial reporting and income tax bases of assets and liabilities and are measured using the income tax rates that will be in effect when the differences are expected to reverse. Valuation allowances are provided when it is more likely than not that a deferred tax asset is not realizable or recoverable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that the tax position is more likely than not to be sustained and records the largest amount of benefit that is more likely than not to be realized when the tax position is settled. the Company recognizes interest and penalties, if any, related to uncertain tax positions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Comprehensive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comprehensive income in accordance with ASC Topic 220, </w:t>
      </w:r>
      <w:r>
        <w:rPr>
          <w:rFonts w:ascii="Times New Roman;Times;Serif" w:hAnsi="Times New Roman;Times;Serif"/>
          <w:b w:val="false"/>
          <w:i/>
          <w:caps w:val="false"/>
          <w:smallCaps w:val="false"/>
          <w:sz w:val="20"/>
        </w:rPr>
        <w:t>Comprehensive Income</w:t>
      </w:r>
      <w:r>
        <w:rPr>
          <w:rFonts w:ascii="Times New Roman;Times;Serif" w:hAnsi="Times New Roman;Times;Serif"/>
          <w:b w:val="false"/>
          <w:i w:val="false"/>
          <w:caps w:val="false"/>
          <w:smallCaps w:val="false"/>
          <w:sz w:val="20"/>
        </w:rPr>
        <w:t>. ASC Topic 220 states that all items that are required to be recognized under accounting standards as components of comprehensive income be reported in the consolidated financial statements. The components of comprehensive income were the net income for the years and the foreign currency translation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following ASC Topic 260, “Earnings per share”. Basic EPS is measured as the income or loss available to common shareholders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as-if method. Potentially anti-dilutive securities (i.e., those that increase income per share or decrease loss per share) are excluded from diluted EPS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850, Related Party Disclosures, for the identification of related parties and disclosure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contingencies, including legal proceedings and claims arising out of the business that relate to a wide range of matters, such as government investigations and tax matters. The Company recognizes its liability for such contingency if it determines it is probable that a loss has occurred and a reasonable estimate of the loss can be made. The Company may consider many factors in making these assessments including historical and the specific facts and circumstances of each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are presented as a separate component of equity on the consolidated balance sheets and net (loss) income and other comprehensive loss are attributed to controlling and non-controlling interests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us to concentrations of credit risk consist primarily of cash and cash equivalents and account receivable. The Company places cash and cash equivalents with financial institutions with high credit ratings and quality.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primarily comprise of amounts receivable from the service customers. The Company conducts credit evaluations of customers, and generally does not require collateral or other security from its customers. The Company establishes an allowance for doubtful accounts primarily based upon the factors surrounding the credit risk of specific customers. Furthermore, the risk is mitigated by ascertaining upfront payments for services prior to their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including cash and cash equivalents, accounts receivables, net, deposits, other receivables and deferred IPO cost, net, loan to A SPAC I, accounts payables, accrued liabilities and other payables, and due from (to) shareholders, have carrying amounts that approximate their fair values due to their short maturities. ASC Topic 820, “Fair Value Measurements and Disclosures” requires disclosing the fair value of financial instruments held by the Company. ASC Topic 825, “Financial Instruments” defines fair value and establishes a three-level valuation hierarchy for disclosures of fair value measurement that enhances disclosure requirements for fair value measures. The carrying amounts reported in the consolidated balance sheets for cash and cash equivalents, accounts and other receivables, accounts and other payables, accrued liabilities and amounts due from (to) related parties each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pStyle w:val="TextBody"/>
        <w:bidi w:val="0"/>
        <w:spacing w:before="0" w:after="0"/>
        <w:ind w:left="960" w:right="0" w:hanging="48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30" w:type="dxa"/>
            <w:tcBorders/>
            <w:vAlign w:val="center"/>
          </w:tcPr>
          <w:p>
            <w:pPr>
              <w:pStyle w:val="TableContents"/>
              <w:bidi w:val="0"/>
              <w:spacing w:before="0" w:after="283"/>
              <w:jc w:val="both"/>
              <w:rPr>
                <w:sz w:val="20"/>
              </w:rPr>
            </w:pPr>
            <w:r>
              <w:rPr>
                <w:sz w:val="20"/>
              </w:rPr>
              <w:t>Level 1 — inputs to the valuation methodology used quoted prices for identical assets or liabilities in active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tc>
      </w:tr>
    </w:tbl>
    <w:p>
      <w:pPr>
        <w:pStyle w:val="TextBody"/>
        <w:bidi w:val="0"/>
        <w:spacing w:before="0" w:after="0"/>
        <w:ind w:left="960" w:right="0" w:hanging="48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080" w:type="dxa"/>
            <w:tcBorders/>
            <w:vAlign w:val="center"/>
          </w:tcPr>
          <w:p>
            <w:pPr>
              <w:pStyle w:val="TableContents"/>
              <w:bidi w:val="0"/>
              <w:spacing w:before="0" w:after="283"/>
              <w:jc w:val="both"/>
              <w:rPr>
                <w:sz w:val="20"/>
              </w:rPr>
            </w:pPr>
            <w:r>
              <w:rPr>
                <w:sz w:val="20"/>
              </w:rPr>
              <w:t>Level 3 — inputs to the valuation methodology are unobservable and significant to the fair value measurement.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analyzes all financial instruments with features of both liabilities and equity under ASC 480, “Distinguishing Liabilities from Equity” and ASC 815.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ACCOUNTS RECEIVABLE,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the following:</w:t>
      </w:r>
    </w:p>
    <w:p>
      <w:pPr>
        <w:pStyle w:val="TextBody"/>
        <w:bidi w:val="0"/>
        <w:spacing w:before="0" w:after="0"/>
        <w:ind w:left="0" w:right="0" w:firstLine="720"/>
        <w:jc w:val="left"/>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3785"/>
        <w:gridCol w:w="60"/>
        <w:gridCol w:w="145"/>
        <w:gridCol w:w="1329"/>
        <w:gridCol w:w="95"/>
        <w:gridCol w:w="60"/>
        <w:gridCol w:w="218"/>
        <w:gridCol w:w="1256"/>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        </w:t>
            </w:r>
            <w:r>
              <w:rPr/>
              <w:t>166,552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  </w:t>
            </w:r>
            <w:r>
              <w:rPr/>
              <w:t>49,264</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9"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49,245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of the financial year, the aging analysis of accounts receivable, net of allowance for expected credit loss, based on the invoice date is as follows:</w:t>
      </w:r>
    </w:p>
    <w:p>
      <w:pPr>
        <w:pStyle w:val="TextBody"/>
        <w:bidi w:val="0"/>
        <w:spacing w:before="0" w:after="0"/>
        <w:ind w:left="0" w:right="0" w:firstLine="720"/>
        <w:jc w:val="left"/>
        <w:rPr>
          <w:caps w:val="false"/>
          <w:smallCaps w:val="false"/>
        </w:rPr>
      </w:pPr>
      <w:r>
        <w:rPr>
          <w:caps w:val="false"/>
          <w:smallCaps w:val="false"/>
        </w:rPr>
        <w:t> </w:t>
      </w:r>
    </w:p>
    <w:tbl>
      <w:tblPr>
        <w:tblW w:w="5008" w:type="dxa"/>
        <w:jc w:val="left"/>
        <w:tblInd w:w="0" w:type="dxa"/>
        <w:tblLayout w:type="fixed"/>
        <w:tblCellMar>
          <w:top w:w="0" w:type="dxa"/>
          <w:left w:w="0" w:type="dxa"/>
          <w:bottom w:w="0" w:type="dxa"/>
          <w:right w:w="0" w:type="dxa"/>
        </w:tblCellMar>
      </w:tblPr>
      <w:tblGrid>
        <w:gridCol w:w="1805"/>
        <w:gridCol w:w="60"/>
        <w:gridCol w:w="218"/>
        <w:gridCol w:w="1256"/>
        <w:gridCol w:w="60"/>
        <w:gridCol w:w="60"/>
        <w:gridCol w:w="218"/>
        <w:gridCol w:w="1256"/>
        <w:gridCol w:w="75"/>
      </w:tblGrid>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25,548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Within 60 days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6,677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Within 90 days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r>
              <w:rPr/>
              <w:t>49,245</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More than 90 days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132,365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49,245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488" w:type="dxa"/>
        <w:jc w:val="left"/>
        <w:tblInd w:w="0" w:type="dxa"/>
        <w:tblLayout w:type="fixed"/>
        <w:tblCellMar>
          <w:top w:w="0" w:type="dxa"/>
          <w:left w:w="0" w:type="dxa"/>
          <w:bottom w:w="0" w:type="dxa"/>
          <w:right w:w="0" w:type="dxa"/>
        </w:tblCellMar>
      </w:tblPr>
      <w:tblGrid>
        <w:gridCol w:w="3215"/>
        <w:gridCol w:w="60"/>
        <w:gridCol w:w="433"/>
        <w:gridCol w:w="1041"/>
        <w:gridCol w:w="95"/>
        <w:gridCol w:w="60"/>
        <w:gridCol w:w="433"/>
        <w:gridCol w:w="1041"/>
        <w:gridCol w:w="110"/>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3215" w:type="dxa"/>
            <w:tcBorders/>
            <w:shd w:fill="FFFFFF" w:val="clear"/>
            <w:vAlign w:val="center"/>
          </w:tcPr>
          <w:p>
            <w:pPr>
              <w:pStyle w:val="TableContents"/>
              <w:bidi w:val="0"/>
              <w:spacing w:before="0" w:after="283"/>
              <w:jc w:val="left"/>
              <w:rPr/>
            </w:pPr>
            <w:r>
              <w:rPr/>
              <w:t>Reversal of expected credit losses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1" w:type="dxa"/>
            <w:tcBorders>
              <w:bottom w:val="double" w:sz="10"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1" w:type="dxa"/>
            <w:tcBorders>
              <w:bottom w:val="double" w:sz="10"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INVENTORIES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at cost,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10204" w:type="dxa"/>
        <w:jc w:val="left"/>
        <w:tblInd w:w="0" w:type="dxa"/>
        <w:tblLayout w:type="fixed"/>
        <w:tblCellMar>
          <w:top w:w="0" w:type="dxa"/>
          <w:left w:w="0" w:type="dxa"/>
          <w:bottom w:w="0" w:type="dxa"/>
          <w:right w:w="0" w:type="dxa"/>
        </w:tblCellMar>
      </w:tblPr>
      <w:tblGrid>
        <w:gridCol w:w="6935"/>
        <w:gridCol w:w="60"/>
        <w:gridCol w:w="145"/>
        <w:gridCol w:w="1329"/>
        <w:gridCol w:w="60"/>
        <w:gridCol w:w="60"/>
        <w:gridCol w:w="140"/>
        <w:gridCol w:w="1400"/>
        <w:gridCol w:w="75"/>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Medicines, consumables and reagents for clinical and laboratory analyses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          </w:t>
            </w:r>
            <w:r>
              <w:rPr/>
              <w:t>77,296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80,813</w:t>
            </w:r>
          </w:p>
        </w:tc>
        <w:tc>
          <w:tcPr>
            <w:tcW w:w="7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Supplements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258,064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9" w:type="dxa"/>
            <w:tcBorders>
              <w:bottom w:val="double" w:sz="10" w:space="0" w:color="000000"/>
            </w:tcBorders>
            <w:shd w:fill="CCEEFF" w:val="clear"/>
            <w:tcMar>
              <w:bottom w:w="28" w:type="dxa"/>
            </w:tcMar>
            <w:vAlign w:val="center"/>
          </w:tcPr>
          <w:p>
            <w:pPr>
              <w:pStyle w:val="TableContents"/>
              <w:bidi w:val="0"/>
              <w:spacing w:before="0" w:after="283"/>
              <w:jc w:val="right"/>
              <w:rPr/>
            </w:pPr>
            <w:r>
              <w:rPr/>
              <w:t>335,360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80,813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DEPOSITS, PREPAYMENT AND OTHER RECEIVABLES,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prepayment and other receivables cost, net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7310" w:type="dxa"/>
        <w:jc w:val="left"/>
        <w:tblInd w:w="0" w:type="dxa"/>
        <w:tblLayout w:type="fixed"/>
        <w:tblCellMar>
          <w:top w:w="0" w:type="dxa"/>
          <w:left w:w="0" w:type="dxa"/>
          <w:bottom w:w="0" w:type="dxa"/>
          <w:right w:w="0" w:type="dxa"/>
        </w:tblCellMar>
      </w:tblPr>
      <w:tblGrid>
        <w:gridCol w:w="3785"/>
        <w:gridCol w:w="60"/>
        <w:gridCol w:w="140"/>
        <w:gridCol w:w="1400"/>
        <w:gridCol w:w="95"/>
        <w:gridCol w:w="60"/>
        <w:gridCol w:w="140"/>
        <w:gridCol w:w="1520"/>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u w:val="single"/>
              </w:rPr>
            </w:pPr>
            <w:r>
              <w:rPr>
                <w:u w:val="single"/>
              </w:rPr>
              <w:t>Current</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33,442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            </w:t>
            </w:r>
            <w:r>
              <w:rPr/>
              <w:t>121,533</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199,935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73,917</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Prepayment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120,542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197,706</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Loan receivable from a third party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Advanced payment to supplier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74,674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503,588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393,152</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Deposit with a digital asset broker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34,987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1,000,000</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Receivables from agents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794,116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1,191,795</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Deposit for land acquisition (b)</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u w:val="single"/>
              </w:rPr>
            </w:pPr>
            <w:r>
              <w:rPr>
                <w:u w:val="single"/>
              </w:rPr>
              <w:t>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Prepayment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FFFFFF" w:val="clear"/>
            <w:tcMar>
              <w:bottom w:w="28" w:type="dxa"/>
            </w:tcMar>
            <w:vAlign w:val="center"/>
          </w:tcPr>
          <w:p>
            <w:pPr>
              <w:pStyle w:val="TableContents"/>
              <w:bidi w:val="0"/>
              <w:spacing w:before="0" w:after="283"/>
              <w:jc w:val="right"/>
              <w:rPr/>
            </w:pPr>
            <w:r>
              <w:rPr/>
              <w:t>33,333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245"/>
        <w:gridCol w:w="5195"/>
      </w:tblGrid>
      <w:tr>
        <w:trPr/>
        <w:tc>
          <w:tcPr>
            <w:tcW w:w="245" w:type="dxa"/>
            <w:tcBorders/>
            <w:vAlign w:val="center"/>
          </w:tcPr>
          <w:p>
            <w:pPr>
              <w:pStyle w:val="TableContents"/>
              <w:bidi w:val="0"/>
              <w:spacing w:before="0" w:after="283"/>
              <w:jc w:val="left"/>
              <w:rPr>
                <w:sz w:val="20"/>
              </w:rPr>
            </w:pPr>
            <w:r>
              <w:rPr>
                <w:sz w:val="20"/>
              </w:rPr>
              <w:t>(a)</w:t>
            </w:r>
          </w:p>
        </w:tc>
        <w:tc>
          <w:tcPr>
            <w:tcW w:w="5195" w:type="dxa"/>
            <w:tcBorders/>
            <w:vAlign w:val="center"/>
          </w:tcPr>
          <w:p>
            <w:pPr>
              <w:pStyle w:val="TableContents"/>
              <w:bidi w:val="0"/>
              <w:spacing w:before="0" w:after="283"/>
              <w:jc w:val="left"/>
              <w:rPr>
                <w:sz w:val="20"/>
              </w:rPr>
            </w:pPr>
            <w:r>
              <w:rPr>
                <w:sz w:val="20"/>
              </w:rPr>
              <w:t>The loan is unsecured, interest free and is repayable on demand.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sz w:val="20"/>
              </w:rPr>
            </w:pPr>
            <w:r>
              <w:rPr>
                <w:sz w:val="20"/>
              </w:rPr>
              <w:t>(b)</w:t>
            </w:r>
          </w:p>
        </w:tc>
        <w:tc>
          <w:tcPr>
            <w:tcW w:w="9950" w:type="dxa"/>
            <w:tcBorders/>
            <w:vAlign w:val="center"/>
          </w:tcPr>
          <w:p>
            <w:pPr>
              <w:pStyle w:val="TableContents"/>
              <w:bidi w:val="0"/>
              <w:spacing w:before="0" w:after="283"/>
              <w:jc w:val="left"/>
              <w:rPr>
                <w:sz w:val="20"/>
              </w:rPr>
            </w:pPr>
            <w:r>
              <w:rPr>
                <w:sz w:val="20"/>
              </w:rPr>
              <w:t>No definitive agreement has been concluded to date regarding this deposit paid for the acquisition of land in Ras Al Khaimah, UAE.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344" w:type="dxa"/>
        <w:jc w:val="left"/>
        <w:tblInd w:w="0" w:type="dxa"/>
        <w:tblLayout w:type="fixed"/>
        <w:tblCellMar>
          <w:top w:w="0" w:type="dxa"/>
          <w:left w:w="0" w:type="dxa"/>
          <w:bottom w:w="0" w:type="dxa"/>
          <w:right w:w="0" w:type="dxa"/>
        </w:tblCellMar>
      </w:tblPr>
      <w:tblGrid>
        <w:gridCol w:w="3170"/>
        <w:gridCol w:w="60"/>
        <w:gridCol w:w="140"/>
        <w:gridCol w:w="1295"/>
        <w:gridCol w:w="95"/>
        <w:gridCol w:w="60"/>
        <w:gridCol w:w="415"/>
        <w:gridCol w:w="999"/>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w:t>
            </w: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Provision during the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Reversal of provision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9" w:type="dxa"/>
            <w:tcBorders>
              <w:bottom w:val="double" w:sz="10"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PROPERTY AND EQUIPMENT,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net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6203" w:type="dxa"/>
        <w:jc w:val="left"/>
        <w:tblInd w:w="0" w:type="dxa"/>
        <w:tblLayout w:type="fixed"/>
        <w:tblCellMar>
          <w:top w:w="0" w:type="dxa"/>
          <w:left w:w="0" w:type="dxa"/>
          <w:bottom w:w="0" w:type="dxa"/>
          <w:right w:w="0" w:type="dxa"/>
        </w:tblCellMar>
      </w:tblPr>
      <w:tblGrid>
        <w:gridCol w:w="2990"/>
        <w:gridCol w:w="60"/>
        <w:gridCol w:w="165"/>
        <w:gridCol w:w="1249"/>
        <w:gridCol w:w="95"/>
        <w:gridCol w:w="60"/>
        <w:gridCol w:w="172"/>
        <w:gridCol w:w="1302"/>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At cost:</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Building improvement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247,515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02" w:type="dxa"/>
            <w:tcBorders/>
            <w:shd w:fill="CCEEFF" w:val="clear"/>
            <w:vAlign w:val="center"/>
          </w:tcPr>
          <w:p>
            <w:pPr>
              <w:pStyle w:val="TableContents"/>
              <w:bidi w:val="0"/>
              <w:spacing w:before="0" w:after="283"/>
              <w:jc w:val="right"/>
              <w:rPr/>
            </w:pPr>
            <w:r>
              <w:rPr/>
              <w:t>196,929</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1,550,061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25,390</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Medical instruments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1,052,578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785,776</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142,936</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167,234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361,385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3,017,388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1,512,416</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(1,228,278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(1,239,320</w:t>
            </w:r>
          </w:p>
        </w:tc>
        <w:tc>
          <w:tcPr>
            <w:tcW w:w="110" w:type="dxa"/>
            <w:tcBorders/>
            <w:shd w:fill="CCEEFF" w:val="clear"/>
            <w:vAlign w:val="center"/>
          </w:tcPr>
          <w:p>
            <w:pPr>
              <w:pStyle w:val="TableContents"/>
              <w:bidi w:val="0"/>
              <w:spacing w:before="0" w:after="283"/>
              <w:jc w:val="left"/>
              <w:rPr/>
            </w:pPr>
            <w:r>
              <w:rPr/>
              <w:t>)</w:t>
            </w:r>
          </w:p>
        </w:tc>
      </w:tr>
      <w:tr>
        <w:trPr/>
        <w:tc>
          <w:tcPr>
            <w:tcW w:w="29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1,789,110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2" w:type="dxa"/>
            <w:tcBorders>
              <w:bottom w:val="double" w:sz="10" w:space="0" w:color="000000"/>
            </w:tcBorders>
            <w:shd w:fill="FFFFFF" w:val="clear"/>
            <w:tcMar>
              <w:bottom w:w="28" w:type="dxa"/>
            </w:tcMar>
            <w:vAlign w:val="center"/>
          </w:tcPr>
          <w:p>
            <w:pPr>
              <w:pStyle w:val="TableContents"/>
              <w:bidi w:val="0"/>
              <w:spacing w:before="0" w:after="283"/>
              <w:jc w:val="right"/>
              <w:rPr/>
            </w:pPr>
            <w:r>
              <w:rPr/>
              <w:t>273,096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for the years ended December 31, 2025 and December 31, 2024 were $188,109 and $19,502,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impairment loss was recorded for the years ended December 31, 2025 and December 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comprise: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20"/>
              </w:rPr>
            </w:pPr>
            <w:r>
              <w:rPr>
                <w:sz w:val="20"/>
              </w:rPr>
              <w:t>(ii)</w:t>
            </w:r>
          </w:p>
        </w:tc>
        <w:tc>
          <w:tcPr>
            <w:tcW w:w="9886" w:type="dxa"/>
            <w:tcBorders/>
            <w:vAlign w:val="center"/>
          </w:tcPr>
          <w:p>
            <w:pPr>
              <w:pStyle w:val="TableContents"/>
              <w:bidi w:val="0"/>
              <w:spacing w:before="0" w:after="283"/>
              <w:jc w:val="both"/>
              <w:rPr>
                <w:sz w:val="20"/>
              </w:rPr>
            </w:pPr>
            <w:r>
              <w:rPr>
                <w:sz w:val="20"/>
              </w:rPr>
              <w:t>A trademark and technology upon the acquisition of MicroSort Lab Services, LLC (“MicroSort”) on February 28, 2025 valued at $3,495,335, refer Note 21,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sz w:val="20"/>
              </w:rPr>
            </w:pPr>
            <w:r>
              <w:rPr>
                <w:sz w:val="20"/>
              </w:rPr>
              <w:t>(ii)</w:t>
            </w:r>
          </w:p>
        </w:tc>
        <w:tc>
          <w:tcPr>
            <w:tcW w:w="9881" w:type="dxa"/>
            <w:tcBorders/>
            <w:vAlign w:val="center"/>
          </w:tcPr>
          <w:p>
            <w:pPr>
              <w:pStyle w:val="TableContents"/>
              <w:bidi w:val="0"/>
              <w:spacing w:before="0" w:after="283"/>
              <w:jc w:val="both"/>
              <w:rPr>
                <w:sz w:val="20"/>
              </w:rPr>
            </w:pPr>
            <w:r>
              <w:rPr>
                <w:sz w:val="20"/>
              </w:rPr>
              <w:t>An intellectual property upon the acquisition of the business of Nodexus Inc (“Nodexus”) on July 29, 2025 valued at $19,166,000, refer Note 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exclusively owns the MicroSort Technology.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acquired patents from Nodexus Inc, in 2025,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these intangible assets as indefinite life intangible assets as there are currently no legal, competitive, economic or other factors that materially limit the useful life of the Company’s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350-30-35, Intangibles - Goodwill and Other, provides for an option to first perform a qualitative assessment to determine whether it is more likely than not that an asset is impaired. If the qualitative assessment supports that it is more likely than not that the fair value of the asset exceeds its carrying value, a quantitative impairment test is not required. If the qualitative assessment does not support the fair value of the asset, then a quantitative assessment is performed. Our annual impairment assessment of our identifiable indefinite lived intangible assets is performed as of the fourth quarter of each year. An assessment is performed at other times if an event occurs or circumstances change that would more likely than not reduce the fair value of the asset below its carrying value. If the carrying value of the intangible assets exceeds its fair value, an impairment loss is recognized in an amount equal to that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performed a qualitative assessment, during the fourth quarter of 2025, to determine whether it was more likely than not that the carrying amounts of its intangible assets were impaired. This assessment considered a number of qualitative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80"/>
        <w:gridCol w:w="231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2315" w:type="dxa"/>
            <w:tcBorders/>
            <w:vAlign w:val="center"/>
          </w:tcPr>
          <w:p>
            <w:pPr>
              <w:pStyle w:val="TableContents"/>
              <w:bidi w:val="0"/>
              <w:spacing w:before="0" w:after="283"/>
              <w:jc w:val="both"/>
              <w:rPr>
                <w:sz w:val="20"/>
              </w:rPr>
            </w:pPr>
            <w:r>
              <w:rPr>
                <w:sz w:val="20"/>
              </w:rPr>
              <w:t>Macroeconomic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80"/>
        <w:gridCol w:w="22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2240" w:type="dxa"/>
            <w:tcBorders/>
            <w:vAlign w:val="center"/>
          </w:tcPr>
          <w:p>
            <w:pPr>
              <w:pStyle w:val="TableContents"/>
              <w:bidi w:val="0"/>
              <w:spacing w:before="0" w:after="283"/>
              <w:jc w:val="both"/>
              <w:rPr>
                <w:sz w:val="20"/>
              </w:rPr>
            </w:pPr>
            <w:r>
              <w:rPr>
                <w:sz w:val="20"/>
              </w:rPr>
              <w:t>Industry and market trends,</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75"/>
        <w:gridCol w:w="80"/>
        <w:gridCol w:w="10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1040" w:type="dxa"/>
            <w:tcBorders/>
            <w:vAlign w:val="center"/>
          </w:tcPr>
          <w:p>
            <w:pPr>
              <w:pStyle w:val="TableContents"/>
              <w:bidi w:val="0"/>
              <w:spacing w:before="0" w:after="283"/>
              <w:jc w:val="both"/>
              <w:rPr>
                <w:sz w:val="20"/>
              </w:rPr>
            </w:pPr>
            <w:r>
              <w:rPr>
                <w:sz w:val="20"/>
              </w:rPr>
              <w:t>Cost factors,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80"/>
        <w:gridCol w:w="34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3440" w:type="dxa"/>
            <w:tcBorders/>
            <w:vAlign w:val="center"/>
          </w:tcPr>
          <w:p>
            <w:pPr>
              <w:pStyle w:val="TableContents"/>
              <w:bidi w:val="0"/>
              <w:spacing w:before="0" w:after="283"/>
              <w:jc w:val="both"/>
              <w:rPr>
                <w:sz w:val="20"/>
              </w:rPr>
            </w:pPr>
            <w:r>
              <w:rPr>
                <w:sz w:val="20"/>
              </w:rPr>
              <w:t>Overall financial performance of the asset,</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80"/>
        <w:gridCol w:w="320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3200" w:type="dxa"/>
            <w:tcBorders/>
            <w:vAlign w:val="center"/>
          </w:tcPr>
          <w:p>
            <w:pPr>
              <w:pStyle w:val="TableContents"/>
              <w:bidi w:val="0"/>
              <w:spacing w:before="0" w:after="283"/>
              <w:jc w:val="both"/>
              <w:rPr>
                <w:sz w:val="20"/>
              </w:rPr>
            </w:pPr>
            <w:r>
              <w:rPr>
                <w:sz w:val="20"/>
              </w:rPr>
              <w:t>Legal and regulatory environment, and</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80"/>
        <w:gridCol w:w="428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4280" w:type="dxa"/>
            <w:tcBorders/>
            <w:vAlign w:val="center"/>
          </w:tcPr>
          <w:p>
            <w:pPr>
              <w:pStyle w:val="TableContents"/>
              <w:bidi w:val="0"/>
              <w:spacing w:before="0" w:after="283"/>
              <w:jc w:val="both"/>
              <w:rPr>
                <w:sz w:val="20"/>
              </w:rPr>
            </w:pPr>
            <w:r>
              <w:rPr>
                <w:sz w:val="20"/>
              </w:rPr>
              <w:t>Relevant internal reporting and management’s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this qualitative assessment, management did not identify any events or changes in circumstances that would indicate that the carrying amounts of the Company’s intangible assets are not recoverable. The qualitative impairment assessment of the indefinite intangible assets indicated that the fair value of such assets exceeded their carrying value and therefore were not at risk of impairment. Accordingly, no quantitative impairment test was deemed necessary, and no impairment losses were recognized for the year ended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investing excess treasury balances in certain digital assets, comprising Solana (“SOL”), Bitcoin (“BTC”), Ethereum (“ETH”), and a cryptographic token native to the XRP Ledger (“XRP”), all of which are blockchain-based crypto assets, as part of its capital allocation strategy. The Company’s primary business remains the provision of in-vitro fertilization (“IVF”) services, and digital asset activities are not part of its core operating activities. The Company does not engage in mining, staking, lending, nor other yield-generating crypto asset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and dispositions in digital assets during the year ended December 31, 2025 are made in cash through a third-party trading platform. The Company did not receive digital assets from customers nor use digital assets as payment for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Holdings as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crypto asset holdings at December 31, 2025:</w:t>
      </w:r>
    </w:p>
    <w:p>
      <w:pPr>
        <w:pStyle w:val="TextBody"/>
        <w:bidi w:val="0"/>
        <w:spacing w:before="0" w:after="0"/>
        <w:ind w:left="0" w:right="0" w:hanging="0"/>
        <w:jc w:val="both"/>
        <w:rPr>
          <w:caps w:val="false"/>
          <w:smallCaps w:val="false"/>
        </w:rPr>
      </w:pPr>
      <w:r>
        <w:rPr>
          <w:caps w:val="false"/>
          <w:smallCaps w:val="false"/>
        </w:rPr>
        <w:t> </w:t>
      </w:r>
    </w:p>
    <w:tbl>
      <w:tblPr>
        <w:tblW w:w="5309" w:type="dxa"/>
        <w:jc w:val="left"/>
        <w:tblInd w:w="0" w:type="dxa"/>
        <w:tblLayout w:type="fixed"/>
        <w:tblCellMar>
          <w:top w:w="0" w:type="dxa"/>
          <w:left w:w="0" w:type="dxa"/>
          <w:bottom w:w="28" w:type="dxa"/>
          <w:right w:w="0" w:type="dxa"/>
        </w:tblCellMar>
      </w:tblPr>
      <w:tblGrid>
        <w:gridCol w:w="1640"/>
        <w:gridCol w:w="60"/>
        <w:gridCol w:w="60"/>
        <w:gridCol w:w="994"/>
        <w:gridCol w:w="60"/>
        <w:gridCol w:w="60"/>
        <w:gridCol w:w="140"/>
        <w:gridCol w:w="980"/>
        <w:gridCol w:w="60"/>
        <w:gridCol w:w="60"/>
        <w:gridCol w:w="140"/>
        <w:gridCol w:w="980"/>
        <w:gridCol w:w="75"/>
      </w:tblGrid>
      <w:tr>
        <w:trPr/>
        <w:tc>
          <w:tcPr>
            <w:tcW w:w="1640" w:type="dxa"/>
            <w:tcBorders>
              <w:bottom w:val="single" w:sz="12" w:space="0" w:color="000000"/>
            </w:tcBorders>
            <w:vAlign w:val="center"/>
          </w:tcPr>
          <w:p>
            <w:pPr>
              <w:pStyle w:val="TableContents"/>
              <w:bidi w:val="0"/>
              <w:spacing w:before="0" w:after="283"/>
              <w:jc w:val="left"/>
              <w:rPr>
                <w:b/>
              </w:rPr>
            </w:pPr>
            <w:r>
              <w:rPr>
                <w:b/>
              </w:rPr>
              <w:t>Crypto asset</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Units 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Cost basis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Fair value</w:t>
              <w:br/>
              <w:t>(USD)</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Solana (SOL)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13,000.23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2,906,222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1,630,827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Bitcoin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Ethereum (ETH)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XRP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2,906,222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1,630,827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per unit of Solana as at December 31, 2025 was approximately $125, based on quoted prices in active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Digital Asset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in digital assets for the year ended December 31, 2025 (in units):</w:t>
      </w:r>
    </w:p>
    <w:p>
      <w:pPr>
        <w:pStyle w:val="TextBody"/>
        <w:bidi w:val="0"/>
        <w:spacing w:before="0" w:after="0"/>
        <w:ind w:left="0" w:right="0" w:hanging="0"/>
        <w:jc w:val="both"/>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600"/>
        <w:gridCol w:w="60"/>
        <w:gridCol w:w="60"/>
        <w:gridCol w:w="905"/>
        <w:gridCol w:w="80"/>
        <w:gridCol w:w="60"/>
        <w:gridCol w:w="60"/>
        <w:gridCol w:w="440"/>
        <w:gridCol w:w="80"/>
        <w:gridCol w:w="60"/>
        <w:gridCol w:w="60"/>
        <w:gridCol w:w="440"/>
        <w:gridCol w:w="80"/>
        <w:gridCol w:w="60"/>
        <w:gridCol w:w="60"/>
        <w:gridCol w:w="1010"/>
        <w:gridCol w:w="95"/>
      </w:tblGrid>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SOL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BTC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ETH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XRP </w:t>
              <w:br/>
              <w:t>Units</w:t>
            </w:r>
          </w:p>
        </w:tc>
        <w:tc>
          <w:tcPr>
            <w:tcW w:w="9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sz w:val="20"/>
              </w:rPr>
            </w:pPr>
            <w:r>
              <w:rPr>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sz w:val="20"/>
              </w:rPr>
            </w:pPr>
            <w:r>
              <w:rPr>
                <w:sz w:val="20"/>
              </w:rPr>
              <w:t>Purchases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46,118.55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146,432.14</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sz w:val="20"/>
              </w:rPr>
            </w:pPr>
            <w:r>
              <w:rPr>
                <w:sz w:val="20"/>
              </w:rPr>
              <w:t>Sales during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(33,118.32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(146,432.14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6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b/>
                <w:sz w:val="20"/>
              </w:rPr>
            </w:pPr>
            <w:r>
              <w:rPr>
                <w:b/>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13,000.23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2390"/>
        <w:gridCol w:w="60"/>
        <w:gridCol w:w="60"/>
        <w:gridCol w:w="1055"/>
        <w:gridCol w:w="95"/>
        <w:gridCol w:w="60"/>
        <w:gridCol w:w="60"/>
        <w:gridCol w:w="680"/>
        <w:gridCol w:w="60"/>
        <w:gridCol w:w="60"/>
        <w:gridCol w:w="90"/>
        <w:gridCol w:w="574"/>
        <w:gridCol w:w="60"/>
        <w:gridCol w:w="60"/>
        <w:gridCol w:w="60"/>
        <w:gridCol w:w="680"/>
        <w:gridCol w:w="60"/>
        <w:gridCol w:w="60"/>
        <w:gridCol w:w="60"/>
        <w:gridCol w:w="1055"/>
        <w:gridCol w:w="11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SOL </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BTC</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ETH </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XRP </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(USD)</w:t>
            </w:r>
          </w:p>
        </w:tc>
        <w:tc>
          <w:tcPr>
            <w:tcW w:w="11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Realised gains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919,720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942,915</w:t>
            </w:r>
          </w:p>
        </w:tc>
        <w:tc>
          <w:tcPr>
            <w:tcW w:w="11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Unrealized gains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110" w:type="dxa"/>
            <w:tcBorders/>
            <w:shd w:fill="FFFFFF" w:val="clear"/>
            <w:vAlign w:val="center"/>
          </w:tcPr>
          <w:p>
            <w:pPr>
              <w:pStyle w:val="TableContents"/>
              <w:bidi w:val="0"/>
              <w:spacing w:before="0" w:after="283"/>
              <w:jc w:val="left"/>
              <w:rPr/>
            </w:pPr>
            <w:r>
              <w:rPr/>
              <w:t>)</w:t>
            </w:r>
          </w:p>
        </w:tc>
      </w:tr>
      <w:tr>
        <w:trPr/>
        <w:tc>
          <w:tcPr>
            <w:tcW w:w="2390" w:type="dxa"/>
            <w:tcBorders/>
            <w:shd w:fill="CCEEFF" w:val="clear"/>
            <w:vAlign w:val="center"/>
          </w:tcPr>
          <w:p>
            <w:pPr>
              <w:pStyle w:val="TableContents"/>
              <w:bidi w:val="0"/>
              <w:spacing w:before="0" w:after="283"/>
              <w:jc w:val="both"/>
              <w:rPr>
                <w:b/>
              </w:rPr>
            </w:pPr>
            <w:r>
              <w:rPr>
                <w:b/>
              </w:rPr>
              <w:t>Net Gain/Loss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(355,675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(332,480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and presented the Net loss as a separate line item within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Solana remained held at year-end; all BTC, ETH, and XRP positions were fully liquidated prior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crypto assets were not subject to contractual sale restrictions, pledges, or lock-up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are measured using Level 1 inputs within the fair value hierarchy under ASC 820, based on quoted prices for identical assets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DEPOSIT WITH FUTURES BROKER,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engaged in trading of exchange-traded equity index futures through a margin account maintained with a regulated futures broker. These contracts were accounted for as derivative instruments under ASC 815, Derivatives and Hedging, and were not designated as hedging instruments for accounting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 deposit, which is denominated in US$, represents cash funds placed with the futures broker to support margin requirements and trading activities denominated in Japanese yen (“JPY) within the margin account. Realised gains and losses from futures transactions, along with brokerage fees, margin interest, and other associated charges, were accumulated within the margin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a margin deposit held with the broker of US$ 760,000, and a margin account of accumulated trading losses and margin-related charges of JPY 109,875,291 (US$700,631), which are presented as a net amount of US59,368.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financial year end, the Company has ceased all derivative trading activities. Upon subsequent closure of the margin account in the near term, any remaining cash balances are expected to be remitted to the Company net of outstanding broker charges and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realised and unrealised gains and losses arising from futures trading activities during the year were recognized in earnings within other income (expense) in the consolidated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futures contracts traded during the year were exchange-traded instruments valued using quoted prices in active markets and, when outstanding, would have been classified within Level 1 of the fair value hierarchy under ASC 820,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held no derivative assets or liabilities subject to recurring fair value measurement.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ACCRUED LIABILITIES AND OTHER PAYABLES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6268" w:type="dxa"/>
        <w:jc w:val="left"/>
        <w:tblInd w:w="0" w:type="dxa"/>
        <w:tblLayout w:type="fixed"/>
        <w:tblCellMar>
          <w:top w:w="0" w:type="dxa"/>
          <w:left w:w="0" w:type="dxa"/>
          <w:bottom w:w="0" w:type="dxa"/>
          <w:right w:w="0" w:type="dxa"/>
        </w:tblCellMar>
      </w:tblPr>
      <w:tblGrid>
        <w:gridCol w:w="3125"/>
        <w:gridCol w:w="60"/>
        <w:gridCol w:w="210"/>
        <w:gridCol w:w="1204"/>
        <w:gridCol w:w="60"/>
        <w:gridCol w:w="60"/>
        <w:gridCol w:w="219"/>
        <w:gridCol w:w="1255"/>
        <w:gridCol w:w="75"/>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514,169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201,455</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Customer deposit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6,349</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Withholding tax payable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4,361</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Independent director fee payable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Compensation payable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105,446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100,802</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Other payables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90,388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167,762</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711,892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10" w:space="0" w:color="000000"/>
            </w:tcBorders>
            <w:shd w:fill="CCEEFF" w:val="clear"/>
            <w:tcMar>
              <w:bottom w:w="28" w:type="dxa"/>
            </w:tcMar>
            <w:vAlign w:val="center"/>
          </w:tcPr>
          <w:p>
            <w:pPr>
              <w:pStyle w:val="TableContents"/>
              <w:bidi w:val="0"/>
              <w:spacing w:before="0" w:after="283"/>
              <w:jc w:val="right"/>
              <w:rPr/>
            </w:pPr>
            <w:r>
              <w:rPr/>
              <w:t>500,729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payable represents a claim relating to an employee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CONTRACT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7523" w:type="dxa"/>
        <w:jc w:val="left"/>
        <w:tblInd w:w="0" w:type="dxa"/>
        <w:tblLayout w:type="fixed"/>
        <w:tblCellMar>
          <w:top w:w="0" w:type="dxa"/>
          <w:left w:w="0" w:type="dxa"/>
          <w:bottom w:w="0" w:type="dxa"/>
          <w:right w:w="0" w:type="dxa"/>
        </w:tblCellMar>
      </w:tblPr>
      <w:tblGrid>
        <w:gridCol w:w="4370"/>
        <w:gridCol w:w="60"/>
        <w:gridCol w:w="210"/>
        <w:gridCol w:w="1204"/>
        <w:gridCol w:w="95"/>
        <w:gridCol w:w="60"/>
        <w:gridCol w:w="221"/>
        <w:gridCol w:w="1193"/>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Balance at beginning of year</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63,489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7,937</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pPr>
            <w:r>
              <w:rPr/>
              <w:t>Advance billings to customers during the year</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57,274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75,340</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Recognized to revenue during the year</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(8,782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(19,788</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both"/>
              <w:rPr/>
            </w:pPr>
            <w:r>
              <w:rPr/>
              <w:t>Balance at end of year</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111,981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10" w:space="0" w:color="000000"/>
            </w:tcBorders>
            <w:shd w:fill="FFFFFF" w:val="clear"/>
            <w:tcMar>
              <w:bottom w:w="28" w:type="dxa"/>
            </w:tcMar>
            <w:vAlign w:val="center"/>
          </w:tcPr>
          <w:p>
            <w:pPr>
              <w:pStyle w:val="TableContents"/>
              <w:bidi w:val="0"/>
              <w:spacing w:before="0" w:after="283"/>
              <w:jc w:val="right"/>
              <w:rPr/>
            </w:pPr>
            <w:r>
              <w:rPr/>
              <w:t>63,489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CONVERTIBLE NOTES AND DERIVATIVE LIABILITY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at amortised cost are as follows:</w:t>
      </w:r>
    </w:p>
    <w:p>
      <w:pPr>
        <w:pStyle w:val="TextBody"/>
        <w:bidi w:val="0"/>
        <w:spacing w:before="0" w:after="0"/>
        <w:ind w:left="0" w:right="0" w:hanging="0"/>
        <w:jc w:val="both"/>
        <w:rPr>
          <w:caps w:val="false"/>
          <w:smallCaps w:val="false"/>
        </w:rPr>
      </w:pPr>
      <w:r>
        <w:rPr>
          <w:caps w:val="false"/>
          <w:smallCaps w:val="false"/>
        </w:rPr>
        <w:t> </w:t>
      </w:r>
    </w:p>
    <w:tbl>
      <w:tblPr>
        <w:tblW w:w="6399" w:type="dxa"/>
        <w:jc w:val="left"/>
        <w:tblInd w:w="0" w:type="dxa"/>
        <w:tblLayout w:type="fixed"/>
        <w:tblCellMar>
          <w:top w:w="0" w:type="dxa"/>
          <w:left w:w="0" w:type="dxa"/>
          <w:bottom w:w="0" w:type="dxa"/>
          <w:right w:w="0" w:type="dxa"/>
        </w:tblCellMar>
      </w:tblPr>
      <w:tblGrid>
        <w:gridCol w:w="3185"/>
        <w:gridCol w:w="60"/>
        <w:gridCol w:w="176"/>
        <w:gridCol w:w="1239"/>
        <w:gridCol w:w="95"/>
        <w:gridCol w:w="60"/>
        <w:gridCol w:w="84"/>
        <w:gridCol w:w="1390"/>
        <w:gridCol w:w="110"/>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Convertible notes issued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4,701,738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3,059,595</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Less: Deferred debt issuance cost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(348,316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(648,232</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pPr>
            <w:r>
              <w:rPr/>
              <w:t>Convertible notes, net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FFFFFF" w:val="clear"/>
            <w:tcMar>
              <w:bottom w:w="28" w:type="dxa"/>
            </w:tcMar>
            <w:vAlign w:val="center"/>
          </w:tcPr>
          <w:p>
            <w:pPr>
              <w:pStyle w:val="TableContents"/>
              <w:bidi w:val="0"/>
              <w:spacing w:before="0" w:after="283"/>
              <w:jc w:val="right"/>
              <w:rPr/>
            </w:pPr>
            <w:r>
              <w:rPr/>
              <w:t>4,353,422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FFFFFF" w:val="clear"/>
            <w:tcMar>
              <w:bottom w:w="28" w:type="dxa"/>
            </w:tcMar>
            <w:vAlign w:val="center"/>
          </w:tcPr>
          <w:p>
            <w:pPr>
              <w:pStyle w:val="TableContents"/>
              <w:bidi w:val="0"/>
              <w:spacing w:before="0" w:after="283"/>
              <w:jc w:val="right"/>
              <w:rPr/>
            </w:pPr>
            <w:r>
              <w:rPr/>
              <w:t>2,411,363</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Presented as: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Current liability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256,056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82,447</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Non-current liability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4,097,366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2,328,916</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4,353,422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2,411,363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the following outstanding convertible notes: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35"/>
        <w:gridCol w:w="60"/>
        <w:gridCol w:w="140"/>
        <w:gridCol w:w="980"/>
        <w:gridCol w:w="60"/>
        <w:gridCol w:w="60"/>
        <w:gridCol w:w="1851"/>
        <w:gridCol w:w="60"/>
        <w:gridCol w:w="1232"/>
        <w:gridCol w:w="215"/>
        <w:gridCol w:w="60"/>
        <w:gridCol w:w="908"/>
        <w:gridCol w:w="60"/>
        <w:gridCol w:w="950"/>
        <w:gridCol w:w="60"/>
        <w:gridCol w:w="190"/>
        <w:gridCol w:w="1339"/>
        <w:gridCol w:w="60"/>
        <w:gridCol w:w="60"/>
        <w:gridCol w:w="625"/>
      </w:tblGrid>
      <w:tr>
        <w:trPr/>
        <w:tc>
          <w:tcPr>
            <w:tcW w:w="1235" w:type="dxa"/>
            <w:tcBorders>
              <w:bottom w:val="single" w:sz="12" w:space="0" w:color="000000"/>
            </w:tcBorders>
            <w:vAlign w:val="center"/>
          </w:tcPr>
          <w:p>
            <w:pPr>
              <w:pStyle w:val="TableContents"/>
              <w:bidi w:val="0"/>
              <w:spacing w:before="0" w:after="283"/>
              <w:ind w:left="0" w:right="0" w:hanging="180"/>
              <w:jc w:val="left"/>
              <w:rPr>
                <w:b/>
              </w:rPr>
            </w:pPr>
            <w:r>
              <w:rPr>
                <w:b/>
              </w:rPr>
              <w:t>Note Holders</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 xml:space="preserve">Principal </w:t>
              <w:br/>
              <w:t>Amount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51" w:type="dxa"/>
            <w:tcBorders>
              <w:bottom w:val="single" w:sz="12" w:space="0" w:color="000000"/>
            </w:tcBorders>
            <w:vAlign w:val="center"/>
          </w:tcPr>
          <w:p>
            <w:pPr>
              <w:pStyle w:val="TableContents"/>
              <w:bidi w:val="0"/>
              <w:spacing w:before="0" w:after="283"/>
              <w:jc w:val="center"/>
              <w:rPr>
                <w:b/>
              </w:rPr>
            </w:pPr>
            <w:r>
              <w:rPr>
                <w:b/>
              </w:rPr>
              <w:t>Conversion Price</w:t>
            </w:r>
          </w:p>
        </w:tc>
        <w:tc>
          <w:tcPr>
            <w:tcW w:w="60" w:type="dxa"/>
            <w:tcBorders/>
            <w:tcMar>
              <w:bottom w:w="0" w:type="dxa"/>
            </w:tcMar>
            <w:vAlign w:val="center"/>
          </w:tcPr>
          <w:p>
            <w:pPr>
              <w:pStyle w:val="TableContents"/>
              <w:bidi w:val="0"/>
              <w:spacing w:before="0" w:after="283"/>
              <w:jc w:val="center"/>
              <w:rPr/>
            </w:pPr>
            <w:r>
              <w:rPr/>
              <w:t> </w:t>
            </w:r>
          </w:p>
        </w:tc>
        <w:tc>
          <w:tcPr>
            <w:tcW w:w="1232" w:type="dxa"/>
            <w:tcBorders>
              <w:bottom w:val="single" w:sz="12" w:space="0" w:color="000000"/>
            </w:tcBorders>
            <w:vAlign w:val="center"/>
          </w:tcPr>
          <w:p>
            <w:pPr>
              <w:pStyle w:val="TableContents"/>
              <w:bidi w:val="0"/>
              <w:spacing w:before="0" w:after="283"/>
              <w:jc w:val="center"/>
              <w:rPr>
                <w:b/>
              </w:rPr>
            </w:pPr>
            <w:r>
              <w:rPr>
                <w:b/>
              </w:rPr>
              <w:t xml:space="preserve">Coupon </w:t>
              <w:br/>
              <w:t>Rate</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8" w:type="dxa"/>
            <w:tcBorders>
              <w:bottom w:val="single" w:sz="12" w:space="0" w:color="000000"/>
            </w:tcBorders>
            <w:vAlign w:val="center"/>
          </w:tcPr>
          <w:p>
            <w:pPr>
              <w:pStyle w:val="TableContents"/>
              <w:bidi w:val="0"/>
              <w:spacing w:before="0" w:after="283"/>
              <w:jc w:val="center"/>
              <w:rPr>
                <w:b/>
              </w:rPr>
            </w:pPr>
            <w:r>
              <w:rPr>
                <w:b/>
              </w:rPr>
              <w:t xml:space="preserve">Issuance </w:t>
              <w:br/>
              <w:t>Date</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12" w:space="0" w:color="000000"/>
            </w:tcBorders>
            <w:vAlign w:val="center"/>
          </w:tcPr>
          <w:p>
            <w:pPr>
              <w:pStyle w:val="TableContents"/>
              <w:bidi w:val="0"/>
              <w:spacing w:before="0" w:after="283"/>
              <w:jc w:val="center"/>
              <w:rPr>
                <w:b/>
              </w:rPr>
            </w:pPr>
            <w:r>
              <w:rPr>
                <w:b/>
              </w:rPr>
              <w:t xml:space="preserve">Maturity </w:t>
              <w:br/>
              <w:t>Date</w:t>
            </w:r>
          </w:p>
        </w:tc>
        <w:tc>
          <w:tcPr>
            <w:tcW w:w="60" w:type="dxa"/>
            <w:tcBorders/>
            <w:tcMar>
              <w:bottom w:w="0" w:type="dxa"/>
            </w:tcMar>
            <w:vAlign w:val="center"/>
          </w:tcPr>
          <w:p>
            <w:pPr>
              <w:pStyle w:val="TableContents"/>
              <w:bidi w:val="0"/>
              <w:spacing w:before="0" w:after="283"/>
              <w:jc w:val="center"/>
              <w:rPr/>
            </w:pPr>
            <w:r>
              <w:rPr/>
              <w:t> </w:t>
            </w:r>
          </w:p>
        </w:tc>
        <w:tc>
          <w:tcPr>
            <w:tcW w:w="1529" w:type="dxa"/>
            <w:gridSpan w:val="2"/>
            <w:tcBorders>
              <w:bottom w:val="single" w:sz="12" w:space="0" w:color="000000"/>
            </w:tcBorders>
            <w:vAlign w:val="center"/>
          </w:tcPr>
          <w:p>
            <w:pPr>
              <w:pStyle w:val="TableContents"/>
              <w:bidi w:val="0"/>
              <w:spacing w:before="0" w:after="283"/>
              <w:jc w:val="center"/>
              <w:rPr>
                <w:b/>
              </w:rPr>
            </w:pPr>
            <w:r>
              <w:rPr>
                <w:b/>
              </w:rPr>
              <w:t xml:space="preserve">Fair Value at December 31, </w:t>
              <w:br/>
              <w:t>2025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25" w:type="dxa"/>
            <w:tcBorders>
              <w:bottom w:val="single" w:sz="12" w:space="0" w:color="000000"/>
            </w:tcBorders>
            <w:vAlign w:val="center"/>
          </w:tcPr>
          <w:p>
            <w:pPr>
              <w:pStyle w:val="TableContents"/>
              <w:bidi w:val="0"/>
              <w:spacing w:before="0" w:after="283"/>
              <w:ind w:left="0" w:right="0" w:hanging="180"/>
              <w:jc w:val="center"/>
              <w:rPr>
                <w:b/>
              </w:rPr>
            </w:pPr>
            <w:r>
              <w:rPr>
                <w:b/>
              </w:rPr>
              <w:t xml:space="preserve">Fair Value </w:t>
              <w:br/>
              <w:t>level</w:t>
            </w:r>
          </w:p>
        </w:tc>
      </w:tr>
      <w:tr>
        <w:trPr/>
        <w:tc>
          <w:tcPr>
            <w:tcW w:w="1235" w:type="dxa"/>
            <w:tcBorders/>
            <w:shd w:fill="CCEEFF" w:val="clear"/>
            <w:tcMar>
              <w:bottom w:w="0" w:type="dxa"/>
            </w:tcMar>
            <w:vAlign w:val="center"/>
          </w:tcPr>
          <w:p>
            <w:pPr>
              <w:pStyle w:val="TableContents"/>
              <w:bidi w:val="0"/>
              <w:spacing w:before="0" w:after="283"/>
              <w:jc w:val="left"/>
              <w:rPr/>
            </w:pPr>
            <w:r>
              <w:rPr/>
              <w:t>JAK &amp; affiliated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2025-06-03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2028-06-02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1339" w:type="dxa"/>
            <w:tcBorders/>
            <w:shd w:fill="CCEEFF" w:val="clear"/>
            <w:tcMar>
              <w:bottom w:w="0" w:type="dxa"/>
            </w:tcMar>
            <w:vAlign w:val="center"/>
          </w:tcPr>
          <w:p>
            <w:pPr>
              <w:pStyle w:val="TableContents"/>
              <w:bidi w:val="0"/>
              <w:spacing w:before="0" w:after="283"/>
              <w:jc w:val="right"/>
              <w:rPr/>
            </w:pPr>
            <w:r>
              <w:rPr/>
              <w:t>2,831,611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FFFFFF" w:val="clear"/>
            <w:tcMar>
              <w:bottom w:w="0" w:type="dxa"/>
            </w:tcMar>
            <w:vAlign w:val="center"/>
          </w:tcPr>
          <w:p>
            <w:pPr>
              <w:pStyle w:val="TableContents"/>
              <w:bidi w:val="0"/>
              <w:spacing w:before="0" w:after="283"/>
              <w:jc w:val="left"/>
              <w:rPr/>
            </w:pPr>
            <w:r>
              <w:rPr/>
              <w:t>JAK &amp; affiliated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1,475,000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center"/>
              <w:rPr/>
            </w:pPr>
            <w:r>
              <w:rPr/>
              <w:t>0.63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14.75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 w:type="dxa"/>
            <w:tcBorders/>
            <w:shd w:fill="FFFFFF" w:val="clear"/>
            <w:tcMar>
              <w:bottom w:w="0" w:type="dxa"/>
            </w:tcMar>
            <w:vAlign w:val="center"/>
          </w:tcPr>
          <w:p>
            <w:pPr>
              <w:pStyle w:val="TableContents"/>
              <w:bidi w:val="0"/>
              <w:spacing w:before="0" w:after="283"/>
              <w:jc w:val="center"/>
              <w:rPr/>
            </w:pPr>
            <w:r>
              <w:rPr/>
              <w:t>2025-07-16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pPr>
            <w:r>
              <w:rPr/>
              <w:t>2030-01-16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339" w:type="dxa"/>
            <w:tcBorders/>
            <w:shd w:fill="FFFFFF" w:val="clear"/>
            <w:tcMar>
              <w:bottom w:w="0" w:type="dxa"/>
            </w:tcMar>
            <w:vAlign w:val="center"/>
          </w:tcPr>
          <w:p>
            <w:pPr>
              <w:pStyle w:val="TableContents"/>
              <w:bidi w:val="0"/>
              <w:spacing w:before="0" w:after="283"/>
              <w:jc w:val="right"/>
              <w:rPr/>
            </w:pPr>
            <w:r>
              <w:rPr/>
              <w:t>1,736,145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CCEEFF" w:val="clear"/>
            <w:tcMar>
              <w:bottom w:w="0" w:type="dxa"/>
            </w:tcMar>
            <w:vAlign w:val="center"/>
          </w:tcPr>
          <w:p>
            <w:pPr>
              <w:pStyle w:val="TableContents"/>
              <w:bidi w:val="0"/>
              <w:spacing w:before="0" w:after="283"/>
              <w:jc w:val="left"/>
              <w:rPr/>
            </w:pPr>
            <w:r>
              <w:rPr/>
              <w:t>Vanquish Funding Group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25% discount of lowest traded price during 10 trading days immediately preceding the conversion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2025-10-15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2026-07-30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257,673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FFFFFF" w:val="clear"/>
            <w:tcMar>
              <w:bottom w:w="0" w:type="dxa"/>
            </w:tcMar>
            <w:vAlign w:val="center"/>
          </w:tcPr>
          <w:p>
            <w:pPr>
              <w:pStyle w:val="TableContents"/>
              <w:bidi w:val="0"/>
              <w:spacing w:before="0" w:after="283"/>
              <w:jc w:val="left"/>
              <w:rPr/>
            </w:pPr>
            <w:r>
              <w:rPr/>
              <w:t>Labrys Fund II,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center"/>
              <w:rPr/>
            </w:pPr>
            <w:r>
              <w:rPr/>
              <w:t>15% discount of lowest traded price during 10 trading days immediately preceding the conversion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USD 39,285.71 for 6 instalments</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 w:type="dxa"/>
            <w:tcBorders/>
            <w:shd w:fill="FFFFFF" w:val="clear"/>
            <w:tcMar>
              <w:bottom w:w="0" w:type="dxa"/>
            </w:tcMar>
            <w:vAlign w:val="center"/>
          </w:tcPr>
          <w:p>
            <w:pPr>
              <w:pStyle w:val="TableContents"/>
              <w:bidi w:val="0"/>
              <w:spacing w:before="0" w:after="283"/>
              <w:jc w:val="center"/>
              <w:rPr/>
            </w:pPr>
            <w:r>
              <w:rPr/>
              <w:t>2025-11-12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pPr>
            <w:r>
              <w:rPr/>
              <w:t>2026-11-11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339" w:type="dxa"/>
            <w:tcBorders/>
            <w:shd w:fill="FFFFFF" w:val="clear"/>
            <w:tcMar>
              <w:bottom w:w="0" w:type="dxa"/>
            </w:tcMar>
            <w:vAlign w:val="center"/>
          </w:tcPr>
          <w:p>
            <w:pPr>
              <w:pStyle w:val="TableContents"/>
              <w:bidi w:val="0"/>
              <w:spacing w:before="0" w:after="283"/>
              <w:jc w:val="right"/>
              <w:rPr/>
            </w:pPr>
            <w:r>
              <w:rPr/>
              <w:t>156,063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CCEEFF" w:val="clear"/>
            <w:tcMar>
              <w:bottom w:w="0" w:type="dxa"/>
            </w:tcMar>
            <w:vAlign w:val="center"/>
          </w:tcPr>
          <w:p>
            <w:pPr>
              <w:pStyle w:val="TableContents"/>
              <w:bidi w:val="0"/>
              <w:spacing w:before="0" w:after="283"/>
              <w:jc w:val="left"/>
              <w:rPr/>
            </w:pPr>
            <w:r>
              <w:rPr/>
              <w:t>Vanquish Funding Group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25% discount of lowest traded price during 10 trading days immediately preceding the conversion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2025-11-04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2026-07-30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235,900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center"/>
              <w:rPr/>
            </w:pPr>
            <w:r>
              <w:rPr/>
              <w:t>Level 2</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period ended December 31, 2025, a total of $7,200,000 of convertible promissory notes were issued with a discount of 7% to JAK. These Notes are to be settled by way of cash or may be converted to Class A ordinary shares. The conversion of these notes is subject to certain criterions as mentioned in the Convertible Note Agreements, which include a beneficiary cap of 9.9% of shareholdings in the Company by JAK.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12, 2025, the Company entered into a Securities Purchase Agreement with Labrys Fund II, L.P. (“Labrys SPA”), pursuant to which, amongst other things, (i) the Company agreed to sell a convertible note in the aggregate principal amount of $250,000, convertible into Class A Ordinary Shares pursuant to its terms and the funding of $250,000 was received on November 15,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a total of $ 2,725,000 of convertible notes were converted into 6,492 ordinary shares by the note holder (adjusted by Reverse Stock Splits in 2025 and 2026 as of this report date), thereby increasing our shareholder equity by the same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a total of $5,800,000 of convertible promissory notes were issued with a discount of 7%. These Notes are to be settled by way of cash or may be converted to Class A ordinary shares. The conversion of these notes are subject to certain criterions as mentioned in the Convertible Note Agreements, which include a beneficiary cap of 9.99% of shareholdings in the Company by JAK.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a total of $2,650,000 of convertible notes were converted into 13 (adjusted by four Reverse Stock Splits in 2025 and four Reverse Stock Splits on January 26, 2026, March 16, 2026, July 6, 2026 and September 1, 2026) ordinary shares by the note holder, thereby increasing our shareholder equity by the same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 amounted to $504,136 and $765,177 for the period ended December 31, 2025 and December 31, 2024 respectively and has been calculated based on the effective interest rate for each convertible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costs incurred on issuance of the Notes are capitalized and amortised over the term of the Notes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6"/>
        <w:gridCol w:w="60"/>
        <w:gridCol w:w="191"/>
        <w:gridCol w:w="1206"/>
        <w:gridCol w:w="95"/>
        <w:gridCol w:w="60"/>
        <w:gridCol w:w="199"/>
        <w:gridCol w:w="1255"/>
        <w:gridCol w:w="113"/>
      </w:tblGrid>
      <w:tr>
        <w:trPr/>
        <w:tc>
          <w:tcPr>
            <w:tcW w:w="70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3" w:type="dxa"/>
            <w:tcBorders/>
            <w:vAlign w:val="center"/>
          </w:tcPr>
          <w:p>
            <w:pPr>
              <w:pStyle w:val="TableContents"/>
              <w:bidi w:val="0"/>
              <w:spacing w:before="0" w:after="283"/>
              <w:jc w:val="left"/>
              <w:rPr/>
            </w:pPr>
            <w:r>
              <w:rPr/>
              <w:t> </w:t>
            </w:r>
          </w:p>
        </w:tc>
      </w:tr>
      <w:tr>
        <w:trPr/>
        <w:tc>
          <w:tcPr>
            <w:tcW w:w="7026"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206" w:type="dxa"/>
            <w:tcBorders/>
            <w:shd w:fill="CCEEFF" w:val="clear"/>
            <w:vAlign w:val="center"/>
          </w:tcPr>
          <w:p>
            <w:pPr>
              <w:pStyle w:val="TableContents"/>
              <w:bidi w:val="0"/>
              <w:spacing w:before="0" w:after="283"/>
              <w:jc w:val="right"/>
              <w:rPr/>
            </w:pPr>
            <w:r>
              <w:rPr/>
              <w:t>648,232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pPr>
            <w:r>
              <w:rPr/>
              <w:t>Add: capitalized during the year</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564,000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929,500</w:t>
            </w:r>
          </w:p>
        </w:tc>
        <w:tc>
          <w:tcPr>
            <w:tcW w:w="113" w:type="dxa"/>
            <w:tcBorders/>
            <w:shd w:fill="FFFFFF" w:val="clear"/>
            <w:vAlign w:val="center"/>
          </w:tcPr>
          <w:p>
            <w:pPr>
              <w:pStyle w:val="TableContents"/>
              <w:bidi w:val="0"/>
              <w:spacing w:before="0" w:after="283"/>
              <w:jc w:val="left"/>
              <w:rPr/>
            </w:pPr>
            <w:r>
              <w:rPr/>
              <w:t> </w:t>
            </w:r>
          </w:p>
        </w:tc>
      </w:tr>
      <w:tr>
        <w:trPr/>
        <w:tc>
          <w:tcPr>
            <w:tcW w:w="7026" w:type="dxa"/>
            <w:tcBorders/>
            <w:shd w:fill="CCEEFF" w:val="clear"/>
            <w:vAlign w:val="center"/>
          </w:tcPr>
          <w:p>
            <w:pPr>
              <w:pStyle w:val="TableContents"/>
              <w:bidi w:val="0"/>
              <w:spacing w:before="0" w:after="283"/>
              <w:jc w:val="left"/>
              <w:rPr/>
            </w:pPr>
            <w:r>
              <w:rPr/>
              <w:t>Less: charged to additional paid in capital for converted notes during the year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(777,836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pPr>
            <w:r>
              <w:rPr/>
              <w:t>Less: amortized during the year</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12" w:space="0" w:color="000000"/>
            </w:tcBorders>
            <w:shd w:fill="FFFFFF" w:val="clear"/>
            <w:tcMar>
              <w:bottom w:w="28" w:type="dxa"/>
            </w:tcMar>
            <w:vAlign w:val="center"/>
          </w:tcPr>
          <w:p>
            <w:pPr>
              <w:pStyle w:val="TableContents"/>
              <w:bidi w:val="0"/>
              <w:spacing w:before="0" w:after="283"/>
              <w:jc w:val="right"/>
              <w:rPr/>
            </w:pPr>
            <w:r>
              <w:rPr/>
              <w:t>(86,080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(281,268</w:t>
            </w:r>
          </w:p>
        </w:tc>
        <w:tc>
          <w:tcPr>
            <w:tcW w:w="113" w:type="dxa"/>
            <w:tcBorders/>
            <w:shd w:fill="FFFFFF" w:val="clear"/>
            <w:vAlign w:val="center"/>
          </w:tcPr>
          <w:p>
            <w:pPr>
              <w:pStyle w:val="TableContents"/>
              <w:bidi w:val="0"/>
              <w:spacing w:before="0" w:after="283"/>
              <w:jc w:val="left"/>
              <w:rPr/>
            </w:pPr>
            <w:r>
              <w:rPr/>
              <w:t>)</w:t>
            </w:r>
          </w:p>
        </w:tc>
      </w:tr>
      <w:tr>
        <w:trPr/>
        <w:tc>
          <w:tcPr>
            <w:tcW w:w="7026"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6" w:type="dxa"/>
            <w:tcBorders>
              <w:bottom w:val="double" w:sz="10" w:space="0" w:color="000000"/>
            </w:tcBorders>
            <w:shd w:fill="CCEEFF" w:val="clear"/>
            <w:tcMar>
              <w:bottom w:w="28" w:type="dxa"/>
            </w:tcMar>
            <w:vAlign w:val="center"/>
          </w:tcPr>
          <w:p>
            <w:pPr>
              <w:pStyle w:val="TableContents"/>
              <w:bidi w:val="0"/>
              <w:spacing w:before="0" w:after="283"/>
              <w:jc w:val="right"/>
              <w:rPr/>
            </w:pPr>
            <w:r>
              <w:rPr/>
              <w:t>348,316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10" w:space="0" w:color="000000"/>
            </w:tcBorders>
            <w:shd w:fill="CCEEFF" w:val="clear"/>
            <w:tcMar>
              <w:bottom w:w="28" w:type="dxa"/>
            </w:tcMar>
            <w:vAlign w:val="center"/>
          </w:tcPr>
          <w:p>
            <w:pPr>
              <w:pStyle w:val="TableContents"/>
              <w:bidi w:val="0"/>
              <w:spacing w:before="0" w:after="283"/>
              <w:jc w:val="right"/>
              <w:rPr/>
            </w:pPr>
            <w:r>
              <w:rPr/>
              <w:t>648,232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815, a derivative liability had arisen from the issuance of convertible bonds which have the option of being converted to or exchanged for Class A ordinary shares at any time from date of issuance. The derivative liability is assessed to be a debt requiring to be bifurcated from the host contract and recorded at the fair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the conversion to ordinary shares is subject to certain terms and criteria as set within the Agreement, which includes restriction of conversion if the shareholdings by the note holder before and after the conversion exceeds 9.99%, for JAK &amp; affiliated holders and Labrys Fund II, LP, as revised and 4.99% for Vanquish Funding Group Inc. As of December 31, 2025, the threshold has not been met, and accordingly the derivative is assessed to have a value of US$262,616 for the portions convertible to the extent of threshold, where relevant.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standing instruments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financial year ending December 31, 2025 and 2024, JAK &amp; affiliated holders were issued with 2,142,940 and 3,555,678 warrants respectively to purchase additional Class A ordinary shares at an exercise price of $2.71 and $2.71, respectively (as adjusted for the effects of the reverse stock split in May 2025 but subject to adjustment of subsequent reverse stock splits).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exercise of these warrants is subject to a 9.99% beneficial cap, as revised, which restricts the holder from exceeding shareholdings in excess of the cap in the Company. As of December 31, 2025 and 2024, the derivative is assessed to have a nil value in view of the cap assessed to have been met with the exercise of the tab convertible notes above. </w:t>
      </w:r>
    </w:p>
    <w:p>
      <w:pPr>
        <w:pStyle w:val="TextBody"/>
        <w:bidi w:val="0"/>
        <w:spacing w:before="0" w:after="0"/>
        <w:ind w:left="0" w:right="0" w:hanging="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2765"/>
        <w:gridCol w:w="60"/>
        <w:gridCol w:w="76"/>
        <w:gridCol w:w="1338"/>
        <w:gridCol w:w="95"/>
        <w:gridCol w:w="60"/>
        <w:gridCol w:w="83"/>
        <w:gridCol w:w="1391"/>
        <w:gridCol w:w="7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Warrant units: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sz w:val="20"/>
              </w:rPr>
            </w:pPr>
            <w:r>
              <w:rPr>
                <w:sz w:val="20"/>
              </w:rPr>
              <w:t>Balance at beginning of the year</w:t>
            </w:r>
            <w:r>
              <w:rPr>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3,555,678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Warrants issued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2,142,940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pPr>
            <w:r>
              <w:rPr/>
              <w:t>3,555,678</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Less: Exercised</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283"/>
              <w:jc w:val="right"/>
              <w:rPr/>
            </w:pPr>
            <w:r>
              <w:rPr/>
              <w:t>(4,474,290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shd w:fill="FFFFFF" w:val="clear"/>
            <w:tcMar>
              <w:bottom w:w="28" w:type="dxa"/>
            </w:tcMar>
            <w:vAlign w:val="center"/>
          </w:tcPr>
          <w:p>
            <w:pPr>
              <w:pStyle w:val="TableContents"/>
              <w:bidi w:val="0"/>
              <w:spacing w:before="0" w:after="283"/>
              <w:jc w:val="right"/>
              <w:rPr/>
            </w:pPr>
            <w:r>
              <w:rPr/>
              <w:t>1,224,328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1" w:type="dxa"/>
            <w:tcBorders>
              <w:bottom w:val="double" w:sz="10" w:space="0" w:color="000000"/>
            </w:tcBorders>
            <w:shd w:fill="FFFFFF" w:val="clear"/>
            <w:tcMar>
              <w:bottom w:w="28" w:type="dxa"/>
            </w:tcMar>
            <w:vAlign w:val="center"/>
          </w:tcPr>
          <w:p>
            <w:pPr>
              <w:pStyle w:val="TableContents"/>
              <w:bidi w:val="0"/>
              <w:spacing w:before="0" w:after="283"/>
              <w:jc w:val="right"/>
              <w:rPr/>
            </w:pPr>
            <w:r>
              <w:rPr/>
              <w:t>3,555,678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40"/>
        <w:gridCol w:w="3950"/>
      </w:tblGrid>
      <w:tr>
        <w:trPr/>
        <w:tc>
          <w:tcPr>
            <w:tcW w:w="140" w:type="dxa"/>
            <w:tcBorders/>
            <w:vAlign w:val="center"/>
          </w:tcPr>
          <w:p>
            <w:pPr>
              <w:pStyle w:val="TableContents"/>
              <w:bidi w:val="0"/>
              <w:spacing w:before="0" w:after="283"/>
              <w:jc w:val="left"/>
              <w:rPr>
                <w:sz w:val="20"/>
              </w:rPr>
            </w:pPr>
            <w:r>
              <w:rPr>
                <w:sz w:val="20"/>
              </w:rPr>
              <w:t>*</w:t>
            </w:r>
          </w:p>
        </w:tc>
        <w:tc>
          <w:tcPr>
            <w:tcW w:w="3950" w:type="dxa"/>
            <w:tcBorders/>
            <w:vAlign w:val="center"/>
          </w:tcPr>
          <w:p>
            <w:pPr>
              <w:pStyle w:val="TableContents"/>
              <w:bidi w:val="0"/>
              <w:spacing w:before="0" w:after="283"/>
              <w:jc w:val="left"/>
              <w:rPr>
                <w:sz w:val="20"/>
              </w:rPr>
            </w:pPr>
            <w:r>
              <w:rPr>
                <w:sz w:val="20"/>
              </w:rPr>
              <w:t>Adjusted for the effects of the RSS in May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and Private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its initial public offering, the Company had issued 5,175,000 public warrants and 3,145,000 private warrants in a private placement transaction. Each warrant entitles the holder to purchase one ordinary share of the Company at an exercise price of $11.50 per share (subject to adjustment for share capital reorganisations and reverse stock splits).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for cash or on a cashless basis at the holder’s option and are not redeemable by the Company. The warrants are exercisable commencing on the later of:</w:t>
      </w:r>
    </w:p>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twelve months after the date of the IPO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the completion of the Company’s initial 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expire five years after the completion of the business combination, or earlier upon liquidation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31 December 2025 and 2024, there were 5,175,000 public warrants and 3,145,000 private warrants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since issuance, the Company completed multiple reverse stock splits. As a result, the number of ordinary shares issuable upon exercise of the warrants and the exercise price have been proportionately adjusted in accordance with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the market price of the Company’s ordinary shares was significantly below the adjusted exercise price of the warrants. Accordingly, the warrants were out of the money as at the reporting date. Management does not expect the warrants to be exercised unless the market price of the ordinary shares exceeds the exercise price prior to expiry.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various operating leases for clinics and office spaces.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December 31, 2024, the right-of-use assets totaled $504,192, and $98,570,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lease liabilities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560"/>
        <w:gridCol w:w="60"/>
        <w:gridCol w:w="140"/>
        <w:gridCol w:w="800"/>
        <w:gridCol w:w="60"/>
        <w:gridCol w:w="60"/>
        <w:gridCol w:w="140"/>
        <w:gridCol w:w="800"/>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Operating lease</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Lease liabilities –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238,105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108,526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Lease liabilities –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272,359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10,231</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510,464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118,757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future minimum payments under operating leases as of December 31, 2025:</w:t>
      </w:r>
    </w:p>
    <w:p>
      <w:pPr>
        <w:pStyle w:val="TextBody"/>
        <w:bidi w:val="0"/>
        <w:spacing w:before="0" w:after="0"/>
        <w:ind w:left="0" w:right="0" w:firstLine="720"/>
        <w:jc w:val="left"/>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4295"/>
        <w:gridCol w:w="60"/>
        <w:gridCol w:w="140"/>
        <w:gridCol w:w="800"/>
        <w:gridCol w:w="110"/>
      </w:tblGrid>
      <w:tr>
        <w:trPr/>
        <w:tc>
          <w:tcPr>
            <w:tcW w:w="4295" w:type="dxa"/>
            <w:tcBorders/>
            <w:shd w:fill="CCEEFF" w:val="clear"/>
            <w:vAlign w:val="center"/>
          </w:tcPr>
          <w:p>
            <w:pPr>
              <w:pStyle w:val="TableContents"/>
              <w:bidi w:val="0"/>
              <w:spacing w:before="0" w:after="283"/>
              <w:jc w:val="both"/>
              <w:rPr/>
            </w:pPr>
            <w:r>
              <w:rPr/>
              <w:t>Not later than 1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262,244</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Between 1 to 2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184,041</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Between 2 to 5 years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118,800</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565,085</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(54,621</w:t>
            </w:r>
          </w:p>
        </w:tc>
        <w:tc>
          <w:tcPr>
            <w:tcW w:w="11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pPr>
            <w:r>
              <w:rPr/>
              <w:t>Total operating lease liabilities, net of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510,464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lease information is as follows:</w:t>
      </w:r>
    </w:p>
    <w:p>
      <w:pPr>
        <w:pStyle w:val="TextBody"/>
        <w:bidi w:val="0"/>
        <w:spacing w:before="0" w:after="0"/>
        <w:ind w:left="0" w:right="0" w:firstLine="720"/>
        <w:jc w:val="left"/>
        <w:rPr>
          <w:caps w:val="false"/>
          <w:smallCaps w:val="false"/>
        </w:rPr>
      </w:pPr>
      <w:r>
        <w:rPr>
          <w:caps w:val="false"/>
          <w:smallCaps w:val="false"/>
        </w:rPr>
        <w:t> </w:t>
      </w:r>
    </w:p>
    <w:tbl>
      <w:tblPr>
        <w:tblW w:w="7295" w:type="dxa"/>
        <w:jc w:val="left"/>
        <w:tblInd w:w="0" w:type="dxa"/>
        <w:tblLayout w:type="fixed"/>
        <w:tblCellMar>
          <w:top w:w="0" w:type="dxa"/>
          <w:left w:w="0" w:type="dxa"/>
          <w:bottom w:w="0" w:type="dxa"/>
          <w:right w:w="0" w:type="dxa"/>
        </w:tblCellMar>
      </w:tblPr>
      <w:tblGrid>
        <w:gridCol w:w="4760"/>
        <w:gridCol w:w="60"/>
        <w:gridCol w:w="140"/>
        <w:gridCol w:w="845"/>
        <w:gridCol w:w="215"/>
        <w:gridCol w:w="60"/>
        <w:gridCol w:w="140"/>
        <w:gridCol w:w="845"/>
        <w:gridCol w:w="23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2.37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2.75 years</w:t>
            </w:r>
          </w:p>
        </w:tc>
        <w:tc>
          <w:tcPr>
            <w:tcW w:w="23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Weighted-average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w:t>
            </w:r>
          </w:p>
        </w:tc>
        <w:tc>
          <w:tcPr>
            <w:tcW w:w="230" w:type="dxa"/>
            <w:tcBorders/>
            <w:shd w:fill="FFFFFF" w:val="clear"/>
            <w:vAlign w:val="center"/>
          </w:tcPr>
          <w:p>
            <w:pPr>
              <w:pStyle w:val="TableContents"/>
              <w:bidi w:val="0"/>
              <w:spacing w:before="0" w:after="283"/>
              <w:jc w:val="left"/>
              <w:rPr/>
            </w:pPr>
            <w:r>
              <w:rPr/>
              <w:t>%</w:t>
            </w:r>
          </w:p>
        </w:tc>
      </w:tr>
      <w:tr>
        <w:trPr/>
        <w:tc>
          <w:tcPr>
            <w:tcW w:w="4760" w:type="dxa"/>
            <w:tcBorders/>
            <w:shd w:fill="CCEEFF" w:val="clear"/>
            <w:vAlign w:val="center"/>
          </w:tcPr>
          <w:p>
            <w:pPr>
              <w:pStyle w:val="TableContents"/>
              <w:bidi w:val="0"/>
              <w:spacing w:before="0" w:after="283"/>
              <w:jc w:val="left"/>
              <w:rPr/>
            </w:pPr>
            <w:r>
              <w:rPr/>
              <w:t>Short term lease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207,787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234,767</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December 31, 2024, there were $504,192 and $98,570 right of use (“ROU”) assets and $510,464 and $118,757 lease liabilities based on the present value of the future minimum rental payments of leases, respectively. The Company’s management believes that using an incremental borrowing rate of the minimum loan rate and the Hong Kong Dollar Best Lending Rate (“BLR”) minus 0.125% was the most indicative rate of the Company’s borrowing cost for the calculation of the present value of the lease payments; the rate used by the Company was 6.6% and 5.5%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December 31, 2025 and December 31, 2024, the Company is authorized to issue unlimited and 50,000,000 ordinary shares respectively. Each ordinary share is entitled to one vote. The holders of ordinary shares are also entitled to receive dividends whenever funds are legally available and when declared by the Board of Directors of the Company. On July 4, 2025, the Board of Directors of the Company approved unlimited authorized ordinary share.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equity of the Company as of December 31, 2025 and December 31, 2024 represents 26,736 and 42 ordinary shares with par value of $Nil. The number of shares as above have taken into consideration the reverse stock split effected on February 11, 2025, May 6, 2025 and August 4, 2025, December 1, 2025, January 26, 2026, March 16, 2026, July 6, 2026 and September 1, 2026 at an exchange ratio of one (1) share for twenty (20) shares, one (1) share for ten (10) shares and one (1) share for five (5) share, one (1) share for five (5) shares, one (1) share for three (3), one (1) share for four (4) shares, one (1) share for three (3) shares and one (1) share for three (3) shares respectively. Pursuant to ASC 505 the reverse stock split has been applied retrospectively.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paid-in capital</w:t>
      </w:r>
    </w:p>
    <w:p>
      <w:pPr>
        <w:pStyle w:val="TextBody"/>
        <w:bidi w:val="0"/>
        <w:spacing w:before="0" w:after="0"/>
        <w:ind w:left="0" w:right="0" w:hanging="0"/>
        <w:jc w:val="both"/>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7010"/>
        <w:gridCol w:w="60"/>
        <w:gridCol w:w="140"/>
        <w:gridCol w:w="1100"/>
        <w:gridCol w:w="110"/>
      </w:tblGrid>
      <w:tr>
        <w:trPr/>
        <w:tc>
          <w:tcPr>
            <w:tcW w:w="7010" w:type="dxa"/>
            <w:tcBorders/>
            <w:shd w:fill="CCEEFF" w:val="clear"/>
            <w:vAlign w:val="center"/>
          </w:tcPr>
          <w:p>
            <w:pPr>
              <w:pStyle w:val="TableContents"/>
              <w:bidi w:val="0"/>
              <w:spacing w:before="0" w:after="283"/>
              <w:jc w:val="left"/>
              <w:rPr/>
            </w:pPr>
            <w:r>
              <w:rPr/>
              <w:t>Balance as at January 1,2023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1,464,959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Issuance of shares as compensation for services (</w:t>
            </w:r>
            <w:r>
              <w:rPr>
                <w:i/>
                <w:sz w:val="20"/>
              </w:rPr>
              <w:t>Note 1</w:t>
            </w: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2,866,856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Balance as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4,331,815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Issuance of shares through Equity Line of Credit (</w:t>
            </w:r>
            <w:r>
              <w:rPr>
                <w:i/>
                <w:sz w:val="20"/>
              </w:rPr>
              <w:t>Note 2</w:t>
            </w: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1,936,236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2,650,000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 xml:space="preserve">Decrease in subscription receivable due to reduction of work by professionals </w:t>
            </w:r>
            <w:r>
              <w:rPr>
                <w:i/>
                <w:sz w:val="20"/>
              </w:rPr>
              <w:t>(Note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(2,766,856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sz w:val="20"/>
              </w:rPr>
            </w:pPr>
            <w:r>
              <w:rPr>
                <w:sz w:val="20"/>
              </w:rPr>
              <w:t>Business Combination (</w:t>
            </w:r>
            <w:r>
              <w:rPr>
                <w:i/>
                <w:sz w:val="20"/>
              </w:rPr>
              <w:t>Note 3</w:t>
            </w:r>
            <w:r>
              <w:rPr>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(6,028,690</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Balance as at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122,505</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sz w:val="20"/>
              </w:rPr>
            </w:pPr>
            <w:r>
              <w:rPr>
                <w:sz w:val="20"/>
              </w:rPr>
              <w:t xml:space="preserve">Issuance of shares for share-based compensation to consultant </w:t>
            </w:r>
            <w:r>
              <w:rPr>
                <w:i/>
                <w:sz w:val="20"/>
              </w:rPr>
              <w:t>(Note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20,250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 xml:space="preserve">Issuance of shares through Equity Line of Credit </w:t>
            </w:r>
            <w:r>
              <w:rPr>
                <w:i/>
                <w:sz w:val="20"/>
              </w:rPr>
              <w:t>(Note 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12,620,494</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4,860,427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Issuance of shares for business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257,500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Balance as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17,881,176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below have been amended to apply the reverse stock splits in February 11, May 6, 2025 and August 4, 2025, December 1, 2025, January 26, 2026, March 16, 2026, July 6, 2026 and September 1, 2026 retrospectively.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1:  On January 10, 2023, the Company issued 1,365 ordinary shares (0.0025 Ordinary Shares as adjusted by all Reverse Stock Splits done as of this report) to professional party for consulting service of 10 years, increasing the additional paid-in capital by $812,300. On December 4, 2023, the Company issued additional 3,450 shares (0.0064 Ordinary Shares as adjusted by all Reverse Stock Splits done as of this report) to DoubleClick Services Limited for consulting service of 10 years, increasing the additional paid-in capital by $2,054,556. During 2024, the service scope and duration were reduced and the service value was adjusted accordingly pursuant to addendums to respective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 2:</w:t>
      </w:r>
      <w:r>
        <w:rPr>
          <w:rFonts w:ascii="Times New Roman;Times;Serif" w:hAnsi="Times New Roman;Times;Serif"/>
          <w:b w:val="false"/>
          <w:i w:val="false"/>
          <w:caps w:val="false"/>
          <w:smallCaps w:val="false"/>
          <w:sz w:val="20"/>
        </w:rPr>
        <w:t xml:space="preserve"> 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within 36 months from the Agreement effective date up to One Hundred Million Dollars ($100,000,000) in aggregate gross purchase price of newly issued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 The White Lion Purchase Agreement was included as Exhibit 10.27 of the Form F-1 registration statement filed on December 5,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10, 2024, 35,000 Class A Ordinary Shares (0.06 Ordinary Shares as adjusted by all reverse stock splits done as of this report) were issued to White Lion amounting $276,850, in consideration for White Lion’s commitment pursuant to the White Lion Purchase Agreement. In addition, on December 12, 2024, pursuant to this Agreement, the Company issued 9,500 (0.02 Ordinary Shares as adjusted by all reverse stock splits done as of this report) Class A Ordinary Shares for a purchase price of $1,572,186. On December 24, 2024, the Company issued 25,000 Class A Ordinary Shares (0.05 Ordinary Shares as adjusted by all reverse stock splits done as of this report) for a purchase price of $160,050. On December 31, 2024, the Company issued 30,000 Class A Ordinary Shares (0.06 Ordinary Shares as adjusted by all reverse stock splits done as of this report) for a purchase price of $204,000.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3: Upon de-spac business combination, additional paid-in capital and capital reserve of Legacy NewGenIvf was combined with additional paid-in capital and accumulated net losses of the A SPAC I Acquisition Corp and added into the additional paid-in capital of NewGenIvf Group upon the reverse take-over.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4: The Company had issued 0.0019 Class A Ordinary Shares to A SPAC (Holdings) Group Corp, pursuant to a one year consulting services agreement commencing on February 3,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5: During the year ended December 31, 2025, the Company had issued 15,740 shares after taking account of all the reverse stock splits done as of this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6: The Company had issued 125,000 Class A Ordinary Shares (4.63 Ordinary Shares as adjusted by all reverse stock splits done as of this report) valued at US$2.06 per share (subject to Reverse Stock Split adjustment) for acquiring of MicroSort Reproductive Technology on January 21,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15 —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defined contribution pension scheme for its qualifying employees. The scheme assets are held under a provident fund managed by an independent fund manager. The Company and its employees are each required to make contributions to the scheme calculated at 5% of the employees’ basic salaries on monthly basis. </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obliged to make social security payments within the first 15 days of the month over which it is accrued. During period ended December 31 2025, the Company and its employees are each required to make contributions to the scheme calculated at 5% of the employee’s salary with a cap of THB750 per month.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business employing one or more workers must register its business and workers with the National Social Security Fund (the “NSSF”) for the Occupational Risk Scheme (for work-related accidents and occupational diseases), the Health Care Scheme and the Pension Scheme.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registered, the business must pay to the NSSF:</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equivalent to 0.8% of each worker’s monthly average wages (between $0.40 and $2.40 per month per worker) for the Occupational Risk Scheme.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equivalent to 2.6% of a worker’s monthly average wages (between $1.30 and $7.80 per month per worker) for the Health Care Scheme.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to the compulsory Pension Scheme, which is jointly paid by the employer and the employee at the same rate of 2% (total of 4%) of the contributable wage for the first five years. The contributable wage for the Pension Scheme ranges from between KHR400,000 (approximately $100) up to KHR1,200,000 (approximately $300).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defined contribution pension scheme for its qualifying employees. The scheme assets are held under a provident fund managed by an independent fund manager. The Company and its employees are each required to make contributions to the scheme calculated at 15% and 8%, respectively of the employees’ basic salaries on monthly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16 —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Limited was incorporated in the Cayman Islands and is not subject to tax on income or capital gains under current Cayman Islands law. In addition, upon payment of dividends by these entities to the shareholders, no Cayman Islands withholding tax will be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the HK SAR profits tax is calculated at 8.25% on the first HK$2 million of the estimated assessable profits and at 16.5% on the remaining estimated assessable profits.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companies incorporated in Thailand are taxed on worldwide income. A company incorporated abroad is taxed on its profits arising from or in consequence of the business carried on in Thailand. The corporate income tax (CIT) rate is 20%. A foreign company not carrying on business in Thailand is subject to a final withholding tax (WHT) on certain types of assessable income (e.g. interest, dividends, royalties, rentals, and service fees) paid from or in Thailand. The rate of tax is generally 15%, except for dividends, which is 10%, while other rates may apply under the provisions of a double tax treaty (DTT).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standard rate of corporate income tax (“CIT”) for companies and permanent establishments who are classified as medium and large taxpayers is 20%. For companies and permanent establishments who are classified as small taxpayers, the CIT rates are progressive rates from 0% to 20%. In view of the annual turnover of the company, the annual turnover ranges from KHR1 billion to KHR6 billion for service and commercial sectors, the company shall consider as the medium-sized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corporate income tax on their aggregate annual income earned worldwide. Non-resident legal entities carrying out business activities through a permanent establishment in Kyrgyzstan are subject to profit tax on the income attributed to the activities of that permanent establishments. During the period ended June 30, 2025, no tax payable is accrued and reversed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Profit tax is calculated at a rate of 10% of aggregate annual income less allowed deductions.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provisions for income taxes for the years ended December 31, 2024, and December 31, 2025 were as follows:</w:t>
      </w:r>
    </w:p>
    <w:p>
      <w:pPr>
        <w:pStyle w:val="TextBody"/>
        <w:bidi w:val="0"/>
        <w:spacing w:before="0" w:after="0"/>
        <w:ind w:left="0" w:right="0" w:firstLine="720"/>
        <w:jc w:val="left"/>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4430"/>
        <w:gridCol w:w="60"/>
        <w:gridCol w:w="380"/>
        <w:gridCol w:w="1035"/>
        <w:gridCol w:w="60"/>
        <w:gridCol w:w="60"/>
        <w:gridCol w:w="143"/>
        <w:gridCol w:w="1331"/>
        <w:gridCol w:w="110"/>
      </w:tblGrid>
      <w:tr>
        <w:trPr/>
        <w:tc>
          <w:tcPr>
            <w:tcW w:w="4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both"/>
              <w:rPr/>
            </w:pPr>
            <w:r>
              <w:rPr/>
              <w:t>Current tax provision Kyrgyzstan</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Over provision of tax in prior year Kyrgyzstan</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r>
              <w:rPr/>
              <w:t>(486,706</w:t>
            </w:r>
          </w:p>
        </w:tc>
        <w:tc>
          <w:tcPr>
            <w:tcW w:w="110" w:type="dxa"/>
            <w:tcBorders/>
            <w:shd w:fill="FFFFFF" w:val="clear"/>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both"/>
              <w:rPr/>
            </w:pPr>
            <w:r>
              <w:rPr/>
              <w:t>Current tax provision Cambodia</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Total tax (income) expense</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1" w:type="dxa"/>
            <w:tcBorders>
              <w:bottom w:val="double" w:sz="10" w:space="0" w:color="000000"/>
            </w:tcBorders>
            <w:shd w:fill="FFFFFF" w:val="clear"/>
            <w:tcMar>
              <w:bottom w:w="28" w:type="dxa"/>
            </w:tcMar>
            <w:vAlign w:val="center"/>
          </w:tcPr>
          <w:p>
            <w:pPr>
              <w:pStyle w:val="TableContents"/>
              <w:bidi w:val="0"/>
              <w:spacing w:before="0" w:after="283"/>
              <w:jc w:val="right"/>
              <w:rPr/>
            </w:pPr>
            <w:r>
              <w:rPr/>
              <w:t>(486,706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4250"/>
        <w:gridCol w:w="60"/>
        <w:gridCol w:w="140"/>
        <w:gridCol w:w="1340"/>
        <w:gridCol w:w="95"/>
        <w:gridCol w:w="60"/>
        <w:gridCol w:w="140"/>
        <w:gridCol w:w="1355"/>
        <w:gridCol w:w="110"/>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Profit / (Loss) Income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(960,807</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Tax credit (expense) at the effective tax rates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1,705,862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(179,863</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effect on non-taxable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(3,682,167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(81,323</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Tax effect on non-deductible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1,975,290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129,814</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131,991</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Tax effect on utilization of tax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(127,521</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losses unable to be utilized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126,902</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Over provision of tax in prior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FFFFFF" w:val="clear"/>
            <w:tcMar>
              <w:bottom w:w="28" w:type="dxa"/>
            </w:tcMar>
            <w:vAlign w:val="center"/>
          </w:tcPr>
          <w:p>
            <w:pPr>
              <w:pStyle w:val="TableContents"/>
              <w:bidi w:val="0"/>
              <w:spacing w:before="0" w:after="283"/>
              <w:jc w:val="right"/>
              <w:rPr/>
            </w:pPr>
            <w:r>
              <w:rPr/>
              <w:t>(486,706</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10" w:space="0" w:color="000000"/>
            </w:tcBorders>
            <w:shd w:fill="CCEEFF" w:val="clear"/>
            <w:tcMar>
              <w:bottom w:w="28" w:type="dxa"/>
            </w:tcMar>
            <w:vAlign w:val="center"/>
          </w:tcPr>
          <w:p>
            <w:pPr>
              <w:pStyle w:val="TableContents"/>
              <w:bidi w:val="0"/>
              <w:spacing w:before="0" w:after="283"/>
              <w:jc w:val="right"/>
              <w:rPr/>
            </w:pPr>
            <w:r>
              <w:rPr/>
              <w:t>(486,706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deferred tax assets, net were as follows:</w:t>
      </w:r>
    </w:p>
    <w:p>
      <w:pPr>
        <w:pStyle w:val="TextBody"/>
        <w:bidi w:val="0"/>
        <w:spacing w:before="0" w:after="0"/>
        <w:ind w:left="0" w:right="0" w:hanging="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275"/>
        <w:gridCol w:w="60"/>
        <w:gridCol w:w="275"/>
        <w:gridCol w:w="1199"/>
        <w:gridCol w:w="60"/>
        <w:gridCol w:w="60"/>
        <w:gridCol w:w="93"/>
        <w:gridCol w:w="1381"/>
        <w:gridCol w:w="110"/>
      </w:tblGrid>
      <w:tr>
        <w:trPr/>
        <w:tc>
          <w:tcPr>
            <w:tcW w:w="32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xml:space="preserve">– </w:t>
            </w:r>
            <w:r>
              <w:rPr/>
              <w:t>Net operating loss carry forward</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160,432</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Less: valuation allowance</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FFFFFF" w:val="clear"/>
            <w:tcMar>
              <w:bottom w:w="28" w:type="dxa"/>
            </w:tcMar>
            <w:vAlign w:val="center"/>
          </w:tcPr>
          <w:p>
            <w:pPr>
              <w:pStyle w:val="TableContents"/>
              <w:bidi w:val="0"/>
              <w:spacing w:before="0" w:after="283"/>
              <w:jc w:val="right"/>
              <w:rPr/>
            </w:pPr>
            <w:r>
              <w:rPr/>
              <w:t>(160,432</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2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December 31, 2024, the Company had net operating loss carry forward of Nil and $160,432. The Company believes it is less likely than not that its operations will be able to fully utilize its deferred tax assets related to the net operating loss carry forward. As a result, the Company provided 100% allowance on deferred tax assets on net operating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17 — DISAGGREGATED 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main business operations are to provide: (i) IVF treatment service; and (ii) fertility referral services.</w:t>
      </w:r>
    </w:p>
    <w:p>
      <w:pPr>
        <w:pStyle w:val="TextBody"/>
        <w:bidi w:val="0"/>
        <w:spacing w:before="0" w:after="0"/>
        <w:ind w:left="0" w:right="0" w:firstLine="720"/>
        <w:jc w:val="left"/>
        <w:rPr>
          <w:caps w:val="false"/>
          <w:smallCaps w:val="false"/>
        </w:rPr>
      </w:pPr>
      <w:r>
        <w:rPr>
          <w:caps w:val="false"/>
          <w:smallCaps w:val="false"/>
        </w:rPr>
        <w:t> </w:t>
      </w:r>
    </w:p>
    <w:tbl>
      <w:tblPr>
        <w:tblW w:w="6523" w:type="dxa"/>
        <w:jc w:val="left"/>
        <w:tblInd w:w="0" w:type="dxa"/>
        <w:tblLayout w:type="fixed"/>
        <w:tblCellMar>
          <w:top w:w="0" w:type="dxa"/>
          <w:left w:w="0" w:type="dxa"/>
          <w:bottom w:w="28" w:type="dxa"/>
          <w:right w:w="0" w:type="dxa"/>
        </w:tblCellMar>
      </w:tblPr>
      <w:tblGrid>
        <w:gridCol w:w="3440"/>
        <w:gridCol w:w="60"/>
        <w:gridCol w:w="176"/>
        <w:gridCol w:w="1238"/>
        <w:gridCol w:w="60"/>
        <w:gridCol w:w="60"/>
        <w:gridCol w:w="176"/>
        <w:gridCol w:w="1238"/>
        <w:gridCol w:w="75"/>
      </w:tblGrid>
      <w:tr>
        <w:trPr/>
        <w:tc>
          <w:tcPr>
            <w:tcW w:w="3440" w:type="dxa"/>
            <w:tcBorders>
              <w:bottom w:val="single" w:sz="12" w:space="0" w:color="000000"/>
            </w:tcBorders>
            <w:vAlign w:val="center"/>
          </w:tcPr>
          <w:p>
            <w:pPr>
              <w:pStyle w:val="TableContents"/>
              <w:bidi w:val="0"/>
              <w:spacing w:before="0" w:after="283"/>
              <w:jc w:val="left"/>
              <w:rPr>
                <w:b/>
              </w:rPr>
            </w:pPr>
            <w:r>
              <w:rPr>
                <w:b/>
              </w:rPr>
              <w:t>Revenue from external customers</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75" w:type="dxa"/>
            <w:tcBorders/>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both"/>
              <w:rPr/>
            </w:pPr>
            <w:r>
              <w:rPr/>
              <w:t>IVF treatment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3,905,863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5,433,375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both"/>
              <w:rPr/>
            </w:pPr>
            <w:r>
              <w:rPr/>
              <w:t>Fertility referral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c>
          <w:tcPr>
            <w:tcW w:w="1238" w:type="dxa"/>
            <w:tcBorders>
              <w:bottom w:val="single" w:sz="12" w:space="0" w:color="000000"/>
            </w:tcBorders>
            <w:shd w:fill="FFFFFF" w:val="clear"/>
            <w:vAlign w:val="center"/>
          </w:tcPr>
          <w:p>
            <w:pPr>
              <w:pStyle w:val="TableContents"/>
              <w:bidi w:val="0"/>
              <w:spacing w:before="0" w:after="283"/>
              <w:jc w:val="right"/>
              <w:rPr/>
            </w:pPr>
            <w:r>
              <w:rPr/>
              <w:t>820,570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c>
          <w:tcPr>
            <w:tcW w:w="1238"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both"/>
              <w:rPr/>
            </w:pPr>
            <w:r>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double" w:sz="10" w:space="0" w:color="000000"/>
            </w:tcBorders>
            <w:shd w:fill="CCEEFF" w:val="clear"/>
            <w:vAlign w:val="center"/>
          </w:tcPr>
          <w:p>
            <w:pPr>
              <w:pStyle w:val="TableContents"/>
              <w:bidi w:val="0"/>
              <w:spacing w:before="0" w:after="283"/>
              <w:jc w:val="left"/>
              <w:rPr/>
            </w:pPr>
            <w:r>
              <w:rPr/>
              <w:t>$</w:t>
            </w:r>
          </w:p>
        </w:tc>
        <w:tc>
          <w:tcPr>
            <w:tcW w:w="1238" w:type="dxa"/>
            <w:tcBorders>
              <w:bottom w:val="double" w:sz="10" w:space="0" w:color="000000"/>
            </w:tcBorders>
            <w:shd w:fill="CCEEFF" w:val="clear"/>
            <w:vAlign w:val="center"/>
          </w:tcPr>
          <w:p>
            <w:pPr>
              <w:pStyle w:val="TableContents"/>
              <w:bidi w:val="0"/>
              <w:spacing w:before="0" w:after="283"/>
              <w:jc w:val="right"/>
              <w:rPr/>
            </w:pPr>
            <w:r>
              <w:rPr/>
              <w:t>4,726,433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double" w:sz="10" w:space="0" w:color="000000"/>
            </w:tcBorders>
            <w:shd w:fill="CCEEFF" w:val="clear"/>
            <w:vAlign w:val="center"/>
          </w:tcPr>
          <w:p>
            <w:pPr>
              <w:pStyle w:val="TableContents"/>
              <w:bidi w:val="0"/>
              <w:spacing w:before="0" w:after="283"/>
              <w:jc w:val="left"/>
              <w:rPr/>
            </w:pPr>
            <w:r>
              <w:rPr/>
              <w:t>$</w:t>
            </w:r>
          </w:p>
        </w:tc>
        <w:tc>
          <w:tcPr>
            <w:tcW w:w="1238" w:type="dxa"/>
            <w:tcBorders>
              <w:bottom w:val="double" w:sz="10" w:space="0" w:color="000000"/>
            </w:tcBorders>
            <w:shd w:fill="CCEEFF" w:val="clear"/>
            <w:vAlign w:val="center"/>
          </w:tcPr>
          <w:p>
            <w:pPr>
              <w:pStyle w:val="TableContents"/>
              <w:bidi w:val="0"/>
              <w:spacing w:before="0" w:after="283"/>
              <w:jc w:val="right"/>
              <w:rPr/>
            </w:pPr>
            <w:r>
              <w:rPr/>
              <w:t>5,433,375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information</w:t>
      </w:r>
    </w:p>
    <w:p>
      <w:pPr>
        <w:pStyle w:val="TextBody"/>
        <w:bidi w:val="0"/>
        <w:spacing w:before="0" w:after="0"/>
        <w:ind w:left="0" w:right="0" w:hanging="0"/>
        <w:jc w:val="left"/>
        <w:rPr>
          <w:caps w:val="false"/>
          <w:smallCaps w:val="false"/>
        </w:rPr>
      </w:pPr>
      <w:r>
        <w:rPr>
          <w:caps w:val="false"/>
          <w:smallCaps w:val="false"/>
        </w:rPr>
        <w:t> </w:t>
      </w:r>
    </w:p>
    <w:tbl>
      <w:tblPr>
        <w:tblW w:w="8234" w:type="dxa"/>
        <w:jc w:val="left"/>
        <w:tblInd w:w="0" w:type="dxa"/>
        <w:tblLayout w:type="fixed"/>
        <w:tblCellMar>
          <w:top w:w="0" w:type="dxa"/>
          <w:left w:w="0" w:type="dxa"/>
          <w:bottom w:w="28" w:type="dxa"/>
          <w:right w:w="0" w:type="dxa"/>
        </w:tblCellMar>
      </w:tblPr>
      <w:tblGrid>
        <w:gridCol w:w="5090"/>
        <w:gridCol w:w="60"/>
        <w:gridCol w:w="81"/>
        <w:gridCol w:w="1334"/>
        <w:gridCol w:w="60"/>
        <w:gridCol w:w="60"/>
        <w:gridCol w:w="183"/>
        <w:gridCol w:w="1291"/>
        <w:gridCol w:w="75"/>
      </w:tblGrid>
      <w:tr>
        <w:trPr/>
        <w:tc>
          <w:tcPr>
            <w:tcW w:w="5090" w:type="dxa"/>
            <w:tcBorders>
              <w:bottom w:val="single" w:sz="12" w:space="0" w:color="000000"/>
            </w:tcBorders>
            <w:vAlign w:val="center"/>
          </w:tcPr>
          <w:p>
            <w:pPr>
              <w:pStyle w:val="TableContents"/>
              <w:bidi w:val="0"/>
              <w:spacing w:before="0" w:after="283"/>
              <w:jc w:val="left"/>
              <w:rPr>
                <w:b/>
              </w:rPr>
            </w:pPr>
            <w:r>
              <w:rPr>
                <w:b/>
              </w:rPr>
              <w:t>Revenue from external customers originated from</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2024</w:t>
            </w:r>
          </w:p>
        </w:tc>
        <w:tc>
          <w:tcPr>
            <w:tcW w:w="75" w:type="dxa"/>
            <w:tcBorders/>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pPr>
            <w:r>
              <w:rPr/>
              <w:t>China / HK 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41,555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Kyrgyzstan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2,312,348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2,656,596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Cambodia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635,188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601,526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Thailand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1,691,862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2,175,253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pPr>
            <w:r>
              <w:rPr/>
              <w:t>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1334" w:type="dxa"/>
            <w:tcBorders>
              <w:bottom w:val="single" w:sz="12" w:space="0" w:color="000000"/>
            </w:tcBorders>
            <w:shd w:fill="CCEEFF" w:val="clear"/>
            <w:vAlign w:val="center"/>
          </w:tcPr>
          <w:p>
            <w:pPr>
              <w:pStyle w:val="TableContents"/>
              <w:bidi w:val="0"/>
              <w:spacing w:before="0" w:after="283"/>
              <w:jc w:val="right"/>
              <w:rPr/>
            </w:pPr>
            <w:r>
              <w:rPr/>
              <w:t>45,480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vAlign w:val="center"/>
          </w:tcPr>
          <w:p>
            <w:pPr>
              <w:pStyle w:val="TableContents"/>
              <w:bidi w:val="0"/>
              <w:spacing w:before="0" w:after="283"/>
              <w:jc w:val="left"/>
              <w:rPr/>
            </w:pPr>
            <w:r>
              <w:rPr/>
              <w:t> </w:t>
            </w:r>
          </w:p>
        </w:tc>
        <w:tc>
          <w:tcPr>
            <w:tcW w:w="1291"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both"/>
              <w:rPr/>
            </w:pPr>
            <w:r>
              <w:rPr/>
              <w:t>Total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double" w:sz="10" w:space="0" w:color="000000"/>
            </w:tcBorders>
            <w:shd w:fill="FFFFFF" w:val="clear"/>
            <w:vAlign w:val="center"/>
          </w:tcPr>
          <w:p>
            <w:pPr>
              <w:pStyle w:val="TableContents"/>
              <w:bidi w:val="0"/>
              <w:spacing w:before="0" w:after="283"/>
              <w:jc w:val="left"/>
              <w:rPr/>
            </w:pPr>
            <w:r>
              <w:rPr/>
              <w:t> </w:t>
            </w:r>
          </w:p>
        </w:tc>
        <w:tc>
          <w:tcPr>
            <w:tcW w:w="1334" w:type="dxa"/>
            <w:tcBorders>
              <w:bottom w:val="double" w:sz="10" w:space="0" w:color="000000"/>
            </w:tcBorders>
            <w:shd w:fill="FFFFFF" w:val="clear"/>
            <w:vAlign w:val="center"/>
          </w:tcPr>
          <w:p>
            <w:pPr>
              <w:pStyle w:val="TableContents"/>
              <w:bidi w:val="0"/>
              <w:spacing w:before="0" w:after="283"/>
              <w:jc w:val="right"/>
              <w:rPr/>
            </w:pPr>
            <w:r>
              <w:rPr/>
              <w:t>4,726,433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double" w:sz="10" w:space="0" w:color="000000"/>
            </w:tcBorders>
            <w:shd w:fill="FFFFFF" w:val="clear"/>
            <w:vAlign w:val="center"/>
          </w:tcPr>
          <w:p>
            <w:pPr>
              <w:pStyle w:val="TableContents"/>
              <w:bidi w:val="0"/>
              <w:spacing w:before="0" w:after="283"/>
              <w:jc w:val="left"/>
              <w:rPr/>
            </w:pPr>
            <w:r>
              <w:rPr/>
              <w:t>$</w:t>
            </w:r>
          </w:p>
        </w:tc>
        <w:tc>
          <w:tcPr>
            <w:tcW w:w="1291" w:type="dxa"/>
            <w:tcBorders>
              <w:bottom w:val="double" w:sz="10" w:space="0" w:color="000000"/>
            </w:tcBorders>
            <w:shd w:fill="FFFFFF" w:val="clear"/>
            <w:vAlign w:val="center"/>
          </w:tcPr>
          <w:p>
            <w:pPr>
              <w:pStyle w:val="TableContents"/>
              <w:bidi w:val="0"/>
              <w:spacing w:before="0" w:after="283"/>
              <w:jc w:val="right"/>
              <w:rPr/>
            </w:pPr>
            <w:r>
              <w:rPr/>
              <w:t>5,433,375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information above is based on the locations where the revenue originated.</w:t>
      </w:r>
    </w:p>
    <w:p>
      <w:pPr>
        <w:pStyle w:val="TextBody"/>
        <w:bidi w:val="0"/>
        <w:spacing w:before="0" w:after="0"/>
        <w:ind w:left="0" w:right="0" w:firstLine="720"/>
        <w:jc w:val="left"/>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795"/>
        <w:gridCol w:w="60"/>
        <w:gridCol w:w="159"/>
        <w:gridCol w:w="1256"/>
        <w:gridCol w:w="60"/>
        <w:gridCol w:w="60"/>
        <w:gridCol w:w="98"/>
        <w:gridCol w:w="1317"/>
        <w:gridCol w:w="75"/>
      </w:tblGrid>
      <w:tr>
        <w:trPr/>
        <w:tc>
          <w:tcPr>
            <w:tcW w:w="2795" w:type="dxa"/>
            <w:tcBorders>
              <w:bottom w:val="single" w:sz="12" w:space="0" w:color="000000"/>
            </w:tcBorders>
            <w:vAlign w:val="center"/>
          </w:tcPr>
          <w:p>
            <w:pPr>
              <w:pStyle w:val="TableContents"/>
              <w:bidi w:val="0"/>
              <w:spacing w:before="0" w:after="283"/>
              <w:jc w:val="left"/>
              <w:rPr>
                <w:b/>
              </w:rPr>
            </w:pPr>
            <w:r>
              <w:rPr>
                <w:b/>
              </w:rPr>
              <w:t>Long-lived assets located at</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75" w:type="dxa"/>
            <w:tcBorders/>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both"/>
              <w:rPr/>
            </w:pPr>
            <w:r>
              <w:rPr/>
              <w:t>HK 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209,630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3,081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both"/>
              <w:rPr/>
            </w:pPr>
            <w:r>
              <w:rPr/>
              <w: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22,832,236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pPr>
            <w:r>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8,370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Cambodia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354,660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47,902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pPr>
            <w:r>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 </w:t>
            </w:r>
          </w:p>
        </w:tc>
        <w:tc>
          <w:tcPr>
            <w:tcW w:w="1256" w:type="dxa"/>
            <w:tcBorders>
              <w:bottom w:val="single" w:sz="12" w:space="0" w:color="000000"/>
            </w:tcBorders>
            <w:shd w:fill="CCEEFF" w:val="clear"/>
            <w:vAlign w:val="center"/>
          </w:tcPr>
          <w:p>
            <w:pPr>
              <w:pStyle w:val="TableContents"/>
              <w:bidi w:val="0"/>
              <w:spacing w:before="0" w:after="283"/>
              <w:jc w:val="right"/>
              <w:rPr/>
            </w:pPr>
            <w:r>
              <w:rPr/>
              <w:t>311,845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pPr>
            <w:r>
              <w:rPr/>
              <w:t>312,313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10" w:space="0" w:color="000000"/>
            </w:tcBorders>
            <w:shd w:fill="FFFFFF" w:val="clear"/>
            <w:vAlign w:val="center"/>
          </w:tcPr>
          <w:p>
            <w:pPr>
              <w:pStyle w:val="TableContents"/>
              <w:bidi w:val="0"/>
              <w:spacing w:before="0" w:after="283"/>
              <w:jc w:val="left"/>
              <w:rPr/>
            </w:pPr>
            <w:r>
              <w:rPr/>
              <w:t>$</w:t>
            </w:r>
          </w:p>
        </w:tc>
        <w:tc>
          <w:tcPr>
            <w:tcW w:w="1256" w:type="dxa"/>
            <w:tcBorders>
              <w:bottom w:val="double" w:sz="10" w:space="0" w:color="000000"/>
            </w:tcBorders>
            <w:shd w:fill="FFFFFF" w:val="clear"/>
            <w:vAlign w:val="center"/>
          </w:tcPr>
          <w:p>
            <w:pPr>
              <w:pStyle w:val="TableContents"/>
              <w:bidi w:val="0"/>
              <w:spacing w:before="0" w:after="283"/>
              <w:jc w:val="right"/>
              <w:rPr/>
            </w:pPr>
            <w:r>
              <w:rPr/>
              <w:t>23,708,371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double" w:sz="10" w:space="0" w:color="000000"/>
            </w:tcBorders>
            <w:shd w:fill="FFFFFF" w:val="clear"/>
            <w:vAlign w:val="center"/>
          </w:tcPr>
          <w:p>
            <w:pPr>
              <w:pStyle w:val="TableContents"/>
              <w:bidi w:val="0"/>
              <w:spacing w:before="0" w:after="283"/>
              <w:jc w:val="left"/>
              <w:rPr/>
            </w:pPr>
            <w:r>
              <w:rPr/>
              <w:t> </w:t>
            </w:r>
          </w:p>
        </w:tc>
        <w:tc>
          <w:tcPr>
            <w:tcW w:w="1317" w:type="dxa"/>
            <w:tcBorders>
              <w:bottom w:val="double" w:sz="10" w:space="0" w:color="000000"/>
            </w:tcBorders>
            <w:shd w:fill="FFFFFF" w:val="clear"/>
            <w:vAlign w:val="center"/>
          </w:tcPr>
          <w:p>
            <w:pPr>
              <w:pStyle w:val="TableContents"/>
              <w:bidi w:val="0"/>
              <w:spacing w:before="0" w:after="283"/>
              <w:jc w:val="right"/>
              <w:rPr/>
            </w:pPr>
            <w:r>
              <w:rPr/>
              <w:t>371,666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consist of plant and equipment, net, intangible assets, net and operating leases right-of-use assets,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18 — RISKS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December 31, 2025 and December 31, 2024 to be $21 and $19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 on liquid funds is limited because the counterparties are banks with high credit ratings assigned by international credit-rating agencies. The Company is exposed to concentration of credit risk on liquid funds which are deposited with several banks with high credit ratings.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Deposits, prepayments and other receivables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management consider the loss allowance for deposits and other receivables, due from shareholders as of December 31, 2025 and December 31, 2024 is $5, and $4, respectively. The loss allowance for deposits and other receivables, due from shareholders as of December 30, 2025 and December 31, 2024 is $0, and $0, respectively.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Receivables from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assessed the impairment for receivables from agents based on ageing of these debts and the recoverability of the deposits distributed by the agents to their sub-agents. Based on the assessment performed by the Company, the management have written off an amount of $818,780 during the year which were deemed not recoverable. The loss allowance for receivables from agents as of December 31, 2025 and December 31, 2024 were $nil.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cash flow interest rate risk through the changes in interest rates related mainly to the Company’s variable-rates bank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does not have any interest rate hedging policy in relation to fair value interest rate risk and cash flow interest rate risk. The directors monitor the Company’s exposures on an ongoing basis and will consider hedging the interest rate should the need arises.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interest rates had been 1% higher or lower and all other variables were held constant, the Company’s net (loss) income for the period/years ended December 31, 2025 and December 31, 2024 would have increased or decreased by approximately $52,890 and $26,894,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the Company’s financial position as a result of a change in foreign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market liquidity risk with respect to certain assets held on our balance sheet. Market liquidity risk is the risk that we cannot realize the fair value of our assets when needed due to insufficient market depth, disruption, or the absence of willing buyers. As of December 31, 2025, we held Solana as treasury investment. These assets trade in markets that may experience periods of reduced liquidity, particularly during periods of economic stress or market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Economic and political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mainly conducted in Thailand, Cambodia and Kyrgyzstan. Accordingly, the Company’s business, financial condition, and results of operations may be influenced by changes in the political, economic, and legal environments in Thailand, Cambodia and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in Thailand, Cambodia and Kyrgyzstan are subject to special considerations and significant risks. These include risks associated with, among others, the political, economic and legal environment and foreign currency exchange. The Company’s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 including natural disasters and wars.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 Moreover, the recent escalation of the US-Israel-Iran conflict poses a significant threat to the global economy, primarily through the disruption of oil supplies, with cascading effects on the real estate sector in the UAE and a broad economic downturn across Asia, including Hong Kong and China. As the conflict intensifies around the Strait of Hormuz—through which nearly 20% of the world’s oil passes—global oil prices have surged past $100 per barrel, raising fears of an extended energy crisis. Such increase in oil prices might lead to domino effect on the overall costs of business operation for NewGenIvf and NewGenIvf might not be able to pass the cost pressure to its customers.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19 — RELATED PARTY BALANCES AND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amount due from and due to related parties as the following:</w:t>
      </w:r>
    </w:p>
    <w:p>
      <w:pPr>
        <w:pStyle w:val="TextBody"/>
        <w:bidi w:val="0"/>
        <w:spacing w:before="0" w:after="0"/>
        <w:ind w:left="0" w:right="0" w:firstLine="720"/>
        <w:jc w:val="left"/>
        <w:rPr>
          <w:caps w:val="false"/>
          <w:smallCaps w:val="false"/>
        </w:rPr>
      </w:pPr>
      <w:r>
        <w:rPr>
          <w:caps w:val="false"/>
          <w:smallCaps w:val="false"/>
        </w:rPr>
        <w:t> </w:t>
      </w:r>
    </w:p>
    <w:tbl>
      <w:tblPr>
        <w:tblW w:w="10093" w:type="dxa"/>
        <w:jc w:val="left"/>
        <w:tblInd w:w="0" w:type="dxa"/>
        <w:tblLayout w:type="fixed"/>
        <w:tblCellMar>
          <w:top w:w="0" w:type="dxa"/>
          <w:left w:w="0" w:type="dxa"/>
          <w:bottom w:w="0" w:type="dxa"/>
          <w:right w:w="0" w:type="dxa"/>
        </w:tblCellMar>
      </w:tblPr>
      <w:tblGrid>
        <w:gridCol w:w="4535"/>
        <w:gridCol w:w="60"/>
        <w:gridCol w:w="2345"/>
        <w:gridCol w:w="60"/>
        <w:gridCol w:w="194"/>
        <w:gridCol w:w="1220"/>
        <w:gridCol w:w="95"/>
        <w:gridCol w:w="203"/>
        <w:gridCol w:w="1271"/>
        <w:gridCol w:w="110"/>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45"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both"/>
              <w:rPr/>
            </w:pPr>
            <w:r>
              <w:rPr/>
              <w:t>Due from shareholders consist of the following:</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Mr. Siu Wing Fung, Alfred (“Mr. Siu”)</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Shareholder and director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404,549</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Harcourt Limited</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A related party (note 1)</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110,232</w:t>
            </w:r>
          </w:p>
        </w:tc>
        <w:tc>
          <w:tcPr>
            <w:tcW w:w="95"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Due to a related party consist of the following:</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Mr. Siu Wing Fung, Alfred (“Mr. Siu”)</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Shareholder and director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(116,653</w:t>
            </w:r>
          </w:p>
        </w:tc>
        <w:tc>
          <w:tcPr>
            <w:tcW w:w="95"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Ms. Fong Hei Yue, Tina (“Ms. Fong”)</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Shareholder and director</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(497,200</w:t>
            </w:r>
          </w:p>
        </w:tc>
        <w:tc>
          <w:tcPr>
            <w:tcW w:w="110" w:type="dxa"/>
            <w:tcBorders/>
            <w:shd w:fill="FFFFFF" w:val="clear"/>
            <w:vAlign w:val="center"/>
          </w:tcPr>
          <w:p>
            <w:pPr>
              <w:pStyle w:val="TableContents"/>
              <w:bidi w:val="0"/>
              <w:spacing w:before="0" w:after="283"/>
              <w:jc w:val="left"/>
              <w:rPr/>
            </w:pPr>
            <w:r>
              <w:rPr/>
              <w:t>)</w:t>
            </w:r>
          </w:p>
        </w:tc>
      </w:tr>
      <w:tr>
        <w:trPr/>
        <w:tc>
          <w:tcPr>
            <w:tcW w:w="4535" w:type="dxa"/>
            <w:tcBorders/>
            <w:shd w:fill="CCEEFF" w:val="clear"/>
            <w:vAlign w:val="center"/>
          </w:tcPr>
          <w:p>
            <w:pPr>
              <w:pStyle w:val="TableContents"/>
              <w:bidi w:val="0"/>
              <w:spacing w:before="0" w:after="283"/>
              <w:jc w:val="both"/>
              <w:rPr/>
            </w:pPr>
            <w:r>
              <w:rPr/>
              <w:t>Harcourt Limited</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A related party (note 1)</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(61,802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48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sz w:val="20"/>
              </w:rPr>
            </w:pPr>
            <w:r>
              <w:rPr>
                <w:sz w:val="20"/>
              </w:rPr>
              <w:t>(1)</w:t>
            </w:r>
          </w:p>
        </w:tc>
        <w:tc>
          <w:tcPr>
            <w:tcW w:w="9963" w:type="dxa"/>
            <w:tcBorders/>
            <w:vAlign w:val="center"/>
          </w:tcPr>
          <w:p>
            <w:pPr>
              <w:pStyle w:val="TableContents"/>
              <w:bidi w:val="0"/>
              <w:spacing w:before="0" w:after="283"/>
              <w:jc w:val="both"/>
              <w:rPr>
                <w:sz w:val="20"/>
              </w:rPr>
            </w:pPr>
            <w:r>
              <w:rPr>
                <w:sz w:val="20"/>
              </w:rPr>
              <w:t>The directors and shareholders of Harcourt Limited are Mr. Siu and Ms. Fong, Harcourt Limited therefore has the common ultimate beneficial owners with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due from shareholders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7370" w:type="dxa"/>
        <w:jc w:val="left"/>
        <w:tblInd w:w="0" w:type="dxa"/>
        <w:tblLayout w:type="fixed"/>
        <w:tblCellMar>
          <w:top w:w="0" w:type="dxa"/>
          <w:left w:w="0" w:type="dxa"/>
          <w:bottom w:w="0" w:type="dxa"/>
          <w:right w:w="0" w:type="dxa"/>
        </w:tblCellMar>
      </w:tblPr>
      <w:tblGrid>
        <w:gridCol w:w="3935"/>
        <w:gridCol w:w="60"/>
        <w:gridCol w:w="140"/>
        <w:gridCol w:w="1295"/>
        <w:gridCol w:w="95"/>
        <w:gridCol w:w="60"/>
        <w:gridCol w:w="140"/>
        <w:gridCol w:w="1535"/>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Due from/ (to) shareholders/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w:t>
            </w:r>
            <w:r>
              <w:rPr/>
              <w:t>(6,421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           </w:t>
            </w:r>
            <w:r>
              <w:rPr/>
              <w:t>(154,453</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both"/>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(6,421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35" w:type="dxa"/>
            <w:tcBorders>
              <w:bottom w:val="double" w:sz="10" w:space="0" w:color="000000"/>
            </w:tcBorders>
            <w:shd w:fill="CCEEFF" w:val="clear"/>
            <w:tcMar>
              <w:bottom w:w="28" w:type="dxa"/>
            </w:tcMar>
            <w:vAlign w:val="center"/>
          </w:tcPr>
          <w:p>
            <w:pPr>
              <w:pStyle w:val="TableContents"/>
              <w:bidi w:val="0"/>
              <w:spacing w:before="0" w:after="283"/>
              <w:jc w:val="right"/>
              <w:rPr/>
            </w:pPr>
            <w:r>
              <w:rPr/>
              <w:t>(154,453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564" w:type="dxa"/>
        <w:jc w:val="left"/>
        <w:tblInd w:w="0" w:type="dxa"/>
        <w:tblLayout w:type="fixed"/>
        <w:tblCellMar>
          <w:top w:w="0" w:type="dxa"/>
          <w:left w:w="0" w:type="dxa"/>
          <w:bottom w:w="0" w:type="dxa"/>
          <w:right w:w="0" w:type="dxa"/>
        </w:tblCellMar>
      </w:tblPr>
      <w:tblGrid>
        <w:gridCol w:w="3305"/>
        <w:gridCol w:w="60"/>
        <w:gridCol w:w="494"/>
        <w:gridCol w:w="920"/>
        <w:gridCol w:w="60"/>
        <w:gridCol w:w="60"/>
        <w:gridCol w:w="140"/>
        <w:gridCol w:w="1415"/>
        <w:gridCol w:w="11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           </w:t>
            </w:r>
            <w:r>
              <w:rPr/>
              <w:t>(17,818</w:t>
            </w:r>
          </w:p>
        </w:tc>
        <w:tc>
          <w:tcPr>
            <w:tcW w:w="11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Reversal of Provision / (Provision)</w:t>
            </w:r>
          </w:p>
        </w:tc>
        <w:tc>
          <w:tcPr>
            <w:tcW w:w="60" w:type="dxa"/>
            <w:tcBorders/>
            <w:shd w:fill="FFFFFF" w:val="clear"/>
            <w:vAlign w:val="center"/>
          </w:tcPr>
          <w:p>
            <w:pPr>
              <w:pStyle w:val="TableContents"/>
              <w:bidi w:val="0"/>
              <w:spacing w:before="0" w:after="283"/>
              <w:jc w:val="left"/>
              <w:rPr/>
            </w:pPr>
            <w:r>
              <w:rPr/>
              <w:t> </w:t>
            </w:r>
          </w:p>
        </w:tc>
        <w:tc>
          <w:tcPr>
            <w:tcW w:w="4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12" w:space="0" w:color="000000"/>
            </w:tcBorders>
            <w:shd w:fill="FFFFFF" w:val="clear"/>
            <w:tcMar>
              <w:bottom w:w="28" w:type="dxa"/>
            </w:tcMar>
            <w:vAlign w:val="center"/>
          </w:tcPr>
          <w:p>
            <w:pPr>
              <w:pStyle w:val="TableContents"/>
              <w:bidi w:val="0"/>
              <w:spacing w:before="0" w:after="283"/>
              <w:jc w:val="right"/>
              <w:rPr/>
            </w:pPr>
            <w:r>
              <w:rPr/>
              <w:t>(17,818</w:t>
            </w:r>
          </w:p>
        </w:tc>
        <w:tc>
          <w:tcPr>
            <w:tcW w:w="11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4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transactions and balances detailed elsewhere in these consolidated financial statements, the Company had the following transactions with related parties: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0"/>
        <w:gridCol w:w="60"/>
        <w:gridCol w:w="140"/>
        <w:gridCol w:w="1460"/>
        <w:gridCol w:w="60"/>
        <w:gridCol w:w="60"/>
        <w:gridCol w:w="140"/>
        <w:gridCol w:w="1460"/>
        <w:gridCol w:w="75"/>
      </w:tblGrid>
      <w:tr>
        <w:trPr/>
        <w:tc>
          <w:tcPr>
            <w:tcW w:w="6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Directors’ remuneration to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190,000</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Directors’ remuneration to Ms. Fong Hei Yue, Tina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325,000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190,000</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Director’s bonus of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Director’s welfare, accommodation and insurance to Mr. Siu Wing Fung, Alfred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393,103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Advisory services on fund raising project to Mr Siu, Daniel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219,045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Consulting services on fund raising project to Mr Siu, Jasper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Marketing service fee to Harcourt Limited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230,769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20 —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MicroSort Lab Services,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28, 2025, NewGenIvf Group Limited (the “Company”) completed the acquisition of 100% of the outstanding equity interests of MicroSort Lab Services, LLC (“MicroSort”), a Delaware limited liability company established by Genetics &amp; IVF Institute, Inc. (“Seller”). The Seller transferred to MicroSort a portfolio of assets including registered trademarks, domain names, customer contracts, and a consultant agreement. MicroSort technology is a form of pre-conception gender selection technology for humans and this Preimplantation Genetic Screening (“PGS”) is used in parallel with an IVF treatment cycle. Prior to the acquisition, the Company had been a licensee of the MicroSort® technology in Thailand and Cambodia. The company’s strategic acquisition of the MicroSort technology provide the company with the exclusive right to this technology for its continued use within its clinics as well as to licence it out to other clinics globally. In accordance with ASC 805, The acquisition was accounted for as a business combination in accordance with ASC 805, Business Combinations, as the Company obtained control of an integrated set of activities and assets that constitute a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purchase consideration amounted to US$5,000,000, consisting of cash consideration of US$750,000 and 2,500,000 Class A Ordinary Shares of the Company (4.63 shares, post–reverse stock splits) at a deemed share price of $1.7 per share. After the 2nd reverse stock split in February 2025, the Company issued 125,000 shares (4.63 shares as adjusted by Reverse Stock Splits) were when the share price was $2.06 per share (subject to Reverse Stock Split Adjustment). Accordingly, the share consideration was valued at US$257,500 at the acquisition date. The total fair value of the purchase consideration on acquisition date amounts to $1,007,500 measured in accordance with ASC 805-30-30-7. No contingent consideration or seller financing arrangements were included in the transaction.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engaged an independent valuation firm, to determine the fair value of the acquired trademarks and technology. Using the income approach (discounted cash flow method), the fair value of the trademarks and technology were determined to be US$5,284,000 as of December 31, 2024. The acquired trademark was valued at $5,284,000, using an income approach, primarily applying a discounted cash flow methodology, which considered projected revenues attributable to the trademark, licensing income and expenses, and a risk-adjusted discount rate.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obtained control over the Company and its related business and assets on February 28, 2025. Accordingly, February 28, 2025 has been determined by management as the acquisition date. No liabilities were assumed as part of the transaction. As at acquisition date management had re-evaluated the fair value assessment of the trademarks and determined the fair value to be $3.5 million. As the fair value of net assets acquired exceeded the fair value of the purchase consideration, the Company recognized a bargain purchase gain of US$2.5 million, in accordance with ASC 805-30-25-2. In accordance with ASC 805-30-25-2, the Company reassessed the identification and measurement of all acquired assets and liabilities and the consideration transferred. Management concluded that the bargain purchase gain resulted primarily from the Seller’s decision to exit non-core operations, as well as a decline in the Company’s stock price between the signing date and the Acquisition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identifiable assets and liabilities of MicroSort, as at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6689" w:type="dxa"/>
        <w:jc w:val="left"/>
        <w:tblInd w:w="0" w:type="dxa"/>
        <w:tblLayout w:type="fixed"/>
        <w:tblCellMar>
          <w:top w:w="0" w:type="dxa"/>
          <w:left w:w="0" w:type="dxa"/>
          <w:bottom w:w="0" w:type="dxa"/>
          <w:right w:w="0" w:type="dxa"/>
        </w:tblCellMar>
      </w:tblPr>
      <w:tblGrid>
        <w:gridCol w:w="5090"/>
        <w:gridCol w:w="60"/>
        <w:gridCol w:w="82"/>
        <w:gridCol w:w="1347"/>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recognized</w:t>
              <w:br/>
              <w:t>on acquisition</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Intangible Asset – intellectual property and trademark</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3,495,335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Liabilities assumed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Total identifiable net assets at fair value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3,495,335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Cash consideration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(750,000</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pPr>
            <w:r>
              <w:rPr/>
              <w:t>Share consideration</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FFFFFF" w:val="clear"/>
            <w:tcMar>
              <w:bottom w:w="28" w:type="dxa"/>
            </w:tcMar>
            <w:vAlign w:val="center"/>
          </w:tcPr>
          <w:p>
            <w:pPr>
              <w:pStyle w:val="TableContents"/>
              <w:bidi w:val="0"/>
              <w:spacing w:before="0" w:after="283"/>
              <w:jc w:val="right"/>
              <w:rPr/>
            </w:pPr>
            <w:r>
              <w:rPr/>
              <w:t>(257,500</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b/>
              </w:rPr>
            </w:pPr>
            <w:r>
              <w:rPr>
                <w:b/>
              </w:rPr>
              <w:t>Bargain purchase gain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b/>
              </w:rPr>
            </w:pPr>
            <w:r>
              <w:rPr>
                <w:b/>
              </w:rPr>
              <w:t>2,487,835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did not have any trade receivables outstanding as of the Acquisition Date. Accordingly, no receivables were recognized as part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transaction costs were immaterial and were expensed as incurred within general and administrative expenses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have been classified as indefinite-lived intangible assets acquired will be subject to annual impairment testing in accordance with ASC 350. The bargain purchase gain has been which has been recorded as a separate line item within Other income (expense), net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MicroSort business, while being established by the Seller in prior years, it had not generated significant revenue and earnings prior to the acquisition due to MicroSort not being the core business focus of the Seller Accordingly, the unaudited pro forma consolidated revenue and net income of the Company, as if the acquisition had occurred on January 1, 2024, would not have differed materially from the amounts reported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Nodexus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Group Limited (the “Company”) acquired substantially all of the operating assets of Nodexus Inc (“Nodexus”) through an assignment for the benefit of creditors process administered by Sherwood Partners, Inc. The acquired assets included a patent portfolio and proprietary cell-sorting technology (five granted U.S. patents and one granted Japan patent), 18 Nodexus NX One units, partially constructed NX One units, cartridges, spare parts, and the Nodexus.com domain. Nodexus technology is a form of pre-conception gender selection technology for humans and this Preimplantation Genetic Screening (“PGS”) is used in parallel with an IVF treatment cycle. The company’s strategic acquisition of the Nodexus technology provide the company with the exclusive right to this technology for its continued use within its clinics as well as to license it out to other clinics globally. In accordance with ASC 805, The acquisition was accounted for as a business combination in accordance with ASC 805, Business Combinations, as the Company obtained control of an integrated set of activities and assets that constitute a business. Although Nodexus did not generate revenue and did not have outputs as of the acquisition date, management concluded that the acquired set met the definition of a business under ASC 805-10-55-5A through 55-9 because it included inputs and a substantive process that together are capable of producing outputs.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engaged an independent valuation of the acquired patents. Using the relief-from-royalty method, the fair value of the patents was determined to be US$17,900,000 primarily applying a relief-from-royalty method, which estimates the present value of royalty payments avoided by owning the technology rather than licensing it. Key assumptions included estimated market-participant revenue projections, an indicative royalty rate, a discount rate reflective of early-stage technological risk. The Company also estimated the fair value of other acquired assets at US$1,566,000. No liabilities were assumed as part of the transaction. The aggregate fair value of net assets acquired was US$19,466,000. As the fair value of net assets acquired significantly exceeded the consideration transferred, the Company recognized a bargain purchase gain of US$19,166,000 in accordance with ASC 805-30-25-2. The gain reflects the distressed nature of the sale process, limited market participants, and the Seller’s inability to execute commercialization, rather than any measurement error.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cash consideration paid was US$300,000. The company obtained control over the Company and its related business and assets on July 29, 2025. Accordingly, July 29, 2025 has been determined by management as the acquisition date. No liabilities were assumed as part of the transaction. The Company also estimated the fair value of other acquired assets at US$1,566,000. No liabilities were assumed as part of the transaction. The aggregate fair value of net assets acquired was US$19.5 million. As the fair value of net assets acquired significantly exceeded the consideration transferred, the Company recognized a bargain purchase gain of US$19,166,000 in accordance with ASC 805-30-25-2. In accordance with ASC 805-30-25-2, the Company reassessed the identification and measurement of all acquired assets and liabilities and the consideration transferred. Management concluded that the gain represents a unique, non-recurring event arising from the acquisition of high-potential assets in a forced liquidation process at a price substantially below fair value.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identifiable assets and liabilities of Nodexus, as at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5534" w:type="dxa"/>
        <w:jc w:val="left"/>
        <w:tblInd w:w="0" w:type="dxa"/>
        <w:tblLayout w:type="fixed"/>
        <w:tblCellMar>
          <w:top w:w="0" w:type="dxa"/>
          <w:left w:w="0" w:type="dxa"/>
          <w:bottom w:w="0" w:type="dxa"/>
          <w:right w:w="0" w:type="dxa"/>
        </w:tblCellMar>
      </w:tblPr>
      <w:tblGrid>
        <w:gridCol w:w="3935"/>
        <w:gridCol w:w="60"/>
        <w:gridCol w:w="73"/>
        <w:gridCol w:w="1356"/>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 xml:space="preserve">recognized </w:t>
              <w:br/>
              <w:t>on acquisition</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Intangible assets - patented Technology</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17,900,000</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Nodexus NX One Unit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1,530,000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Catridges for Nodexus NX</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16,000</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Nodexus.com domain and hosting access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20,000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Liabilities assumed</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Total identifiable net assets at fair value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19,466,000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Cash consideration</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FFFFFF" w:val="clear"/>
            <w:tcMar>
              <w:bottom w:w="28" w:type="dxa"/>
            </w:tcMar>
            <w:vAlign w:val="center"/>
          </w:tcPr>
          <w:p>
            <w:pPr>
              <w:pStyle w:val="TableContents"/>
              <w:bidi w:val="0"/>
              <w:spacing w:before="0" w:after="283"/>
              <w:jc w:val="right"/>
              <w:rPr/>
            </w:pPr>
            <w:r>
              <w:rPr/>
              <w:t>(300,000</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b/>
              </w:rPr>
            </w:pPr>
            <w:r>
              <w:rPr>
                <w:b/>
              </w:rPr>
              <w:t>Bargain purchase gain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19,166,000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did not have any trade receivables outstanding as of the Acquisition Date. Accordingly, no receivables were recognized as part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transaction costs were immaterial and were expensed as incurred within general and administrative expenses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tangible assets will be amortized on a straight-line basis over their estimated useful life of 5 years in accordance with ASC 360. The intangible assets have been classified as indefinite-lived intangible assets acquired will be subject to annual impairment testing in accordance with ASC 350. The bargain purchase gain has been which has been recorded as a separate line item within Other income (expense), net in the Consolidated Statements of Operations for the year ended December 31,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was a development-stage entity and did not generate revenue or earnings prior to the acquisition. Accordingly, the unaudited pro forma consolidated revenue and net income of the Company, as if the acquisition had occurred on January 1, 2024, would not have differed materially from the amounts reported in the Company’s consolidated financial statements for the periods presented. While the Nodexus business had been established in prior years, it had not generated significant revenue and earnings prior to the acquisition due to it being used primarily for research and development purposes. Accordingly, the unaudited pro forma consolidated revenue and net income of the Company, as if the acquisition had occurred on January 1, 2024, would not have differed materially from the amounts reported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21 — DISPOSAL OF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2025, the Company completed the sale of its Shenzhen Qianhai Fengtai Renhui Health Technology Co., Ltd. (“SZ QianHai”) to an unrelated third party for total consideration of US$ 0 (RMB 1), consisting of cash.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disposal, all the outstanding account payables and receivables as well as all outstanding balances were transferred to the Buyer. Any tax liabilities in People’s Republic of China (PRC) arising from the transfer of these balances shall be borne by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financial impact of the disposal:</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shd w:fill="FFFFFF" w:val="clear"/>
        <w:tblLayout w:type="fixed"/>
        <w:tblCellMar>
          <w:top w:w="0" w:type="dxa"/>
          <w:left w:w="0" w:type="dxa"/>
          <w:bottom w:w="0" w:type="dxa"/>
          <w:right w:w="0" w:type="dxa"/>
        </w:tblCellMar>
      </w:tblPr>
      <w:tblGrid>
        <w:gridCol w:w="75"/>
        <w:gridCol w:w="170"/>
        <w:gridCol w:w="395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3950" w:type="dxa"/>
            <w:tcBorders/>
            <w:shd w:fill="FFFFFF" w:val="clear"/>
            <w:vAlign w:val="center"/>
          </w:tcPr>
          <w:p>
            <w:pPr>
              <w:pStyle w:val="TableContents"/>
              <w:bidi w:val="0"/>
              <w:spacing w:before="0" w:after="283"/>
              <w:jc w:val="both"/>
              <w:rPr>
                <w:sz w:val="20"/>
              </w:rPr>
            </w:pPr>
            <w:r>
              <w:rPr>
                <w:sz w:val="20"/>
              </w:rPr>
              <w:t>Consideration received: Cash of US$ 0 (RMB 1)</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shd w:fill="FFFFFF" w:val="clear"/>
        <w:tblLayout w:type="fixed"/>
        <w:tblCellMar>
          <w:top w:w="0" w:type="dxa"/>
          <w:left w:w="0" w:type="dxa"/>
          <w:bottom w:w="0" w:type="dxa"/>
          <w:right w:w="0" w:type="dxa"/>
        </w:tblCellMar>
      </w:tblPr>
      <w:tblGrid>
        <w:gridCol w:w="75"/>
        <w:gridCol w:w="170"/>
        <w:gridCol w:w="38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3860" w:type="dxa"/>
            <w:tcBorders/>
            <w:shd w:fill="FFFFFF" w:val="clear"/>
            <w:vAlign w:val="center"/>
          </w:tcPr>
          <w:p>
            <w:pPr>
              <w:pStyle w:val="TableContents"/>
              <w:bidi w:val="0"/>
              <w:spacing w:before="0" w:after="283"/>
              <w:jc w:val="both"/>
              <w:rPr>
                <w:sz w:val="20"/>
              </w:rPr>
            </w:pPr>
            <w:r>
              <w:rPr>
                <w:sz w:val="20"/>
              </w:rPr>
              <w:t>Net assets disposed of $47,702 (RMB 352,826)</w:t>
            </w:r>
          </w:p>
        </w:tc>
      </w:tr>
    </w:tbl>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shd w:fill="FFFFFF" w:val="clear"/>
        <w:tblLayout w:type="fixed"/>
        <w:tblCellMar>
          <w:top w:w="0" w:type="dxa"/>
          <w:left w:w="0" w:type="dxa"/>
          <w:bottom w:w="0" w:type="dxa"/>
          <w:right w:w="0" w:type="dxa"/>
        </w:tblCellMar>
      </w:tblPr>
      <w:tblGrid>
        <w:gridCol w:w="75"/>
        <w:gridCol w:w="170"/>
        <w:gridCol w:w="4745"/>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4745" w:type="dxa"/>
            <w:tcBorders/>
            <w:shd w:fill="FFFFFF" w:val="clear"/>
            <w:vAlign w:val="center"/>
          </w:tcPr>
          <w:p>
            <w:pPr>
              <w:pStyle w:val="TableContents"/>
              <w:bidi w:val="0"/>
              <w:spacing w:before="0" w:after="283"/>
              <w:jc w:val="both"/>
              <w:rPr>
                <w:sz w:val="20"/>
              </w:rPr>
            </w:pPr>
            <w:r>
              <w:rPr>
                <w:sz w:val="20"/>
              </w:rPr>
              <w:t>Loss on disposal of subsidiary of $47,702 (RMB 352,826)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disposal was accounted for in accordance with ASC 810, Consolidation. As a result, the Company deconsolidated Shenzhen Qianhai Fengtai Renhui Health Technology Co. and recognized a loss on disposal of subsidiary (after netting against the cash consideration received) in the amount of US$47,702 in other income, net in the consolidated statements of operations for the year ended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did not represent a strategic shift and, therefore, was not classified as a discontinued operation under ASC 205-20.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NOTE 22 — COMMITMENTS &amp; </w:t>
      </w:r>
      <w:r>
        <w:rPr>
          <w:rFonts w:ascii="Times New Roman;Times;Serif" w:hAnsi="Times New Roman;Times;Serif"/>
          <w:b/>
          <w:i w:val="false"/>
          <w:caps/>
          <w:sz w:val="20"/>
          <w:u w:val="single"/>
        </w:rPr>
        <w:t>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was not a party to any legal or administrative proceedings. As of December 31, 2025, the Company had commitment as described in Notes 12 and 13 to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committed to honor its obligations pursuant to the convertible note agreements as described in Note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23 — SUBSEQUENT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December 31, 2025 and to the date of this report, $600,000 convertible notes outstanding as of December 31, 2025 had been converted to additional 21,147 Class A ordinary shares (adjusted by Reverse Stock Splits on December 2, 2025, January 26, 2026, March 16, 2026, July 6, 2026 and September 1,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13, 2026, NewGenBiz Limited, a 100% directly owned subsidiary of NewGenIvf Group Limited, was incorporated in British Virgin Islands as an investment holding company for future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22, 2026, the Company entered into a Securities Purchase Agreement with Vanquish Funding Group Inc., pursuant to which, amongst other things, the Company agreed to sell a convertible note in the aggregate principal amount of $107,000, convertible into Class A Ordinary Shares pursuant to its terms.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 2026, NewGenOman Limited, a 100% directly owned subsidiary of NewGenIvf Group Limited, was incorporated in British Virgin Islands as an investment holding company for future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On February 27, 2026, NewGenBiz Limited, a 100% directly owned subsidiary of NewGenIvf Group Limited, was incorporated in Hong Kong as a foundation for charitable activities.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17, 2026, the Company entered into a Securities Purchase Agreement with CFI Capital LLC, pursuant to which, amongst other things, the Company agreed to sell a convertible note in the aggregate principal amount of $200,000, convertible into Class A Ordinary Shares pursuant to its terms.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25, 2026, the Company entered into a Securities Purchase Agreement with Firstfire Global Opportunities Fund, LLC, pursuant to which, amongst other things, the Company agreed to sell a convertible note in the aggregate principal amount of $220,000, convertible into Class A Ordinary Shares pursuant to its terms.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5,454,545 Class A Ordinary Shares and/or Up to 5,454,545 Pre-Funded Warrants to Purchase Up to 5,454,545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5,454,545 Class A Ordinary Shares Underlying the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4,364,044 Class A Ordinary Shares Offered by the 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95450" cy="457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95450" cy="4572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Officers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to provide indemnification against willful default, civil fraud or the consequences of committing a crime. Under our Memorandum and Articles of Association, we may indemnify our directors, officers and liquidators against all expenses, including legal fees, and against all judgments, fines and amounts paid in settlement and reasonably incurred in connection with civil, criminal, administrative or investigative proceedings to which they are party or are threatened to be made a party by reason of their acting as our director, officer or liquidator. To be entitled to indemnification, these persons must have acted honestly and in good faith with a view to the best interest of the registrant and, in the case of criminal proceedings, they must have had no reasonable cause to believe their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 Recent Sales of Unregistered Securities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sales of all securities by the Company since the closing of the Business Combination which were not registered under the Securities Act. The Company believes that each of such issuances was exempt from registration under the Securities Act in reliance on Section 4(a)(2)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Company issued to certain investors 295,000 Class A Ordinary Shares (equivalent to 0.5463 Class A Ordinary Shares post Reverse Stock Splits) which were converted from the ordinary shares of Legacy NewGenIvf pursuant to the terms of the Securities Purchase Agreement by and between A SPAC I Mini Acquisition Corp. and certain investors named therein (the “February Buyers”) on February 29, 2024. Pursuant to this Securities Purchase Agreement, A SPAC I Mini Acquisition Corp agreed to issue and sell to the February Buyers, in a private placement, an aggregate of up to $3,500,000 principal amount of convertible notes, consisting of one or more tranches: (i) an initial tranche of an aggregate principal amount of promissory notes of up to $1,750,000 and including an original issue discount of up to aggregate $122,500, and (ii) subsequent tranches of an aggregate principal amount of promissory notes of up to $1,750,000 and including an original issue discount of up to aggregate $122,500. The closing of the Initial Tranche took place on April 3, 2024. The Company also closed on a subsequent tranche of the aforementioned promissory notes in the principal amount of $250,000 by issuing and selling to the February Buyers shortly after the closing of the Business Combination, resulting in an aggregate principal amount of notes of $2,000,000 sold to the February Buyers. The form of these promissory notes is included as Exhibit 4.2 of the Form 6-K filed on April 4, 2024. The aforementioned Securities Purchase Agreement is included as Exhibit 4.1 of the Form 6-K filed on April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2024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the Company entered into a Securities Purchase Agreement (“Securities Purchase Agreement”) with certain investors named therein (collectively, the “Buyers”), pursuant to which, amongst other things: (i) the Company agreed to sell, at an initial closing (and such initial closing, the “Initial Closing”), (a) a senior convertible note (the “Initial Note”) in the aggregate original principal amount not exceeding $1,100,000, convertible into Class A Ordinary Shares pursuant to its terms, (b) a warrant to purchase 1,325,301 Class A Ordinary Shares (such warrant, the “Series A Warrant” and prior to any Reverse Stock Splits), and (c) a warrant to purchase 180,722 Class A Ordinary Shares (the “Series B Warrant” and prior to any Reverse Stock Splits); and (ii) the Company may require each Buyer (or each Buyer may require the Company, as applicable) to participate in the sale of (a) one or more additional convertible notes (which aggregate original principal amount for all additional convertible notes shall not exceed $9,500,000) (the “Additional Notes”) and (b) related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is filed as Exhibit 4.1 of the Company’s current report on Form 6-K dated August 16, 2024 and is incorporated by reference herein. The Initial Note is filed as Exhibit 10.25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Securities Purchase Agreement, the Company entered into amendment and exchange agreements with certain holders of its convertible promissory notes (the “Existing Notes” and each of such amendment and exchange agreements, an “Amendment and Exchange Agreement”), pursuant to which the Company exchanged the Existing Notes by issuing, among other things, (i) senior convertible notes in the aggregate principal amount of $2,700,000 (the “Exchange Notes”, and, together with the Initial Note and the Additional Notes, the “Notes”) and (b) a series of warrants to initially acquire up to a certain number of Class A Ordinary Shares to the holders of the Existing Notes set forth therein (the “Exchange Warrants” and the Series A Warrants and the Series B Warrants, the “Warrants”). The Exchange Notes are in substantially similar form to the Initial Notes, which are discussed further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Warrants expire nine years after the issuance date and are initially exercisable for an aggregate of 3,253,012 Class A Ordinary Shares (without reflecting any Reverse Stock Splits), subject to adjustment as provided therein. The Exchange Warrants may be exercised at any time after the exchange date, subject to the Maximum Percentage (as defined in the Exchange Warrants). The initial exercise price of the Exchange Warrants is $0.913 per share, subject to adjustment as provided therein, including Reverse Stock Split. If at the time of exercise of the Exchange Warrants, there is no effective registration statement registering our Class A Ordinary Shares underlying such warrants, such warrants may be exercised on a cashless basis pursuant to their terms. The form of the Amendment and Exchange Agreement, the form of Exchange Notes, and the form of Exchange Warrants are filed as Exhibits 4.2, 4.3, and 4.4 to the Form 6-K dated August 16, 2024,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Company and the Buyers consummated the Initial Closing. The Initial Note sold in connection with the Securities Purchase Agreement bears an interest rate of 14.75% per annum and is convertible into the Company’s Class A Ordinary Shares as follows: the Conversion Amount (as defined in the Initial Note) into validly issued, fully paid and non-assessable Class A Ordinary Shares at the Conversion Rate (as defined in the Initial Note); subject to adjustment as provided therein. No fractional Class A Ordinary Shares are issuable upon any such conversion. A holder may convert the Initial Notes at any time after the initial issuance date of such Initial Note, subject to the Maximum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Initial Note is included as Exhibit A of the Securities Purchase Agreement filed as Exhibit 4.1 in the Form 6-K dated August 15,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the Company also sold to the Buyers Series A Warrants to purchase an aggregate 1,325,301 Class A Ordinary Shares (without reflecting any Reverse Stock Splits) and Series B Warrants to purchase an aggregate 180,722 Class A Ordinary Shares (without reflecting any Reverse Stock Splits).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Series A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Warrants expire nine years after the issuance date and are initially exercisable for an aggregate of 1,325,301 Class A Ordinary Shares (the “Series A Warrant Shares”), subject to adjustment as provided therein. The initial exercise price of the Series A Warrants is $0.913 per share, subject to adjustment as provided therein. If at the time of exercise of the Series A Warrants, there is no effective registration statement registering the shares of our Ordinary Shares underlying such warrants, such warrants may be exercised on a cashless basis pursuant to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Warrants expire nine years after the issuance date and are initially exercisable for an aggregate of 180,722 Ordinary Shares, subject to adjustment as provided therein. The Series B Warrants may be exercised at any time on or after February 12, 2025 (the “Initial Exercise Eligibility Date”), subject to the Maximum Percentage. The initial exercise price of the Series B Warrants was prepaid, except for a nominal exercise price of $0.001 per share, subject to adjustment as provided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Series A Warrant and form of the Series B Warrant are included as Exhibit B of the Securities Purchase Agreement included as Exhibit 4.1 in the Form 6-K filed on August 16, 2024,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Tranche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the Company closed on the second tranche of the 2024 Debt Financing pursuant to the terms of the Securities Purchase Agreement. Under the second tranche, the Company sold the First Mandatory Additional Note in the aggregate principal amount of $500,000. The First Mandatory Additional Note is in substantially similar form to the Initial Note. Upon issuance of the First Mandatory Additional Note, the number of Class A Ordinary Shares issuable upon exercise of the Series A Warrant automatically increased to 2,236,446 (before any Reverse Stock Split adjustment). The First Mandatory Additional Note is included as Exhibit 4.1 in the Form 6-K filed on August 30, 2024, which is incorporated herein by reference.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2024, the Company </w:t>
      </w:r>
      <w:r>
        <w:rPr>
          <w:rFonts w:ascii="Times New Roman;Times;Serif" w:hAnsi="Times New Roman;Times;Serif"/>
          <w:b w:val="false"/>
          <w:i w:val="false"/>
          <w:caps w:val="false"/>
          <w:smallCaps w:val="false"/>
          <w:sz w:val="20"/>
          <w:shd w:fill="FFFFFF" w:val="clear"/>
        </w:rPr>
        <w:t xml:space="preserve">closed on the third tranche of the 2024 Debt Financing pursuant to the terms of the Securities Purchase Agreement. Under the third tranche, the Company sold the Second Mandatory Additional Note in the aggregate principal amount of $1,500,000. The Second Mandatory Additional Note is in substantially similar form to the Initial Note. </w:t>
      </w:r>
      <w:r>
        <w:rPr>
          <w:rFonts w:ascii="Times New Roman;Times;Serif" w:hAnsi="Times New Roman;Times;Serif"/>
          <w:b w:val="false"/>
          <w:i w:val="false"/>
          <w:caps w:val="false"/>
          <w:smallCaps w:val="false"/>
          <w:sz w:val="20"/>
        </w:rPr>
        <w:t xml:space="preserve">Upon issuance of the First Mandatory Additional Note, the number of Class A Ordinary Shares issuable upon exercise of the Series A Warrant automatically increased to 5,874,383 (before any Reverse Stock Split adjustments). </w:t>
      </w:r>
      <w:r>
        <w:rPr>
          <w:rFonts w:ascii="Times New Roman;Times;Serif" w:hAnsi="Times New Roman;Times;Serif"/>
          <w:b w:val="false"/>
          <w:i w:val="false"/>
          <w:caps w:val="false"/>
          <w:smallCaps w:val="false"/>
          <w:sz w:val="20"/>
          <w:shd w:fill="FFFFFF" w:val="clear"/>
        </w:rPr>
        <w:t>The Second Mandatory Additional Note is included as Exhibit 4.1 in the Form 6-K filed on November 15, 2024,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Fourth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2025, the Company closed on the fourth tranche of the 2024 Debt Financing pursuant to the terms of the Securities Purchase Agreement. Under the fourth tranche, the Company sold a senior convertible note (the “Fourth Tranche Note”) in the original principal amount of $2,000,000. The Fourth Tranche Note is in substantially similar form to the Initial Note. Upon issuance of the note, the number of Class A Ordinary Shares issuable upon exercise of the Series A Warrant automatically increased to approximately 53,074 (on a post Reverse Stock Splits basis). </w:t>
      </w:r>
      <w:r>
        <w:rPr>
          <w:rFonts w:ascii="Times New Roman;Times;Serif" w:hAnsi="Times New Roman;Times;Serif"/>
          <w:b w:val="false"/>
          <w:i w:val="false"/>
          <w:caps w:val="false"/>
          <w:smallCaps w:val="false"/>
          <w:sz w:val="20"/>
          <w:shd w:fill="FFFFFF" w:val="clear"/>
        </w:rPr>
        <w:t>The Fourth Tranche Note is included as Exhibit 4.1 in the Form 6-K filed on April 3, 2025,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Fifth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16, 2025, the Company consummated the fifth tranche of </w:t>
      </w:r>
      <w:r>
        <w:rPr>
          <w:rFonts w:ascii="Times New Roman;Times;Serif" w:hAnsi="Times New Roman;Times;Serif"/>
          <w:b w:val="false"/>
          <w:i w:val="false"/>
          <w:caps w:val="false"/>
          <w:smallCaps w:val="false"/>
          <w:sz w:val="20"/>
          <w:shd w:fill="FFFFFF" w:val="clear"/>
        </w:rPr>
        <w:t>the 2024 Debt Financing</w:t>
      </w:r>
      <w:r>
        <w:rPr>
          <w:rFonts w:ascii="Times New Roman;Times;Serif" w:hAnsi="Times New Roman;Times;Serif"/>
          <w:b w:val="false"/>
          <w:i w:val="false"/>
          <w:caps w:val="false"/>
          <w:smallCaps w:val="false"/>
          <w:sz w:val="20"/>
        </w:rPr>
        <w:t xml:space="preserve"> under the terms of the Securities Purchase Agreement. At the closing of the fifth tranche, the Company sold to the Investor a senior convertible note (the “Fifth Tranche Note”) in the original principal amount of $2,000,000. The Note bears an interest rate of 14.75% per annum. The maximum number of Class A Ordinary Shares of the Company, no par value, which this note is issuable into is 6,923,990, based on a conversion price of $0.63 and assuming an interest rate of 14.75% through the fifty-four (54) month maturity of the Notes. Further the conversion price of the Note is subject to proportional adjustment upon the occurrence of any stock split, stock dividend, stock combination and/or similar transactions, and full-ratchet adjustment in connection with a subsequent offering at a per share price less than the fixed conversion price then in effect. The holder of the Note may convert any portion of the outstanding portion of the Note into validly issued, fully paid and non-assessable Class A Shares at the conversion price. No fractional Class A Shares are issuable upon any such conversion. If the issuance would result in the issuance of a fraction of a Class A Share, the Company shall round such fraction of a Class A Share up to the nearest whole share. </w:t>
      </w:r>
      <w:r>
        <w:rPr>
          <w:rFonts w:ascii="Times New Roman;Times;Serif" w:hAnsi="Times New Roman;Times;Serif"/>
          <w:b w:val="false"/>
          <w:i w:val="false"/>
          <w:caps w:val="false"/>
          <w:smallCaps w:val="false"/>
          <w:sz w:val="20"/>
          <w:shd w:fill="FFFFFF" w:val="clear"/>
        </w:rPr>
        <w:t>The Fourth Tranche Note is included as Exhibit 4.1 in the Form 6-K filed on July 16, 2025,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12, 2024 and the date of this prospectus, the Company received gross proceeds of $7,100,000 and issued an aggregate of 78,414 Class A Ordinary Shares (on a post Reverse Stock Splits basis) to the Buyers.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up to approximately $13,455,317 in additional net proceeds from the 2024 Debt Financing if all remaining Additional Notes in the aggregate principal amount of $3,500,000 (the “Remaining Additional Notes”) issuable pursuant to the Securities Purchase Agreement are sold and (ii) the Series A Warrants are increased by 3,997,855 (subject to Reverse Stock Split adjustment) assuming that (A) all Remaining Additional Notes are sold and (B) an Additional Share Price is equal to $1.66 and (iii) all of the Warrants are exercised in full, based on the following assumptions (x) approximately $8,951,571 in net proceeds are received from the exercise of the Series A Warrants, assuming that the Series A Warrants are exercised in full at an exercise price of $1.66 and the number of Ordinary Shares issuable upon exercise of the Series A Warrants equals 5,392,949, (y) approximately $1,485 in net proceeds are received from the exercise of the Series B Warrants, assuming that the Series B Warrants are exercised in full at an exercise price of $0.020 per share, and (z) approximately $1,002,261 in net proceeds are received from the exercise of the Exchange Warrants, assuming that the Exchange Warrants are exercised in full at an exercise price of $1.66. The foregoing is subject to adjustment as set forth in the respective Notes and Warrants,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2025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new Securities Purchase Agreement (“2025 Securities Purchase Agreement”) with certain investors named therein (collectively, the “Buyers”), pursuant to which, amongst other things: (i) the Company agreed to sell, at an initial closing (and such initial closing, the “Initial Closing”) a senior convertible note (the “New CB Initial Note”) in the aggregate original principal amount not exceeding $3,200,000, convertible into Class A Ordinary Shares pursuant to its terms; and (ii) the Company may require each Buyer (or each Buyer may require the Company, as applicable) to participate in the sale of one or more additional convertible notes (which aggregate original principal amount for all additional convertible notes shall not exceed $25,600,000) (the “New CB Additional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entered into a Securities Purchase Agreement with Vanquish Funding Group Inc. (“First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pursuant to a second securities purchase agreement, which was on substantially the same terms as the First Vanquish SPA, except for the aggregate principal amount (“Second Vanquish SPA”). The third tranche of $107,000 was received on January 22, 2026, pursuant to a third securities purchase agreement, which was on substantially the same terms as the First Vanquish SPA, except for the aggregate principal amount (“Third Vanquish SPA”). As of the date of this prospectus, a total of 265,411 shares was issued to Vanquish. The First Vanquish SPA is filed as Exhibit 10.33, the Second Vanquish SPA is filed as Exhibit 10.34, and the Third Vanquish SPA is filed as Exhibit 10.35.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entered into a Securities Purchase Agreement with Labrys Fund II, L.P. (“Labrys SPA”), pursuant to which, amongst other things, (i) the Company agreed to sell a convertible note in the aggregate principal amount of $250,000, convertible into Class A Ordinary Shares pursuant to its terms and the funding of $250,000 was received on November 15, 2025. The Labrys SPA is filed as Exhibit 10.36.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2026 Debt Financing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 Securities Purchase Agreement with Boot Capital LLC (“Boot SPA”), pursuant to which, amongst other things, the Company agreed to sell a convertible note in the aggregate principal amount of $50,000, convertible into Class A Ordinary Shares pursuant to its terms and the funding of $50,000 was received on February 2, 2026. The Boot SPA and convertible note are filed as Exhibits 10.37 and 10.38.</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2026, the Company entered into a Securities Purchase Agreement with CFI Capital LLC (“CFI Capital SPA”), pursuant to which, amongst other things, (i) the Company agreed to sell a convertible note in the aggregate principal amount of $220,000, convertible into Class A Ordinary Shares pursuant to its terms and the funding of $200,000 was received on March 23, 2026. The CFI Capital SPA and convertible note are filed as Exhibits 10.39 and 10.40.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entered into a Securities Purchase Agreement with FirstFire Global Opportunities Fund LLC (“FirstFire SPA”), pursuant to which, amongst other things, (i) the Company agreed to sell a convertible note in the aggregate principal amount of $220,000, convertible into Class A Ordinary Shares pursuant to its terms and the funding of $220,000 was received on or about March 31, 2026. The FirstFire SPA and convertible note are filed as Exhibits 10.41 and 10.42.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Company entered into a Securities Purchase Agreement with Silvercrest Hybrid Capital LLC (“Silvercrest SPA”), pursuant to which, amongst other things, (i) the Company agreed to sell a convertible note in the aggregate principal amount of $200,000, convertible into Class A Ordinary Shares pursuant to its terms and the funding of $220,000 was received on March 31, 2026. The Silvercrest SPA and convertible note are filed as Exhibits 10.43 and 10.44.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the Company entered into a Securities Purchase Agreement with Pacific Pier Capital II, LP (“Pacific Pier SPA”), pursuant to which, amongst other things, (i) the Company agreed to sell a convertible note in the aggregate principal amount of $200,000, convertible into Class A Ordinary Shares pursuant to its terms and the funding of $200,000 was received on April 18, 2026. The Pacific Pier SPA and convertible note are filed as Exhibits 10.45 and 10.46.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Company entered into an additional Securities Purchase Agreement with Labrys Fund II, L.P. (“Fourth Labrys SPA”), pursuant to which, amongst other things, (i) the Company agreed to sell a convertible note in the aggregate principal amount of $250,000, convertible into Class A Ordinary Shares pursuant to its terms and the funding of $250,000 was received on April 20, 2026. The Fourth Labrys SPA and convertible note are filed as Exhibits 10.47 and 10.48.</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entered into a Securities Purchase Agreement with White Lion Capital LLC, (“White Lion SPA”) pursuant to which, amongst other things, (i) the Company agreed to sell a convertible note in the aggregate principal amount of $200,000, convertible into Class A Ordinary Shares pursuant to its terms and the funding of $200,000 was received on April 30, 2026. The White Lion SPA and convertible note are filed as Exhibits 10.49 and 10.50.</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entered into a Securities Purchase Agreement with Vanquish Funding Group, Inc., pursuant to which, amongst other things, (i) the Company agreed to sell a convertible note in the aggregate principal amount of $207,000, convertible into Class A Ordinary Shares pursuant to its terms and the funding of $207,000 was received on May 4, 2026. The Vanquish SPA and convertible note are filed as Exhibits 10.72 and 10.73.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the Company entered into a Securities Purchase Agreement with White Lion Capital LLC, pursuant to which, amongst other things, (i) the Company agreed to sell a convertible note in the aggregate principal amount of $166,667, convertible into Class A Ordinary Shares pursuant to its terms and the funding of $166,667 was received on May 26, 2026. The White Lion SPA and convertible note are filed as Exhibits 10.58 and 10.59.</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Company entered into a Securities Purchase Agreement with Vanquish Funding Group, Inc., pursuant to which, amongst other things, (i) the Company agreed to sell a convertible note in the aggregate principal amount of $132,000, convertible into Class A Ordinary Shares pursuant to its terms and the funding of $132,000 was received on June 5, 2026. The Vanquish SPA and convertible note are filed as Exhibits 10.55 and 10.56.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the Company entered into a repurchase and forbearance agreement (“Repurchase and Forbearance Agreement”) with JAK Opportunities VI LLC (“JAK”), pursuant to which the Company agreed to repurchase certain outstanding convertible notes, and warrants previously issued to the Investor, and to make certain forbearance payments in scheduled instalments to JAK, in consideration for JAK’s forbearance from converting outstanding convertible notes, exercising outstanding warrants and effectuating additional closings under existing securities purchase agreements. The Repurchase and Forbearance Agreement was filed as Exhibit 10.1 of the Company’s current report on Form 6-K dated June 16, 2026 and is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Company entered into a Securities Purchase Agreement with White Lion Capital LLC, pursuant to which, amongst other things, the Company agreed to sell a convertible note in the aggregate principal amount of $111,111, convertible into Class A Ordinary Shares pursuant to its terms. The White Lion SPA and convertible note are filed as Exhibits 10.63 and 10.64,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entered into a Securities Purchase Agreement with Vanquish Funding Group, pursuant to which, amongst other things, the Company agreed to sell a convertible note in the aggregate principal amount of $100,000, convertible into Class A Ordinary Shares pursuant to its terms. The Vanquish SPA and convertible note are filed as Exhibits 10.65 and 10.66,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the Company entered into an Amendment and Exchange Agreement with JAK, pursuant to which, amongst other things, the Company agreed to the exchange of outstanding convertible notes, and warrants, and the termination of the Repurchase and Forbearance Agreement, in consideration for a new convertible note in the aggregate principal amount of $7,105,468.75, convertible into Class A Ordinary Shares pursuant to its terms. The Amendment and Exchange Agreement and the new convertible note are filed as Exhibits 10.67 and 10.68,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entered into a Securities Purchase Agreement with Hinterland Partners LLC, pursuant to which, amongst other things, (i) the Company agreed to sell a convertible note in the aggregate principal amount of $250,000, convertible into Class A Ordinary Shares pursuant to its terms. The Hinterland SPA and convertible note are filed as Exhibits 10.69 and 10.70.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White Lion 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from time to time, up to One Hundred Million Dollars ($100,000,000) in aggregate gross purchase price of newly issued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 The White Lion Purchase Agreement was included as Exhibit 10.27 of the Form F-1 registration statement filed on December 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700,000 Class A Ordinary Shares (equivalent to 1.3 Class A Ordinary Shares post Reverse Stock Splits) were issued to White Lion, in consideration for White Lion’s commitment pursuant to the White Lion Purchase Agreement. Between December 12, 2024 and the date of this prospectus, the Company received gross proceeds of $18,990,973 and issued an aggregate of 617,701 Class A Ordinary Shares (on a post-Reverse Stock Splits basis) to White 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MicroSort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2025, the Company entered into a Purchase Agreement with Genetics &amp; IVF Institute, Inc. (“Purchase Agreement”), pursuant to which the Company purchased all of the Assets (as defined in the Purchase Agreement) and IP Licenses (as defined in the Purchase Agreement) relating to the MicroSort Business (as defined in the Purchase Agreement) from Genetics &amp; IVF Institute, Inc. for a cash consideration of $750,000 and a share consideration of 2,500,000 Class A Ordinary Shares (equivalent to 4.63 Class A Ordinary Shares post Sixth Reverse Stock Split) (“Share Consideration”). The Purchase Agreement is filed as Exhibit 10.30 in this registration statement. MicroSort Lab Services, LLC (“MicroSort”) was incorporated by Genetics &amp; IVF Institute, Inc. in January 2025 to hold all of the Assets (as defined in the Purchase Agreement) to be transferred to the Company at closing. The Company’s acquisition of MicroSort was completed on February 28, 2025, and the Share Consideration was issued to GIVF on the same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ASPAC Consulting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2025, the Company entered into a Consulting Services Agreement with A SPAC (Holdings) Group Corp (“ASPAC”), pursuant to which the Company engaged ASPAC for the provision of certain consulting services. It was agreed that the Company would provide consideration in the form of cash and shares. On March 3, 2025, the Company issued the 150,000 Class A Ordinary Shares to ASPAC (equivalent to 5.6 Class A Ordinary Shares adjusted for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have been omitted because either they are not required, are not applicable or the information required therein is otherwise set forth in the Company’s financial statements and related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9"/>
        <w:gridCol w:w="60"/>
        <w:gridCol w:w="9366"/>
      </w:tblGrid>
      <w:tr>
        <w:trPr/>
        <w:tc>
          <w:tcPr>
            <w:tcW w:w="779" w:type="dxa"/>
            <w:tcBorders>
              <w:bottom w:val="single" w:sz="12" w:space="0" w:color="000000"/>
            </w:tcBorders>
            <w:vAlign w:val="center"/>
          </w:tcPr>
          <w:p>
            <w:pPr>
              <w:pStyle w:val="TableContents"/>
              <w:bidi w:val="0"/>
              <w:spacing w:before="0" w:after="283"/>
              <w:jc w:val="left"/>
              <w:rPr>
                <w:b/>
                <w:sz w:val="20"/>
              </w:rPr>
            </w:pPr>
            <w:r>
              <w:rPr>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9366"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19">
              <w:r>
                <w:rPr>
                  <w:rStyle w:val="InternetLink"/>
                  <w:sz w:val="20"/>
                </w:rPr>
                <w:t>Form of Placement Agency Agreement</w:t>
              </w:r>
            </w:hyperlink>
            <w:r>
              <w:rPr>
                <w:sz w:val="20"/>
              </w:rPr>
              <w:t xml:space="preserve"> </w:t>
            </w:r>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0">
              <w:r>
                <w:rPr>
                  <w:rStyle w:val="InternetLink"/>
                  <w:sz w:val="20"/>
                </w:rPr>
                <w:t>Amended and Restated Memorandum and Articles of Association of the Company dated July 4, 2025 (incorporated by reference to Exhibit 3.1 of the Company’s Form 6-K filed with the SEC on July 7, 2025)</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1">
              <w:r>
                <w:rPr>
                  <w:rStyle w:val="InternetLink"/>
                  <w:sz w:val="20"/>
                </w:rPr>
                <w:t>Specimen Class A Ordinary Share Certificate of the Company (incorporated by reference to Exhibit 2.1 of the report on Form 20-F filed with the Securities and Exchange Commission on April 9,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2">
              <w:r>
                <w:rPr>
                  <w:rStyle w:val="InternetLink"/>
                  <w:sz w:val="20"/>
                </w:rPr>
                <w:t>Specimen Warrant Certificate of the Company (incorporated by reference to Exhibit 2.2 of the report on Form 20-F filed with the Securities and Exchange Commission on April 9, 2024)</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3">
              <w:r>
                <w:rPr>
                  <w:rStyle w:val="InternetLink"/>
                  <w:sz w:val="20"/>
                </w:rPr>
                <w:t>Warrant Agreement, dated February 14, 2022, by and between ASCA and Continental Stock Transfer &amp; Trust Company (incorporated by reference to Exhibit 4.2 to ASCA’s Current Report on Form 8-K filed with the Securities and Exchange Commission on February 18, 2022)</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4">
              <w:r>
                <w:rPr>
                  <w:rStyle w:val="InternetLink"/>
                  <w:sz w:val="20"/>
                </w:rPr>
                <w:t>Form of Assumption of Warrant Agreement (incorporated by reference to Exhibit 4.7 to the Company’s registration statement on Form F-4 (File No. 333-275208), filed with the Securities and Exchange Commission on October 27,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5">
              <w:r>
                <w:rPr>
                  <w:rStyle w:val="InternetLink"/>
                </w:rPr>
                <w:t>Form of Pre-Funded Warrant</w:t>
              </w:r>
            </w:hyperlink>
          </w:p>
        </w:tc>
      </w:tr>
      <w:tr>
        <w:trPr/>
        <w:tc>
          <w:tcPr>
            <w:tcW w:w="779" w:type="dxa"/>
            <w:tcBorders/>
            <w:shd w:fill="FFFFFF" w:val="clear"/>
            <w:tcMar>
              <w:bottom w:w="0" w:type="dxa"/>
            </w:tcMar>
            <w:vAlign w:val="center"/>
          </w:tcPr>
          <w:p>
            <w:pPr>
              <w:pStyle w:val="TableContents"/>
              <w:bidi w:val="0"/>
              <w:spacing w:before="0" w:after="283"/>
              <w:jc w:val="both"/>
              <w:rPr>
                <w:sz w:val="20"/>
              </w:rPr>
            </w:pPr>
            <w:r>
              <w:rPr>
                <w:sz w:val="20"/>
              </w:rPr>
              <w:t>5.1*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66" w:type="dxa"/>
            <w:tcBorders/>
            <w:shd w:fill="FFFFFF" w:val="clear"/>
            <w:tcMar>
              <w:bottom w:w="0" w:type="dxa"/>
            </w:tcMar>
            <w:vAlign w:val="center"/>
          </w:tcPr>
          <w:p>
            <w:pPr>
              <w:pStyle w:val="TableContents"/>
              <w:bidi w:val="0"/>
              <w:spacing w:before="0" w:after="283"/>
              <w:jc w:val="both"/>
              <w:rPr/>
            </w:pPr>
            <w:hyperlink w:anchor="ea030508401ex5-1.htm">
              <w:r>
                <w:rPr>
                  <w:rStyle w:val="InternetLink"/>
                  <w:sz w:val="20"/>
                </w:rPr>
                <w:t>Opinion of Ogier</w:t>
              </w:r>
            </w:hyperlink>
          </w:p>
        </w:tc>
      </w:tr>
      <w:tr>
        <w:trPr/>
        <w:tc>
          <w:tcPr>
            <w:tcW w:w="779" w:type="dxa"/>
            <w:tcBorders/>
            <w:shd w:fill="CCEEFF" w:val="clear"/>
            <w:tcMar>
              <w:bottom w:w="0" w:type="dxa"/>
            </w:tcMar>
            <w:vAlign w:val="center"/>
          </w:tcPr>
          <w:p>
            <w:pPr>
              <w:pStyle w:val="TableContents"/>
              <w:bidi w:val="0"/>
              <w:spacing w:before="0" w:after="283"/>
              <w:jc w:val="both"/>
              <w:rPr>
                <w:sz w:val="20"/>
              </w:rPr>
            </w:pPr>
            <w:r>
              <w:rPr>
                <w:sz w:val="20"/>
              </w:rPr>
              <w:t>5.2**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66" w:type="dxa"/>
            <w:tcBorders/>
            <w:shd w:fill="CCEEFF" w:val="clear"/>
            <w:tcMar>
              <w:bottom w:w="0" w:type="dxa"/>
            </w:tcMar>
            <w:vAlign w:val="center"/>
          </w:tcPr>
          <w:p>
            <w:pPr>
              <w:pStyle w:val="TableContents"/>
              <w:bidi w:val="0"/>
              <w:spacing w:before="0" w:after="283"/>
              <w:jc w:val="both"/>
              <w:rPr/>
            </w:pPr>
            <w:hyperlink w:anchor="ea030508401ex5-2.htm">
              <w:r>
                <w:rPr>
                  <w:rStyle w:val="InternetLink"/>
                  <w:sz w:val="20"/>
                </w:rPr>
                <w:t>Opinion of Han Kun Law Offices LLP</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6">
              <w:r>
                <w:rPr>
                  <w:rStyle w:val="InternetLink"/>
                  <w:sz w:val="20"/>
                </w:rPr>
                <w:t>Merger Agreement, dated as of February 15, 2023, by and among ASCA, NewGenIvf Limited, certain shareholders of NewGenIvf Limited, A SPAC I Mini Acquisition Corp., and A SPAC I Mini Sub Acquisition Corp. (incorporated by reference to Exhibit 2.1 to ASCA’s Current Report on Form 8-K filed with the Securities and Exchange Commission on February 16,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7">
              <w:r>
                <w:rPr>
                  <w:rStyle w:val="InternetLink"/>
                  <w:sz w:val="20"/>
                </w:rPr>
                <w:t>First Amendment to the Merger Agreement, dated June 12, 2023, by and among ASCA, NewGenIvf Limited, Principal Shareholders, A SPAC I Mini Acquisition Corp. and A SPAC I Mini Sub Acquisition Corp. (incorporated by reference to Exhibit 2.1 to ASCA’s Current Report on Form 8-K filed with the Securities and Exchange Commission on June 13, 2023)</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8">
              <w:r>
                <w:rPr>
                  <w:rStyle w:val="InternetLink"/>
                  <w:sz w:val="20"/>
                </w:rPr>
                <w:t>Second Amendment to the Merger Agreement, dated December 6, 2023, by and among ASCA, NewGenIvf Limited, Principal Shareholders, A SPAC I Mini Acquisition Corp. and A SPAC I Mini Sub Acquisition Corp. (incorporated by reference to Exhibit 2.1 to ASCA’s Current Report on Form 8-K filed with the Securities and Exchange Commission on December 6,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9">
              <w:r>
                <w:rPr>
                  <w:rStyle w:val="InternetLink"/>
                  <w:sz w:val="20"/>
                </w:rPr>
                <w:t>Third Amendment to the Merger Agreement, dated March 1, 2024, by and among ASCA, NewGenIvf Limited, Principal Shareholders, A SPAC I Mini Acquisition Corp. and A SPAC I Mini Sub Acquisition Corp. (incorporated by reference to Exhibit 2.1 to ASCA’s Current Report on Form 8-K filed with the Securities and Exchange Commission on March 6,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0">
              <w:r>
                <w:rPr>
                  <w:rStyle w:val="InternetLink"/>
                  <w:sz w:val="20"/>
                </w:rPr>
                <w:t>Stock Escrow Agreement, dated February 14, 2022 by and between ASCA and Continental Stock Transfer &amp; Trust Company (incorporated by reference to Exhibit 10.5 to ASCA’s Current Report on Form 8-K filed with the Securities and Exchange Commission on February 18, 2022)</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1">
              <w:r>
                <w:rPr>
                  <w:rStyle w:val="InternetLink"/>
                  <w:sz w:val="20"/>
                </w:rPr>
                <w:t>Voting and Support Agreement, dated as of February 15, 2023, by and among A SPAC I Acquisition Corp., A SPAC I Mini Acquisition Corp., NewGenIvf Limited, and certain shareholders of NewGenIvf Limited (incorporated by reference to Exhibit 10.1 to ASCA’s Current Report on Form 8-K filed with the Securities and Exchange Commission on February 16, 2023)</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2">
              <w:r>
                <w:rPr>
                  <w:rStyle w:val="InternetLink"/>
                  <w:sz w:val="20"/>
                </w:rPr>
                <w:t>Form of Amended and Restated Registration Rights Agreement (incorporated by reference to Exhibit 10.2 to ASCA’s Current Report on Form 8-K filed with the Securities and Exchange Commission on February 16,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3">
              <w:r>
                <w:rPr>
                  <w:rStyle w:val="InternetLink"/>
                  <w:sz w:val="20"/>
                </w:rPr>
                <w:t>Form of Lock-Up Agreement (incorporated by reference to exhibit 4.8 of the Company’s report on Form 20-F filed with the SEC on April 9,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4">
              <w:r>
                <w:rPr>
                  <w:rStyle w:val="InternetLink"/>
                  <w:sz w:val="20"/>
                </w:rPr>
                <w:t>Securities Purchase Agreement, dated February 29, 2024, by and among ASCA, The Company, Legacy NewGenIvf, the Buyers and Merger Sub (incorporated by reference to Exhibit 10.1 to ASCA’s Current Report on Form 8-K filed with the Securities and Exchange Commission on March 6, 2024)</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5">
              <w:r>
                <w:rPr>
                  <w:rStyle w:val="InternetLink"/>
                  <w:sz w:val="20"/>
                </w:rPr>
                <w:t>Form of Note between The Company and the Buyers (incorporated by reference to Exhibit 10.2 to ASCA’s Current Report on Form 8-K filed with the Securities and Exchange Commission on March 6,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6">
              <w:r>
                <w:rPr>
                  <w:rStyle w:val="InternetLink"/>
                  <w:sz w:val="20"/>
                </w:rPr>
                <w:t>Acknowledgement Agreement, dated March 1, 2024, by and among ASCA, Legacy NewGenIvf and Chardan (incorporated by reference to Exhibit 10.3 to ASCA’s Current Report on Form 8-K filed with the Securities and Exchange Commission on March 6, 2024)</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7">
              <w:r>
                <w:rPr>
                  <w:rStyle w:val="InternetLink"/>
                  <w:sz w:val="20"/>
                </w:rPr>
                <w:t>Power Generator Lease Contract, dated January 10, 2021, between BD &amp; H TECH Co., LTD. and First Fertility Phnom Penh Ltd (English Translation) (incorporated by reference to Exhibit 10.19 to the Company’s registration statement on Form F-4 (File No. 333-275208), filed with the Securities and Exchange Commission on October 27, 2023)</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sz w:val="20"/>
              </w:rPr>
            </w:pPr>
            <w:r>
              <w:rPr>
                <w:sz w:val="20"/>
              </w:rPr>
              <w:t>10.13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38">
              <w:r>
                <w:rPr>
                  <w:rStyle w:val="InternetLink"/>
                  <w:sz w:val="20"/>
                </w:rPr>
                <w:t>Property Lease Contract, dated June 22, 2020, between SOK HEANG and First Fertility Phnom Penh Ltd (English Translation) (incorporated by reference to Exhibit 10.20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10.14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39">
              <w:r>
                <w:rPr>
                  <w:rStyle w:val="InternetLink"/>
                  <w:sz w:val="20"/>
                </w:rPr>
                <w:t>MicroSort Lease and Services Agreement, dated March 29, 2019, between First Fertility Phnom Penh Ltd and MicroSort International (incorporated by reference to Exhibit 10.21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10.15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0">
              <w:r>
                <w:rPr>
                  <w:rStyle w:val="InternetLink"/>
                  <w:sz w:val="20"/>
                </w:rPr>
                <w:t>Management and Administrative Services Agreement, dated November 1, 2022, between First Fertility PGS Center Ltd and Med Holdings Ltd (incorporated by reference to Exhibit 10.22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10.16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1">
              <w:r>
                <w:rPr>
                  <w:rStyle w:val="InternetLink"/>
                  <w:sz w:val="20"/>
                </w:rPr>
                <w:t>MicroSort Lease and Services Agreement, dated April, 8, 2019, between First Fertility PGS Center Ltd. and MicroSort International (incorporated by reference to Exhibit 10.23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10.17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2">
              <w:r>
                <w:rPr>
                  <w:rStyle w:val="InternetLink"/>
                  <w:sz w:val="20"/>
                </w:rPr>
                <w:t>Medical Consulting Service Agreement, dated January 1, 2021, between First Fertility PGS Center Ltd and First Fertility Phnom Penh Ltd (incorporated by reference to Exhibit 10.24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10.18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3">
              <w:r>
                <w:rPr>
                  <w:rStyle w:val="InternetLink"/>
                  <w:sz w:val="20"/>
                </w:rPr>
                <w:t>Receivables Purchase Agreement, dated December, 28, 2022, between First Fertility PGS Center Ltd and Mr. Siu, Wing Fung Alfred (incorporated by reference to Exhibit 10.25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10.19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4">
              <w:r>
                <w:rPr>
                  <w:rStyle w:val="InternetLink"/>
                  <w:sz w:val="20"/>
                </w:rPr>
                <w:t>Master Services Agreement, dated December 21, 2022, between First Fertility PGS Center Ltd and First Fertility Phnom Penh Ltd (incorporated by reference to Exhibit 10.26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10.20</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5">
              <w:r>
                <w:rPr>
                  <w:rStyle w:val="InternetLink"/>
                  <w:sz w:val="20"/>
                </w:rPr>
                <w:t>Form of Agreement for Storage of Embryos, Eggs, and Sperms Service between First Fertility PGS Center Ltd and Reproductive Expert Co Ltd (incorporated by reference to Exhibit 10.27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10.21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6">
              <w:r>
                <w:rPr>
                  <w:rStyle w:val="InternetLink"/>
                  <w:sz w:val="20"/>
                </w:rPr>
                <w:t>Form of NewGenIvf Group Limited 2024 Share Incentive Plan (incorporated by reference to exhibit 4.21 of the Company’s report on Form 20-F filed with the SEC on April 9, 2024)</w:t>
              </w:r>
            </w:hyperlink>
          </w:p>
        </w:tc>
      </w:tr>
      <w:tr>
        <w:trPr/>
        <w:tc>
          <w:tcPr>
            <w:tcW w:w="500" w:type="dxa"/>
            <w:tcBorders/>
            <w:shd w:fill="FFFFFF" w:val="clear"/>
            <w:vAlign w:val="center"/>
          </w:tcPr>
          <w:p>
            <w:pPr>
              <w:pStyle w:val="TableContents"/>
              <w:bidi w:val="0"/>
              <w:spacing w:before="0" w:after="283"/>
              <w:jc w:val="left"/>
              <w:rPr>
                <w:sz w:val="20"/>
              </w:rPr>
            </w:pPr>
            <w:r>
              <w:rPr>
                <w:sz w:val="20"/>
              </w:rPr>
              <w:t>10.22</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7">
              <w:r>
                <w:rPr>
                  <w:rStyle w:val="InternetLink"/>
                  <w:sz w:val="20"/>
                </w:rPr>
                <w:t>Securities Purchase Agreement between A SPAC I Mini Acquisition Corp. and JAK Opportunities VI LLC dated February 29, 2024 (incorporated by reference to Exhibit 4.1 of the Company’s current report on Form 6-K filed with the SEC on April 4, 2024)</w:t>
              </w:r>
            </w:hyperlink>
          </w:p>
        </w:tc>
      </w:tr>
      <w:tr>
        <w:trPr/>
        <w:tc>
          <w:tcPr>
            <w:tcW w:w="500" w:type="dxa"/>
            <w:tcBorders/>
            <w:shd w:fill="CCEEFF" w:val="clear"/>
            <w:vAlign w:val="center"/>
          </w:tcPr>
          <w:p>
            <w:pPr>
              <w:pStyle w:val="TableContents"/>
              <w:bidi w:val="0"/>
              <w:spacing w:before="0" w:after="283"/>
              <w:jc w:val="left"/>
              <w:rPr>
                <w:sz w:val="20"/>
              </w:rPr>
            </w:pPr>
            <w:r>
              <w:rPr>
                <w:sz w:val="20"/>
              </w:rPr>
              <w:t>10.23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8">
              <w:r>
                <w:rPr>
                  <w:rStyle w:val="InternetLink"/>
                  <w:sz w:val="20"/>
                </w:rPr>
                <w:t>Form of Note between A SPAC I Mini Acquisition Corp. and JAK Opportunities VI LLC dated February 29, 2024 (incorporated by reference to Exhibit 4.2 of the Company’s current report on Form 6-K filed with the SEC on April 4, 2024)</w:t>
              </w:r>
            </w:hyperlink>
          </w:p>
        </w:tc>
      </w:tr>
      <w:tr>
        <w:trPr/>
        <w:tc>
          <w:tcPr>
            <w:tcW w:w="500" w:type="dxa"/>
            <w:tcBorders/>
            <w:shd w:fill="FFFFFF" w:val="clear"/>
            <w:vAlign w:val="center"/>
          </w:tcPr>
          <w:p>
            <w:pPr>
              <w:pStyle w:val="TableContents"/>
              <w:bidi w:val="0"/>
              <w:spacing w:before="0" w:after="283"/>
              <w:jc w:val="left"/>
              <w:rPr>
                <w:sz w:val="20"/>
              </w:rPr>
            </w:pPr>
            <w:r>
              <w:rPr>
                <w:sz w:val="20"/>
              </w:rPr>
              <w:t>10.24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9">
              <w:r>
                <w:rPr>
                  <w:rStyle w:val="InternetLink"/>
                  <w:sz w:val="20"/>
                </w:rPr>
                <w:t>Securities Purchase Agreement between the Company and certain buyers dated August 7, 2024 (incorporated by reference to Exhibit 4.1 of the Company’s current report on Form 6-K filed with the SEC on August 16, 2024)</w:t>
              </w:r>
            </w:hyperlink>
          </w:p>
        </w:tc>
      </w:tr>
      <w:tr>
        <w:trPr/>
        <w:tc>
          <w:tcPr>
            <w:tcW w:w="500" w:type="dxa"/>
            <w:tcBorders/>
            <w:shd w:fill="CCEEFF" w:val="clear"/>
            <w:vAlign w:val="center"/>
          </w:tcPr>
          <w:p>
            <w:pPr>
              <w:pStyle w:val="TableContents"/>
              <w:bidi w:val="0"/>
              <w:spacing w:before="0" w:after="283"/>
              <w:jc w:val="left"/>
              <w:rPr>
                <w:sz w:val="20"/>
              </w:rPr>
            </w:pPr>
            <w:r>
              <w:rPr>
                <w:sz w:val="20"/>
              </w:rPr>
              <w:t>10.25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50">
              <w:r>
                <w:rPr>
                  <w:rStyle w:val="InternetLink"/>
                  <w:sz w:val="20"/>
                </w:rPr>
                <w:t>Form of Note between the Company and JAK Opportunities VI LLC dated August 7, 2024 (incorporated by reference to Exhibit 10.25 of the Company’s registration statement on Form F-1 (File No. 333-281964), filed with the Securities and Exchange Commission on September 6, 2024</w:t>
              </w:r>
            </w:hyperlink>
          </w:p>
        </w:tc>
      </w:tr>
      <w:tr>
        <w:trPr/>
        <w:tc>
          <w:tcPr>
            <w:tcW w:w="500" w:type="dxa"/>
            <w:tcBorders/>
            <w:shd w:fill="FFFFFF" w:val="clear"/>
            <w:vAlign w:val="center"/>
          </w:tcPr>
          <w:p>
            <w:pPr>
              <w:pStyle w:val="TableContents"/>
              <w:bidi w:val="0"/>
              <w:spacing w:before="0" w:after="283"/>
              <w:jc w:val="left"/>
              <w:rPr>
                <w:sz w:val="20"/>
              </w:rPr>
            </w:pPr>
            <w:r>
              <w:rPr>
                <w:sz w:val="20"/>
              </w:rPr>
              <w:t>10.26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51">
              <w:r>
                <w:rPr>
                  <w:rStyle w:val="InternetLink"/>
                  <w:sz w:val="20"/>
                </w:rPr>
                <w:t>Form of Note between the Company and JAK Opportunities VI LLC dated August 28, 2024 (incorporated by reference to Exhibit 4.1 of the Company’s current report on Form 6-K filed with the SEC on August 30, 2024)</w:t>
              </w:r>
            </w:hyperlink>
            <w:r>
              <w:rPr/>
              <w:t> </w:t>
            </w:r>
          </w:p>
        </w:tc>
      </w:tr>
      <w:tr>
        <w:trPr/>
        <w:tc>
          <w:tcPr>
            <w:tcW w:w="500" w:type="dxa"/>
            <w:tcBorders/>
            <w:shd w:fill="CCEEFF" w:val="clear"/>
            <w:vAlign w:val="center"/>
          </w:tcPr>
          <w:p>
            <w:pPr>
              <w:pStyle w:val="TableContents"/>
              <w:bidi w:val="0"/>
              <w:spacing w:before="0" w:after="283"/>
              <w:jc w:val="left"/>
              <w:rPr>
                <w:sz w:val="20"/>
              </w:rPr>
            </w:pPr>
            <w:r>
              <w:rPr>
                <w:sz w:val="20"/>
              </w:rPr>
              <w:t>10.27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52">
              <w:r>
                <w:rPr>
                  <w:rStyle w:val="InternetLink"/>
                  <w:sz w:val="20"/>
                </w:rPr>
                <w:t>Common Stock Purchase Agreement between the Company and White Lion Capital, LLC dated November 21, 2024 (incorporated by reference to Exhibit 10.27 of the Company’s registration statement on Form F-1 (File No. 333-283421), filed with the Securities and Exchange Commission on November 22, 2024)</w:t>
              </w:r>
            </w:hyperlink>
          </w:p>
        </w:tc>
      </w:tr>
      <w:tr>
        <w:trPr/>
        <w:tc>
          <w:tcPr>
            <w:tcW w:w="500" w:type="dxa"/>
            <w:tcBorders/>
            <w:shd w:fill="FFFFFF" w:val="clear"/>
            <w:vAlign w:val="center"/>
          </w:tcPr>
          <w:p>
            <w:pPr>
              <w:pStyle w:val="TableContents"/>
              <w:bidi w:val="0"/>
              <w:spacing w:before="0" w:after="283"/>
              <w:jc w:val="left"/>
              <w:rPr>
                <w:sz w:val="20"/>
              </w:rPr>
            </w:pPr>
            <w:r>
              <w:rPr>
                <w:sz w:val="20"/>
              </w:rPr>
              <w:t>10.28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53">
              <w:r>
                <w:rPr>
                  <w:rStyle w:val="InternetLink"/>
                  <w:sz w:val="20"/>
                </w:rPr>
                <w:t>Registration Rights Agreement between the Company and White Lion Capital, LLC dated November 21, 2024 (incorporated by reference to Exhibit 10.28 of the Company’s registration statement on Form F-1 (File No. 333-283421), filed with the Securities and Exchange Commission on November 22, 2024)</w:t>
              </w:r>
            </w:hyperlink>
          </w:p>
        </w:tc>
      </w:tr>
      <w:tr>
        <w:trPr/>
        <w:tc>
          <w:tcPr>
            <w:tcW w:w="500" w:type="dxa"/>
            <w:tcBorders/>
            <w:shd w:fill="CCEEFF" w:val="clear"/>
            <w:vAlign w:val="center"/>
          </w:tcPr>
          <w:p>
            <w:pPr>
              <w:pStyle w:val="TableContents"/>
              <w:bidi w:val="0"/>
              <w:spacing w:before="0" w:after="283"/>
              <w:jc w:val="left"/>
              <w:rPr>
                <w:sz w:val="20"/>
              </w:rPr>
            </w:pPr>
            <w:r>
              <w:rPr>
                <w:sz w:val="20"/>
              </w:rPr>
              <w:t>10.29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54">
              <w:r>
                <w:rPr>
                  <w:rStyle w:val="InternetLink"/>
                  <w:sz w:val="20"/>
                </w:rPr>
                <w:t>Form of Note between the Company and JAK Opportunities VI LLC dated November 11, 2024 (incorporated by reference to Exhibit 4.1 of the Company’s current report on Form 6-K filed with the SEC on November 15, 2024)</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28"/>
        <w:gridCol w:w="60"/>
        <w:gridCol w:w="9517"/>
      </w:tblGrid>
      <w:tr>
        <w:trPr/>
        <w:tc>
          <w:tcPr>
            <w:tcW w:w="628" w:type="dxa"/>
            <w:tcBorders/>
            <w:shd w:fill="CCEEFF" w:val="clear"/>
            <w:vAlign w:val="center"/>
          </w:tcPr>
          <w:p>
            <w:pPr>
              <w:pStyle w:val="TableContents"/>
              <w:bidi w:val="0"/>
              <w:spacing w:before="0" w:after="283"/>
              <w:jc w:val="left"/>
              <w:rPr>
                <w:sz w:val="20"/>
              </w:rPr>
            </w:pPr>
            <w:r>
              <w:rPr>
                <w:sz w:val="20"/>
              </w:rPr>
              <w:t>10.30</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55">
              <w:r>
                <w:rPr>
                  <w:rStyle w:val="InternetLink"/>
                  <w:sz w:val="20"/>
                </w:rPr>
                <w:t>Purchase Agreement between the Company and Genetics and IVF Institute, Inc. dated January 21, 2025 (incorporated by reference to Exhibit 10.30 of the Company’s registration statement on Form F-1 (File No. 333-285629, filed with the Securities and Exchange Commission on March 7, 2025)</w:t>
              </w:r>
            </w:hyperlink>
          </w:p>
        </w:tc>
      </w:tr>
      <w:tr>
        <w:trPr/>
        <w:tc>
          <w:tcPr>
            <w:tcW w:w="628" w:type="dxa"/>
            <w:tcBorders/>
            <w:shd w:fill="FFFFFF" w:val="clear"/>
            <w:vAlign w:val="center"/>
          </w:tcPr>
          <w:p>
            <w:pPr>
              <w:pStyle w:val="TableContents"/>
              <w:bidi w:val="0"/>
              <w:spacing w:before="0" w:after="283"/>
              <w:jc w:val="left"/>
              <w:rPr>
                <w:sz w:val="20"/>
              </w:rPr>
            </w:pPr>
            <w:r>
              <w:rPr>
                <w:sz w:val="20"/>
              </w:rPr>
              <w:t>10.31</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56">
              <w:r>
                <w:rPr>
                  <w:rStyle w:val="InternetLink"/>
                  <w:sz w:val="20"/>
                </w:rPr>
                <w:t>Consulting Services Agreement between the Company and A SPAC (Holdings) Limited dated February 24, 2025 (incorporated by reference to Exhibit 10.31 of the Company’s registration statement on Form F-1 (File No. 333-285629, filed with the Securities and Exchange Commission on March 7, 2025)</w:t>
              </w:r>
            </w:hyperlink>
          </w:p>
        </w:tc>
      </w:tr>
      <w:tr>
        <w:trPr/>
        <w:tc>
          <w:tcPr>
            <w:tcW w:w="628" w:type="dxa"/>
            <w:tcBorders/>
            <w:shd w:fill="CCEEFF" w:val="clear"/>
            <w:vAlign w:val="center"/>
          </w:tcPr>
          <w:p>
            <w:pPr>
              <w:pStyle w:val="TableContents"/>
              <w:bidi w:val="0"/>
              <w:spacing w:before="0" w:after="283"/>
              <w:jc w:val="left"/>
              <w:rPr>
                <w:sz w:val="20"/>
              </w:rPr>
            </w:pPr>
            <w:r>
              <w:rPr>
                <w:sz w:val="20"/>
              </w:rPr>
              <w:t>10.32</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57">
              <w:r>
                <w:rPr>
                  <w:rStyle w:val="InternetLink"/>
                  <w:sz w:val="20"/>
                </w:rPr>
                <w:t>Securities Purchase Agreement between the Company and certain buyers dated April 1, 2025 (incorporated by reference to Exhibit 4.1 of the Company’s current report on Form 6-K filed with the SEC on April 3, 2025)</w:t>
              </w:r>
            </w:hyperlink>
          </w:p>
        </w:tc>
      </w:tr>
      <w:tr>
        <w:trPr/>
        <w:tc>
          <w:tcPr>
            <w:tcW w:w="628" w:type="dxa"/>
            <w:tcBorders/>
            <w:shd w:fill="FFFFFF" w:val="clear"/>
            <w:vAlign w:val="center"/>
          </w:tcPr>
          <w:p>
            <w:pPr>
              <w:pStyle w:val="TableContents"/>
              <w:bidi w:val="0"/>
              <w:spacing w:before="0" w:after="283"/>
              <w:jc w:val="left"/>
              <w:rPr>
                <w:sz w:val="20"/>
              </w:rPr>
            </w:pPr>
            <w:r>
              <w:rPr>
                <w:sz w:val="20"/>
              </w:rPr>
              <w:t>10.33***</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58">
              <w:r>
                <w:rPr>
                  <w:rStyle w:val="InternetLink"/>
                  <w:sz w:val="20"/>
                </w:rPr>
                <w:t>Securities Purchase Agreement between the Company and Vanquish Funding Group Inc. dated October 15, 2025</w:t>
              </w:r>
            </w:hyperlink>
          </w:p>
        </w:tc>
      </w:tr>
      <w:tr>
        <w:trPr/>
        <w:tc>
          <w:tcPr>
            <w:tcW w:w="628" w:type="dxa"/>
            <w:tcBorders/>
            <w:shd w:fill="CCEEFF" w:val="clear"/>
            <w:vAlign w:val="center"/>
          </w:tcPr>
          <w:p>
            <w:pPr>
              <w:pStyle w:val="TableContents"/>
              <w:bidi w:val="0"/>
              <w:spacing w:before="0" w:after="283"/>
              <w:jc w:val="left"/>
              <w:rPr/>
            </w:pPr>
            <w:r>
              <w:rPr>
                <w:sz w:val="20"/>
              </w:rPr>
              <w:t>10.34</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59">
              <w:r>
                <w:rPr>
                  <w:rStyle w:val="InternetLink"/>
                  <w:sz w:val="20"/>
                </w:rPr>
                <w:t>Securities Purchase Agreement between the Company and Vanquish Funding Group Inc. dated November 4, 2025</w:t>
              </w:r>
            </w:hyperlink>
          </w:p>
        </w:tc>
      </w:tr>
      <w:tr>
        <w:trPr/>
        <w:tc>
          <w:tcPr>
            <w:tcW w:w="628" w:type="dxa"/>
            <w:tcBorders/>
            <w:shd w:fill="FFFFFF" w:val="clear"/>
            <w:vAlign w:val="center"/>
          </w:tcPr>
          <w:p>
            <w:pPr>
              <w:pStyle w:val="TableContents"/>
              <w:bidi w:val="0"/>
              <w:spacing w:before="0" w:after="283"/>
              <w:jc w:val="left"/>
              <w:rPr/>
            </w:pPr>
            <w:r>
              <w:rPr>
                <w:sz w:val="20"/>
              </w:rPr>
              <w:t>10.35</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60">
              <w:r>
                <w:rPr>
                  <w:rStyle w:val="InternetLink"/>
                  <w:sz w:val="20"/>
                </w:rPr>
                <w:t>Securities Purchase Agreement between the Company and Vanquish Funding Group Inc. dated January 22, 2026</w:t>
              </w:r>
            </w:hyperlink>
          </w:p>
        </w:tc>
      </w:tr>
      <w:tr>
        <w:trPr/>
        <w:tc>
          <w:tcPr>
            <w:tcW w:w="628" w:type="dxa"/>
            <w:tcBorders/>
            <w:shd w:fill="CCEEFF" w:val="clear"/>
            <w:vAlign w:val="center"/>
          </w:tcPr>
          <w:p>
            <w:pPr>
              <w:pStyle w:val="TableContents"/>
              <w:bidi w:val="0"/>
              <w:spacing w:before="0" w:after="283"/>
              <w:jc w:val="left"/>
              <w:rPr/>
            </w:pPr>
            <w:r>
              <w:rPr>
                <w:sz w:val="20"/>
              </w:rPr>
              <w:t>10.36</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61">
              <w:r>
                <w:rPr>
                  <w:rStyle w:val="InternetLink"/>
                  <w:sz w:val="20"/>
                </w:rPr>
                <w:t>Securities Purchase Agreement between the Company and Labrys Fund II, L.P. dated November 12, 2025</w:t>
              </w:r>
            </w:hyperlink>
          </w:p>
        </w:tc>
      </w:tr>
      <w:tr>
        <w:trPr/>
        <w:tc>
          <w:tcPr>
            <w:tcW w:w="628" w:type="dxa"/>
            <w:tcBorders/>
            <w:shd w:fill="FFFFFF" w:val="clear"/>
            <w:vAlign w:val="center"/>
          </w:tcPr>
          <w:p>
            <w:pPr>
              <w:pStyle w:val="TableContents"/>
              <w:bidi w:val="0"/>
              <w:spacing w:before="0" w:after="283"/>
              <w:jc w:val="left"/>
              <w:rPr/>
            </w:pPr>
            <w:r>
              <w:rPr>
                <w:sz w:val="20"/>
              </w:rPr>
              <w:t>10.37</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62">
              <w:r>
                <w:rPr>
                  <w:rStyle w:val="InternetLink"/>
                  <w:sz w:val="20"/>
                </w:rPr>
                <w:t>Securities Purchase Agreement between the Company and Boot Capital LLC dated January 22, 2025</w:t>
              </w:r>
            </w:hyperlink>
          </w:p>
        </w:tc>
      </w:tr>
      <w:tr>
        <w:trPr/>
        <w:tc>
          <w:tcPr>
            <w:tcW w:w="628" w:type="dxa"/>
            <w:tcBorders/>
            <w:shd w:fill="CCEEFF" w:val="clear"/>
            <w:vAlign w:val="center"/>
          </w:tcPr>
          <w:p>
            <w:pPr>
              <w:pStyle w:val="TableContents"/>
              <w:bidi w:val="0"/>
              <w:spacing w:before="0" w:after="283"/>
              <w:jc w:val="left"/>
              <w:rPr/>
            </w:pPr>
            <w:r>
              <w:rPr>
                <w:sz w:val="20"/>
              </w:rPr>
              <w:t>10.38</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63">
              <w:r>
                <w:rPr>
                  <w:rStyle w:val="InternetLink"/>
                  <w:sz w:val="20"/>
                </w:rPr>
                <w:t>Form of Note between Company and Boot Capital LLC dated January 22, 2026</w:t>
              </w:r>
            </w:hyperlink>
          </w:p>
        </w:tc>
      </w:tr>
      <w:tr>
        <w:trPr/>
        <w:tc>
          <w:tcPr>
            <w:tcW w:w="628" w:type="dxa"/>
            <w:tcBorders/>
            <w:shd w:fill="FFFFFF" w:val="clear"/>
            <w:vAlign w:val="center"/>
          </w:tcPr>
          <w:p>
            <w:pPr>
              <w:pStyle w:val="TableContents"/>
              <w:bidi w:val="0"/>
              <w:spacing w:before="0" w:after="283"/>
              <w:jc w:val="left"/>
              <w:rPr>
                <w:sz w:val="20"/>
              </w:rPr>
            </w:pPr>
            <w:r>
              <w:rPr>
                <w:sz w:val="20"/>
              </w:rPr>
              <w:t>10.39</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64">
              <w:r>
                <w:rPr>
                  <w:rStyle w:val="InternetLink"/>
                  <w:sz w:val="20"/>
                </w:rPr>
                <w:t>Securities Purchase Agreement between the Company and CFI Capital LLC, dated March 18, 2026</w:t>
              </w:r>
            </w:hyperlink>
          </w:p>
        </w:tc>
      </w:tr>
      <w:tr>
        <w:trPr/>
        <w:tc>
          <w:tcPr>
            <w:tcW w:w="628" w:type="dxa"/>
            <w:tcBorders/>
            <w:shd w:fill="CCEEFF" w:val="clear"/>
            <w:vAlign w:val="center"/>
          </w:tcPr>
          <w:p>
            <w:pPr>
              <w:pStyle w:val="TableContents"/>
              <w:bidi w:val="0"/>
              <w:spacing w:before="0" w:after="283"/>
              <w:jc w:val="left"/>
              <w:rPr>
                <w:sz w:val="20"/>
              </w:rPr>
            </w:pPr>
            <w:r>
              <w:rPr>
                <w:sz w:val="20"/>
              </w:rPr>
              <w:t>10.40</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65">
              <w:r>
                <w:rPr>
                  <w:rStyle w:val="InternetLink"/>
                  <w:sz w:val="20"/>
                </w:rPr>
                <w:t>Form of Note between the Company and CFI Capital LLC, dated March 18, 2026</w:t>
              </w:r>
            </w:hyperlink>
          </w:p>
        </w:tc>
      </w:tr>
      <w:tr>
        <w:trPr/>
        <w:tc>
          <w:tcPr>
            <w:tcW w:w="628" w:type="dxa"/>
            <w:tcBorders/>
            <w:shd w:fill="FFFFFF" w:val="clear"/>
            <w:vAlign w:val="center"/>
          </w:tcPr>
          <w:p>
            <w:pPr>
              <w:pStyle w:val="TableContents"/>
              <w:bidi w:val="0"/>
              <w:spacing w:before="0" w:after="283"/>
              <w:jc w:val="left"/>
              <w:rPr>
                <w:sz w:val="20"/>
              </w:rPr>
            </w:pPr>
            <w:r>
              <w:rPr>
                <w:sz w:val="20"/>
              </w:rPr>
              <w:t>10.41</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66">
              <w:r>
                <w:rPr>
                  <w:rStyle w:val="InternetLink"/>
                  <w:sz w:val="20"/>
                </w:rPr>
                <w:t>Securities Purchase Agreement between the Company and FirstFire Global Opportunities Fund LLC, dated March 25, 2026</w:t>
              </w:r>
            </w:hyperlink>
          </w:p>
        </w:tc>
      </w:tr>
      <w:tr>
        <w:trPr/>
        <w:tc>
          <w:tcPr>
            <w:tcW w:w="628" w:type="dxa"/>
            <w:tcBorders/>
            <w:shd w:fill="CCEEFF" w:val="clear"/>
            <w:vAlign w:val="center"/>
          </w:tcPr>
          <w:p>
            <w:pPr>
              <w:pStyle w:val="TableContents"/>
              <w:bidi w:val="0"/>
              <w:spacing w:before="0" w:after="283"/>
              <w:jc w:val="left"/>
              <w:rPr>
                <w:sz w:val="20"/>
              </w:rPr>
            </w:pPr>
            <w:r>
              <w:rPr>
                <w:sz w:val="20"/>
              </w:rPr>
              <w:t>10.42</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67">
              <w:r>
                <w:rPr>
                  <w:rStyle w:val="InternetLink"/>
                  <w:sz w:val="20"/>
                </w:rPr>
                <w:t>Form of Note between the Company and FirstFire Global Opportunities Fund LLC, dated March 25, 2026</w:t>
              </w:r>
            </w:hyperlink>
          </w:p>
        </w:tc>
      </w:tr>
      <w:tr>
        <w:trPr/>
        <w:tc>
          <w:tcPr>
            <w:tcW w:w="628" w:type="dxa"/>
            <w:tcBorders/>
            <w:shd w:fill="FFFFFF" w:val="clear"/>
            <w:vAlign w:val="center"/>
          </w:tcPr>
          <w:p>
            <w:pPr>
              <w:pStyle w:val="TableContents"/>
              <w:bidi w:val="0"/>
              <w:spacing w:before="0" w:after="283"/>
              <w:jc w:val="left"/>
              <w:rPr>
                <w:sz w:val="20"/>
              </w:rPr>
            </w:pPr>
            <w:r>
              <w:rPr>
                <w:sz w:val="20"/>
              </w:rPr>
              <w:t>10.43***</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68">
              <w:r>
                <w:rPr>
                  <w:rStyle w:val="InternetLink"/>
                  <w:sz w:val="20"/>
                </w:rPr>
                <w:t>Securities Purchase Agreement between the Company and Silvercrest Hybrid Capital LLC, dated March 30, 2026</w:t>
              </w:r>
            </w:hyperlink>
          </w:p>
        </w:tc>
      </w:tr>
      <w:tr>
        <w:trPr/>
        <w:tc>
          <w:tcPr>
            <w:tcW w:w="628" w:type="dxa"/>
            <w:tcBorders/>
            <w:shd w:fill="CCEEFF" w:val="clear"/>
            <w:vAlign w:val="center"/>
          </w:tcPr>
          <w:p>
            <w:pPr>
              <w:pStyle w:val="TableContents"/>
              <w:bidi w:val="0"/>
              <w:spacing w:before="0" w:after="283"/>
              <w:jc w:val="left"/>
              <w:rPr/>
            </w:pPr>
            <w:r>
              <w:rPr>
                <w:sz w:val="20"/>
              </w:rPr>
              <w:t>10.44</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69">
              <w:r>
                <w:rPr>
                  <w:rStyle w:val="InternetLink"/>
                  <w:sz w:val="20"/>
                </w:rPr>
                <w:t>Form of Note between the Company and Silvercrest Hybrid Capital LLC, dated March 30, 2026</w:t>
              </w:r>
            </w:hyperlink>
          </w:p>
        </w:tc>
      </w:tr>
      <w:tr>
        <w:trPr/>
        <w:tc>
          <w:tcPr>
            <w:tcW w:w="628" w:type="dxa"/>
            <w:tcBorders/>
            <w:shd w:fill="FFFFFF" w:val="clear"/>
            <w:vAlign w:val="center"/>
          </w:tcPr>
          <w:p>
            <w:pPr>
              <w:pStyle w:val="TableContents"/>
              <w:bidi w:val="0"/>
              <w:spacing w:before="0" w:after="283"/>
              <w:jc w:val="left"/>
              <w:rPr/>
            </w:pPr>
            <w:r>
              <w:rPr>
                <w:sz w:val="20"/>
              </w:rPr>
              <w:t>10.45</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70">
              <w:r>
                <w:rPr>
                  <w:rStyle w:val="InternetLink"/>
                  <w:sz w:val="20"/>
                </w:rPr>
                <w:t>Securities Purchase Agreement between the Company and Pacific Pier Capital II, LP, dated April 14, 2026</w:t>
              </w:r>
            </w:hyperlink>
          </w:p>
        </w:tc>
      </w:tr>
      <w:tr>
        <w:trPr/>
        <w:tc>
          <w:tcPr>
            <w:tcW w:w="628" w:type="dxa"/>
            <w:tcBorders/>
            <w:shd w:fill="CCEEFF" w:val="clear"/>
            <w:vAlign w:val="center"/>
          </w:tcPr>
          <w:p>
            <w:pPr>
              <w:pStyle w:val="TableContents"/>
              <w:bidi w:val="0"/>
              <w:spacing w:before="0" w:after="283"/>
              <w:jc w:val="left"/>
              <w:rPr/>
            </w:pPr>
            <w:r>
              <w:rPr>
                <w:sz w:val="20"/>
              </w:rPr>
              <w:t>10.46</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71">
              <w:r>
                <w:rPr>
                  <w:rStyle w:val="InternetLink"/>
                  <w:sz w:val="20"/>
                </w:rPr>
                <w:t>Form of Note between the Company and Pacific Pier Capital II, LP, dated April 14, 2026</w:t>
              </w:r>
            </w:hyperlink>
          </w:p>
        </w:tc>
      </w:tr>
      <w:tr>
        <w:trPr/>
        <w:tc>
          <w:tcPr>
            <w:tcW w:w="628" w:type="dxa"/>
            <w:tcBorders/>
            <w:shd w:fill="FFFFFF" w:val="clear"/>
            <w:vAlign w:val="center"/>
          </w:tcPr>
          <w:p>
            <w:pPr>
              <w:pStyle w:val="TableContents"/>
              <w:bidi w:val="0"/>
              <w:spacing w:before="0" w:after="283"/>
              <w:jc w:val="left"/>
              <w:rPr/>
            </w:pPr>
            <w:r>
              <w:rPr>
                <w:sz w:val="20"/>
              </w:rPr>
              <w:t>10.47</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72">
              <w:r>
                <w:rPr>
                  <w:rStyle w:val="InternetLink"/>
                  <w:sz w:val="20"/>
                </w:rPr>
                <w:t>Securities Purchase Agreement between the Company and Labrys Fund II, L.P., dated April 20, 2026</w:t>
              </w:r>
            </w:hyperlink>
          </w:p>
        </w:tc>
      </w:tr>
      <w:tr>
        <w:trPr/>
        <w:tc>
          <w:tcPr>
            <w:tcW w:w="628" w:type="dxa"/>
            <w:tcBorders/>
            <w:shd w:fill="CCEEFF" w:val="clear"/>
            <w:vAlign w:val="center"/>
          </w:tcPr>
          <w:p>
            <w:pPr>
              <w:pStyle w:val="TableContents"/>
              <w:bidi w:val="0"/>
              <w:spacing w:before="0" w:after="283"/>
              <w:jc w:val="left"/>
              <w:rPr/>
            </w:pPr>
            <w:r>
              <w:rPr>
                <w:sz w:val="20"/>
              </w:rPr>
              <w:t>10.48</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73">
              <w:r>
                <w:rPr>
                  <w:rStyle w:val="InternetLink"/>
                  <w:sz w:val="20"/>
                </w:rPr>
                <w:t>Form of Note between the Company and Labrys Fund II, L.P, dated April 20, 2026</w:t>
              </w:r>
            </w:hyperlink>
          </w:p>
        </w:tc>
      </w:tr>
      <w:tr>
        <w:trPr/>
        <w:tc>
          <w:tcPr>
            <w:tcW w:w="628" w:type="dxa"/>
            <w:tcBorders/>
            <w:shd w:fill="FFFFFF" w:val="clear"/>
            <w:vAlign w:val="center"/>
          </w:tcPr>
          <w:p>
            <w:pPr>
              <w:pStyle w:val="TableContents"/>
              <w:bidi w:val="0"/>
              <w:spacing w:before="0" w:after="283"/>
              <w:jc w:val="left"/>
              <w:rPr/>
            </w:pPr>
            <w:r>
              <w:rPr>
                <w:sz w:val="20"/>
              </w:rPr>
              <w:t>10.49</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74">
              <w:r>
                <w:rPr>
                  <w:rStyle w:val="InternetLink"/>
                  <w:sz w:val="20"/>
                </w:rPr>
                <w:t>Securities Purchase Agreement between the Company and White Lion Capital LLC, dated April 27, 2026</w:t>
              </w:r>
            </w:hyperlink>
          </w:p>
        </w:tc>
      </w:tr>
      <w:tr>
        <w:trPr/>
        <w:tc>
          <w:tcPr>
            <w:tcW w:w="628" w:type="dxa"/>
            <w:tcBorders/>
            <w:shd w:fill="CCEEFF" w:val="clear"/>
            <w:vAlign w:val="center"/>
          </w:tcPr>
          <w:p>
            <w:pPr>
              <w:pStyle w:val="TableContents"/>
              <w:bidi w:val="0"/>
              <w:spacing w:before="0" w:after="283"/>
              <w:jc w:val="left"/>
              <w:rPr/>
            </w:pPr>
            <w:r>
              <w:rPr>
                <w:sz w:val="20"/>
              </w:rPr>
              <w:t>10.50</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75">
              <w:r>
                <w:rPr>
                  <w:rStyle w:val="InternetLink"/>
                  <w:sz w:val="20"/>
                </w:rPr>
                <w:t>Form of Note between the Company and White Lion Capital LLC, dated April 27, 2026</w:t>
              </w:r>
            </w:hyperlink>
          </w:p>
        </w:tc>
      </w:tr>
      <w:tr>
        <w:trPr/>
        <w:tc>
          <w:tcPr>
            <w:tcW w:w="628" w:type="dxa"/>
            <w:tcBorders/>
            <w:shd w:fill="FFFFFF" w:val="clear"/>
            <w:vAlign w:val="center"/>
          </w:tcPr>
          <w:p>
            <w:pPr>
              <w:pStyle w:val="TableContents"/>
              <w:bidi w:val="0"/>
              <w:spacing w:before="0" w:after="283"/>
              <w:jc w:val="left"/>
              <w:rPr/>
            </w:pPr>
            <w:r>
              <w:rPr>
                <w:sz w:val="20"/>
              </w:rPr>
              <w:t>10.51</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76">
              <w:r>
                <w:rPr>
                  <w:rStyle w:val="InternetLink"/>
                  <w:sz w:val="20"/>
                </w:rPr>
                <w:t>Heads of Agreement between the Company and PredicXion Group Limited dated May 15, 2026</w:t>
              </w:r>
            </w:hyperlink>
          </w:p>
        </w:tc>
      </w:tr>
      <w:tr>
        <w:trPr/>
        <w:tc>
          <w:tcPr>
            <w:tcW w:w="628" w:type="dxa"/>
            <w:tcBorders/>
            <w:shd w:fill="CCEEFF" w:val="clear"/>
            <w:vAlign w:val="center"/>
          </w:tcPr>
          <w:p>
            <w:pPr>
              <w:pStyle w:val="TableContents"/>
              <w:bidi w:val="0"/>
              <w:spacing w:before="0" w:after="283"/>
              <w:jc w:val="left"/>
              <w:rPr>
                <w:sz w:val="20"/>
              </w:rPr>
            </w:pPr>
            <w:r>
              <w:rPr>
                <w:sz w:val="20"/>
              </w:rPr>
              <w:t>10.52</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77">
              <w:r>
                <w:rPr>
                  <w:rStyle w:val="InternetLink"/>
                  <w:sz w:val="20"/>
                </w:rPr>
                <w:t>Share Purchase Agreement between the Company and PredicXion Group Limited dated May 28, 2026 (incorporated by reference to Exhibit 10.1 of the Company’s current report on Form 6-k furnished to the SEC on May 28, 2026)</w:t>
              </w:r>
            </w:hyperlink>
          </w:p>
        </w:tc>
      </w:tr>
      <w:tr>
        <w:trPr/>
        <w:tc>
          <w:tcPr>
            <w:tcW w:w="628" w:type="dxa"/>
            <w:tcBorders/>
            <w:shd w:fill="FFFFFF" w:val="clear"/>
            <w:vAlign w:val="center"/>
          </w:tcPr>
          <w:p>
            <w:pPr>
              <w:pStyle w:val="TableContents"/>
              <w:bidi w:val="0"/>
              <w:spacing w:before="0" w:after="283"/>
              <w:jc w:val="left"/>
              <w:rPr>
                <w:sz w:val="20"/>
              </w:rPr>
            </w:pPr>
            <w:r>
              <w:rPr>
                <w:sz w:val="20"/>
              </w:rPr>
              <w:t>10.53</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78">
              <w:r>
                <w:rPr>
                  <w:rStyle w:val="InternetLink"/>
                  <w:sz w:val="20"/>
                </w:rPr>
                <w:t>Exclusive Agency Agreement between the Company and PredicXion Group Limited dated May 28, 2026 (incorporated by reference to Exhibit 10.2 of the Company’s current report on Form 6-k furnished to the SEC on May 28, 2026)</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83"/>
        <w:gridCol w:w="60"/>
        <w:gridCol w:w="9462"/>
      </w:tblGrid>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Share Purchase Agreement between the Company and PredicXion Group Limited dated June 2, 2026 (incorporated by reference to Exhibit 10.1 of the Company’s current report on Form 6-k furnished to the SEC on June 4,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Securities Purchase Agreement between the Company and Vanquish Funding Group Inc. dated June 2,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Convertible Promissory Note between the Company and Vanquish Funding Group Inc., dated June 2,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Repurchase and Forbearance Agreement between the Company and JAK Opportunities VI LLC, dated June 15,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Securities Purchase Agreement between the Company and White Lion Capital LLC, dated May 26,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Form of Note between the Company and White Lion Capital LLC, dated May 26,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Securities Purchase Agreement between the Company and White Lion Capital LLC, dated June 8,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rPr>
                <w:t>Form of Note between the Company and White Lion Capital LLC, dated June 8,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87">
              <w:r>
                <w:rPr>
                  <w:rStyle w:val="InternetLink"/>
                  <w:rFonts w:ascii="Times New Roman;Times;Serif" w:hAnsi="Times New Roman;Times;Serif"/>
                  <w:b w:val="false"/>
                  <w:i w:val="false"/>
                  <w:caps w:val="false"/>
                  <w:smallCaps w:val="false"/>
                  <w:sz w:val="20"/>
                </w:rPr>
                <w:t>Share Purchase Agreement between the Company and PredicXion Group Limited dated June 18, 2026 (incorporated by reference to Exhibit 10.1 of the Company’s current report on Form 6-k furnished to the SEC on June 18,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88">
              <w:r>
                <w:rPr>
                  <w:rStyle w:val="InternetLink"/>
                  <w:rFonts w:ascii="Times New Roman;Times;Serif" w:hAnsi="Times New Roman;Times;Serif"/>
                  <w:b w:val="false"/>
                  <w:i w:val="false"/>
                  <w:caps w:val="false"/>
                  <w:smallCaps w:val="false"/>
                  <w:sz w:val="20"/>
                </w:rPr>
                <w:t>Securities Purchase Agreement between the Company and White Lion Capital LLC, dated June 22,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89">
              <w:r>
                <w:rPr>
                  <w:rStyle w:val="InternetLink"/>
                  <w:rFonts w:ascii="Times New Roman;Times;Serif" w:hAnsi="Times New Roman;Times;Serif"/>
                  <w:b w:val="false"/>
                  <w:i w:val="false"/>
                  <w:caps w:val="false"/>
                  <w:smallCaps w:val="false"/>
                  <w:sz w:val="20"/>
                </w:rPr>
                <w:t>Form of Note between the Company and White Lion Capital LLC, dated June 22,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90">
              <w:r>
                <w:rPr>
                  <w:rStyle w:val="InternetLink"/>
                  <w:rFonts w:ascii="Times New Roman;Times;Serif" w:hAnsi="Times New Roman;Times;Serif"/>
                  <w:b w:val="false"/>
                  <w:i w:val="false"/>
                  <w:caps w:val="false"/>
                  <w:smallCaps w:val="false"/>
                  <w:sz w:val="20"/>
                </w:rPr>
                <w:t>Securities Purchase Agreement between the Company and Vanquish Funding Group Inc. dated August 10,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91">
              <w:r>
                <w:rPr>
                  <w:rStyle w:val="InternetLink"/>
                  <w:rFonts w:ascii="Times New Roman;Times;Serif" w:hAnsi="Times New Roman;Times;Serif"/>
                  <w:b w:val="false"/>
                  <w:i w:val="false"/>
                  <w:caps w:val="false"/>
                  <w:smallCaps w:val="false"/>
                  <w:sz w:val="20"/>
                </w:rPr>
                <w:t>Convertible Promissory Note between the Company and Vanquish Funding Group Inc., dated August 10,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92">
              <w:r>
                <w:rPr>
                  <w:rStyle w:val="InternetLink"/>
                  <w:rFonts w:ascii="Times New Roman;Times;Serif" w:hAnsi="Times New Roman;Times;Serif"/>
                  <w:b w:val="false"/>
                  <w:i w:val="false"/>
                  <w:caps w:val="false"/>
                  <w:smallCaps w:val="false"/>
                  <w:sz w:val="20"/>
                </w:rPr>
                <w:t>Amendment and Exchange Agreement between the Company and an investor dated August 11, 2026 (incorporated by reference to Exhibit 10.1 of the Company’s current report on Form 6-K furnished to the SEC on August 17,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93">
              <w:r>
                <w:rPr>
                  <w:rStyle w:val="InternetLink"/>
                  <w:rFonts w:ascii="Times New Roman;Times;Serif" w:hAnsi="Times New Roman;Times;Serif"/>
                  <w:b w:val="false"/>
                  <w:i w:val="false"/>
                  <w:caps w:val="false"/>
                  <w:smallCaps w:val="false"/>
                  <w:sz w:val="20"/>
                </w:rPr>
                <w:t>Form of Note between the Company and an investor dated August 14, 2026 (incorporated by reference to Exhibit 10.2 of the Company’s current report on Form 6-K furnished to the SEC on August 17,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94">
              <w:r>
                <w:rPr>
                  <w:rStyle w:val="InternetLink"/>
                  <w:rFonts w:ascii="Times New Roman;Times;Serif" w:hAnsi="Times New Roman;Times;Serif"/>
                  <w:b w:val="false"/>
                  <w:i w:val="false"/>
                  <w:caps w:val="false"/>
                  <w:smallCaps w:val="false"/>
                  <w:sz w:val="20"/>
                </w:rPr>
                <w:t>Securities Purchase Agreement between the Company and Hinterland Partners LLC, dated August 17,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95">
              <w:r>
                <w:rPr>
                  <w:rStyle w:val="InternetLink"/>
                  <w:rFonts w:ascii="Times New Roman;Times;Serif" w:hAnsi="Times New Roman;Times;Serif"/>
                  <w:b w:val="false"/>
                  <w:i w:val="false"/>
                  <w:caps w:val="false"/>
                  <w:smallCaps w:val="false"/>
                  <w:sz w:val="20"/>
                </w:rPr>
                <w:t>Convertible Promissory Note between the Company and Hinterland Partners LLC, dated August 17,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96">
              <w:r>
                <w:rPr>
                  <w:rStyle w:val="InternetLink"/>
                  <w:rFonts w:ascii="Times New Roman;Times;Serif" w:hAnsi="Times New Roman;Times;Serif"/>
                  <w:b w:val="false"/>
                  <w:i w:val="false"/>
                  <w:caps w:val="false"/>
                  <w:smallCaps w:val="false"/>
                  <w:sz w:val="20"/>
                </w:rPr>
                <w:t>Form of Lock-Up Agreement</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w:anchor="ea030508401ex10-72.htm">
              <w:r>
                <w:rPr>
                  <w:rStyle w:val="InternetLink"/>
                  <w:rFonts w:ascii="Times New Roman;Times;Serif" w:hAnsi="Times New Roman;Times;Serif"/>
                  <w:b w:val="false"/>
                  <w:i w:val="false"/>
                  <w:caps w:val="false"/>
                  <w:smallCaps w:val="false"/>
                  <w:sz w:val="20"/>
                </w:rPr>
                <w:t>Securities Purchase Agreement between the Company and Vanquish Funding Group Inc. dated May 4,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w:anchor="ea030508401ex10-73.htm">
              <w:r>
                <w:rPr>
                  <w:rStyle w:val="InternetLink"/>
                  <w:rFonts w:ascii="Times New Roman;Times;Serif" w:hAnsi="Times New Roman;Times;Serif"/>
                  <w:b w:val="false"/>
                  <w:i w:val="false"/>
                  <w:caps w:val="false"/>
                  <w:smallCaps w:val="false"/>
                  <w:sz w:val="20"/>
                </w:rPr>
                <w:t>Convertible Promissory Note between the Company and Vanquish Funding Group Inc., dated May 4,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rPr>
                <w:t>List of Subsidiaries</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pPr>
            <w:hyperlink w:anchor="ea030508401ex23-1.htm">
              <w:r>
                <w:rPr>
                  <w:rStyle w:val="InternetLink"/>
                  <w:rFonts w:ascii="Times New Roman;Times;Serif" w:hAnsi="Times New Roman;Times;Serif"/>
                  <w:b w:val="false"/>
                  <w:i w:val="false"/>
                  <w:caps w:val="false"/>
                  <w:smallCaps w:val="false"/>
                  <w:sz w:val="20"/>
                </w:rPr>
                <w:t>Consent Letter from J&amp;S Associate PLT</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left"/>
              <w:rPr/>
            </w:pPr>
            <w:hyperlink w:anchor="ea030508401ex5-1.htm">
              <w:r>
                <w:rPr>
                  <w:rStyle w:val="InternetLink"/>
                  <w:rFonts w:ascii="Times New Roman;Times;Serif" w:hAnsi="Times New Roman;Times;Serif"/>
                  <w:b w:val="false"/>
                  <w:i w:val="false"/>
                  <w:caps w:val="false"/>
                  <w:smallCaps w:val="false"/>
                  <w:sz w:val="20"/>
                </w:rPr>
                <w:t>Consent of Ogier (included in Exhibit 5.1)</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"https://www.sec.gov/ix?doc=/Archives/edgar/data/1981662/000121390026091922/ea0301325-f1_newgenivf.htm" \l "poa"</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w:t>
            </w:r>
            <w:r>
              <w:rPr>
                <w:rStyle w:val="InternetLink"/>
                <w:smallCaps w:val="false"/>
                <w:caps w:val="false"/>
                <w:sz w:val="20"/>
                <w:i w:val="false"/>
                <w:b w:val="false"/>
                <w:rFonts w:ascii="Times New Roman;Times;Serif" w:hAnsi="Times New Roman;Times;Serif"/>
              </w:rPr>
              <w:fldChar w:fldCharType="end"/>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98">
              <w:r>
                <w:rPr>
                  <w:rStyle w:val="InternetLink"/>
                  <w:rFonts w:ascii="Times New Roman;Times;Serif" w:hAnsi="Times New Roman;Times;Serif"/>
                  <w:b w:val="false"/>
                  <w:i w:val="false"/>
                  <w:caps w:val="false"/>
                  <w:smallCaps w:val="false"/>
                  <w:sz w:val="20"/>
                </w:rPr>
                <w:t>Clawback Policy of the Company. (incorporated by reference to Exhibit 97.1 of the Company’s annual report on Form 20-F filed with the SEC on August 20, 2024)</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left"/>
              <w:rPr/>
            </w:pPr>
            <w:hyperlink w:anchor="ea030508401ex-fee.htm">
              <w:r>
                <w:rPr>
                  <w:rStyle w:val="InternetLink"/>
                  <w:rFonts w:ascii="Times New Roman;Times;Serif" w:hAnsi="Times New Roman;Times;Serif"/>
                  <w:b w:val="false"/>
                  <w:i w:val="false"/>
                  <w:caps w:val="false"/>
                  <w:smallCaps w:val="false"/>
                  <w:sz w:val="20"/>
                </w:rPr>
                <w:t>Fee Table</w:t>
              </w:r>
            </w:hyperlink>
          </w:p>
        </w:tc>
      </w:tr>
    </w:tbl>
    <w:p>
      <w:pPr>
        <w:pStyle w:val="TextBody"/>
        <w:bidi w:val="0"/>
        <w:spacing w:before="0" w:after="283"/>
        <w:jc w:val="left"/>
        <w:rPr/>
      </w:pPr>
      <w:r>
        <w:rPr/>
        <w:t> </w:t>
      </w:r>
    </w:p>
    <w:tbl>
      <w:tblPr>
        <w:tblW w:w="2605" w:type="dxa"/>
        <w:jc w:val="left"/>
        <w:tblInd w:w="0" w:type="dxa"/>
        <w:tblLayout w:type="fixed"/>
        <w:tblCellMar>
          <w:top w:w="0" w:type="dxa"/>
          <w:left w:w="0" w:type="dxa"/>
          <w:bottom w:w="0" w:type="dxa"/>
          <w:right w:w="0" w:type="dxa"/>
        </w:tblCellMar>
      </w:tblPr>
      <w:tblGrid>
        <w:gridCol w:w="395"/>
        <w:gridCol w:w="2210"/>
      </w:tblGrid>
      <w:tr>
        <w:trPr/>
        <w:tc>
          <w:tcPr>
            <w:tcW w:w="395" w:type="dxa"/>
            <w:tcBorders/>
            <w:vAlign w:val="center"/>
          </w:tcPr>
          <w:p>
            <w:pPr>
              <w:pStyle w:val="TableContents"/>
              <w:bidi w:val="0"/>
              <w:spacing w:before="0" w:after="283"/>
              <w:jc w:val="left"/>
              <w:rPr>
                <w:sz w:val="20"/>
              </w:rPr>
            </w:pPr>
            <w:r>
              <w:rPr>
                <w:sz w:val="20"/>
              </w:rPr>
              <w:t>*</w:t>
            </w:r>
          </w:p>
        </w:tc>
        <w:tc>
          <w:tcPr>
            <w:tcW w:w="2210" w:type="dxa"/>
            <w:tcBorders/>
            <w:vAlign w:val="center"/>
          </w:tcPr>
          <w:p>
            <w:pPr>
              <w:pStyle w:val="TableContents"/>
              <w:bidi w:val="0"/>
              <w:spacing w:before="0" w:after="283"/>
              <w:jc w:val="left"/>
              <w:rPr>
                <w:sz w:val="20"/>
              </w:rPr>
            </w:pPr>
            <w:r>
              <w:rPr>
                <w:sz w:val="20"/>
              </w:rPr>
              <w:t>Filed herewith.</w:t>
            </w:r>
          </w:p>
        </w:tc>
      </w:tr>
      <w:tr>
        <w:trPr/>
        <w:tc>
          <w:tcPr>
            <w:tcW w:w="395" w:type="dxa"/>
            <w:tcBorders/>
            <w:vAlign w:val="center"/>
          </w:tcPr>
          <w:p>
            <w:pPr>
              <w:pStyle w:val="TableContents"/>
              <w:bidi w:val="0"/>
              <w:spacing w:before="0" w:after="283"/>
              <w:jc w:val="left"/>
              <w:rPr>
                <w:sz w:val="20"/>
              </w:rPr>
            </w:pPr>
            <w:r>
              <w:rPr>
                <w:sz w:val="20"/>
              </w:rPr>
              <w:t>**</w:t>
            </w:r>
          </w:p>
        </w:tc>
        <w:tc>
          <w:tcPr>
            <w:tcW w:w="2210" w:type="dxa"/>
            <w:tcBorders/>
            <w:vAlign w:val="center"/>
          </w:tcPr>
          <w:p>
            <w:pPr>
              <w:pStyle w:val="TableContents"/>
              <w:bidi w:val="0"/>
              <w:spacing w:before="0" w:after="283"/>
              <w:jc w:val="left"/>
              <w:rPr>
                <w:sz w:val="20"/>
              </w:rPr>
            </w:pPr>
            <w:r>
              <w:rPr>
                <w:sz w:val="20"/>
              </w:rPr>
              <w:t>To be filed by amendment.</w:t>
            </w:r>
          </w:p>
        </w:tc>
      </w:tr>
      <w:tr>
        <w:trPr/>
        <w:tc>
          <w:tcPr>
            <w:tcW w:w="395"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left"/>
              <w:rPr/>
            </w:pPr>
            <w:r>
              <w:rPr/>
              <w:t>Previously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45"/>
        <w:gridCol w:w="3875"/>
      </w:tblGrid>
      <w:tr>
        <w:trPr/>
        <w:tc>
          <w:tcPr>
            <w:tcW w:w="245" w:type="dxa"/>
            <w:tcBorders/>
            <w:vAlign w:val="center"/>
          </w:tcPr>
          <w:p>
            <w:pPr>
              <w:pStyle w:val="TableContents"/>
              <w:bidi w:val="0"/>
              <w:spacing w:before="0" w:after="283"/>
              <w:jc w:val="left"/>
              <w:rPr>
                <w:sz w:val="20"/>
              </w:rPr>
            </w:pPr>
            <w:r>
              <w:rPr>
                <w:sz w:val="20"/>
              </w:rPr>
              <w:t>(a)</w:t>
            </w:r>
          </w:p>
        </w:tc>
        <w:tc>
          <w:tcPr>
            <w:tcW w:w="3875"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sz w:val="20"/>
              </w:rPr>
            </w:pPr>
            <w:r>
              <w:rPr>
                <w:sz w:val="20"/>
              </w:rPr>
              <w:t>(1)</w:t>
            </w:r>
          </w:p>
        </w:tc>
        <w:tc>
          <w:tcPr>
            <w:tcW w:w="9946"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25"/>
        <w:gridCol w:w="68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i.</w:t>
            </w:r>
          </w:p>
        </w:tc>
        <w:tc>
          <w:tcPr>
            <w:tcW w:w="6890" w:type="dxa"/>
            <w:tcBorders/>
            <w:vAlign w:val="center"/>
          </w:tcPr>
          <w:p>
            <w:pPr>
              <w:pStyle w:val="TableContents"/>
              <w:bidi w:val="0"/>
              <w:spacing w:before="0" w:after="283"/>
              <w:jc w:val="both"/>
              <w:rPr>
                <w:sz w:val="20"/>
              </w:rPr>
            </w:pPr>
            <w:r>
              <w:rPr>
                <w:sz w:val="20"/>
              </w:rPr>
              <w:t>To include any prospectus required by section 10(a)(3) of the Securities Act of 1933;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ii.</w:t>
            </w:r>
          </w:p>
        </w:tc>
        <w:tc>
          <w:tcPr>
            <w:tcW w:w="9945"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spacing w:before="0" w:after="0"/>
        <w:ind w:left="5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iii.</w:t>
            </w:r>
          </w:p>
        </w:tc>
        <w:tc>
          <w:tcPr>
            <w:tcW w:w="9885"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sz w:val="20"/>
              </w:rPr>
            </w:pPr>
            <w:r>
              <w:rPr>
                <w:sz w:val="20"/>
              </w:rPr>
              <w:t>(2)</w:t>
            </w:r>
          </w:p>
        </w:tc>
        <w:tc>
          <w:tcPr>
            <w:tcW w:w="9984" w:type="dxa"/>
            <w:tcBorders/>
            <w:vAlign w:val="center"/>
          </w:tcPr>
          <w:p>
            <w:pPr>
              <w:pStyle w:val="TableContents"/>
              <w:bidi w:val="0"/>
              <w:spacing w:before="0" w:after="283"/>
              <w:jc w:val="both"/>
              <w:rPr>
                <w:sz w:val="20"/>
              </w:rPr>
            </w:pPr>
            <w:r>
              <w:rPr>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both"/>
              <w:rPr>
                <w:sz w:val="20"/>
              </w:rPr>
            </w:pPr>
            <w:r>
              <w:rPr>
                <w:sz w:val="20"/>
              </w:rPr>
              <w:t>(3)</w:t>
            </w:r>
          </w:p>
        </w:tc>
        <w:tc>
          <w:tcPr>
            <w:tcW w:w="9961"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both"/>
              <w:rPr>
                <w:sz w:val="20"/>
              </w:rPr>
            </w:pPr>
            <w:r>
              <w:rPr>
                <w:sz w:val="20"/>
              </w:rPr>
              <w:t>(4)</w:t>
            </w:r>
          </w:p>
        </w:tc>
        <w:tc>
          <w:tcPr>
            <w:tcW w:w="10000" w:type="dxa"/>
            <w:tcBorders/>
            <w:vAlign w:val="center"/>
          </w:tcPr>
          <w:p>
            <w:pPr>
              <w:pStyle w:val="TableContents"/>
              <w:bidi w:val="0"/>
              <w:spacing w:before="0" w:after="283"/>
              <w:jc w:val="both"/>
              <w:rPr>
                <w:sz w:val="20"/>
              </w:rPr>
            </w:pPr>
            <w:r>
              <w:rPr>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both"/>
              <w:rPr>
                <w:sz w:val="20"/>
              </w:rPr>
            </w:pPr>
            <w:r>
              <w:rPr>
                <w:sz w:val="20"/>
              </w:rPr>
              <w:t>(5)</w:t>
            </w:r>
          </w:p>
        </w:tc>
        <w:tc>
          <w:tcPr>
            <w:tcW w:w="9959"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26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(i)</w:t>
            </w:r>
          </w:p>
        </w:tc>
        <w:tc>
          <w:tcPr>
            <w:tcW w:w="9938" w:type="dxa"/>
            <w:tcBorders/>
            <w:vAlign w:val="center"/>
          </w:tcPr>
          <w:p>
            <w:pPr>
              <w:pStyle w:val="TableContents"/>
              <w:bidi w:val="0"/>
              <w:spacing w:before="0" w:after="283"/>
              <w:jc w:val="both"/>
              <w:rPr>
                <w:sz w:val="20"/>
              </w:rPr>
            </w:pPr>
            <w:r>
              <w:rPr>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(ii)</w:t>
            </w:r>
          </w:p>
        </w:tc>
        <w:tc>
          <w:tcPr>
            <w:tcW w:w="9885" w:type="dxa"/>
            <w:tcBorders/>
            <w:vAlign w:val="center"/>
          </w:tcPr>
          <w:p>
            <w:pPr>
              <w:pStyle w:val="TableContents"/>
              <w:bidi w:val="0"/>
              <w:spacing w:before="0" w:after="283"/>
              <w:jc w:val="both"/>
              <w:rPr>
                <w:sz w:val="20"/>
              </w:rPr>
            </w:pPr>
            <w:r>
              <w:rPr>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20"/>
              </w:rPr>
            </w:pPr>
            <w:r>
              <w:rPr>
                <w:sz w:val="20"/>
              </w:rPr>
              <w:t>(iii)</w:t>
            </w:r>
          </w:p>
        </w:tc>
        <w:tc>
          <w:tcPr>
            <w:tcW w:w="9838" w:type="dxa"/>
            <w:tcBorders/>
            <w:vAlign w:val="center"/>
          </w:tcPr>
          <w:p>
            <w:pPr>
              <w:pStyle w:val="TableContents"/>
              <w:bidi w:val="0"/>
              <w:spacing w:before="0" w:after="283"/>
              <w:jc w:val="both"/>
              <w:rPr>
                <w:sz w:val="20"/>
              </w:rPr>
            </w:pPr>
            <w:r>
              <w:rPr>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305"/>
        <w:gridCol w:w="891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20"/>
              </w:rPr>
            </w:pPr>
            <w:r>
              <w:rPr>
                <w:sz w:val="20"/>
              </w:rPr>
              <w:t>(iv)</w:t>
            </w:r>
          </w:p>
        </w:tc>
        <w:tc>
          <w:tcPr>
            <w:tcW w:w="8915" w:type="dxa"/>
            <w:tcBorders/>
            <w:vAlign w:val="center"/>
          </w:tcPr>
          <w:p>
            <w:pPr>
              <w:pStyle w:val="TableContents"/>
              <w:bidi w:val="0"/>
              <w:spacing w:before="0" w:after="283"/>
              <w:jc w:val="both"/>
              <w:rPr>
                <w:sz w:val="20"/>
              </w:rPr>
            </w:pPr>
            <w:r>
              <w:rPr>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sz w:val="20"/>
              </w:rPr>
            </w:pPr>
            <w:r>
              <w:rPr>
                <w:sz w:val="20"/>
              </w:rPr>
              <w:t>(b)</w:t>
            </w:r>
          </w:p>
        </w:tc>
        <w:tc>
          <w:tcPr>
            <w:tcW w:w="9999" w:type="dxa"/>
            <w:tcBorders/>
            <w:vAlign w:val="center"/>
          </w:tcPr>
          <w:p>
            <w:pPr>
              <w:pStyle w:val="TableContents"/>
              <w:bidi w:val="0"/>
              <w:spacing w:before="0" w:after="283"/>
              <w:jc w:val="both"/>
              <w:rPr>
                <w:sz w:val="20"/>
              </w:rPr>
            </w:pPr>
            <w:r>
              <w:rPr>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tc>
      </w:tr>
    </w:tbl>
    <w:p>
      <w:pPr>
        <w:pStyle w:val="TextBody"/>
        <w:bidi w:val="0"/>
        <w:spacing w:before="0" w:after="0"/>
        <w:ind w:left="268"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45"/>
        <w:gridCol w:w="4235"/>
      </w:tblGrid>
      <w:tr>
        <w:trPr/>
        <w:tc>
          <w:tcPr>
            <w:tcW w:w="245" w:type="dxa"/>
            <w:tcBorders/>
            <w:vAlign w:val="center"/>
          </w:tcPr>
          <w:p>
            <w:pPr>
              <w:pStyle w:val="TableContents"/>
              <w:bidi w:val="0"/>
              <w:spacing w:before="0" w:after="283"/>
              <w:jc w:val="both"/>
              <w:rPr>
                <w:sz w:val="20"/>
              </w:rPr>
            </w:pPr>
            <w:r>
              <w:rPr>
                <w:sz w:val="20"/>
              </w:rPr>
              <w:t>(c)</w:t>
            </w:r>
          </w:p>
        </w:tc>
        <w:tc>
          <w:tcPr>
            <w:tcW w:w="4235" w:type="dxa"/>
            <w:tcBorders/>
            <w:vAlign w:val="center"/>
          </w:tcPr>
          <w:p>
            <w:pPr>
              <w:pStyle w:val="TableContents"/>
              <w:bidi w:val="0"/>
              <w:spacing w:before="0" w:after="283"/>
              <w:jc w:val="both"/>
              <w:rPr>
                <w:sz w:val="20"/>
              </w:rPr>
            </w:pPr>
            <w:r>
              <w:rPr>
                <w:sz w:val="20"/>
              </w:rPr>
              <w:t>The undersigned Registrant hereby undertakes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i.</w:t>
            </w:r>
          </w:p>
        </w:tc>
        <w:tc>
          <w:tcPr>
            <w:tcW w:w="10005" w:type="dxa"/>
            <w:tcBorders/>
            <w:vAlign w:val="center"/>
          </w:tcPr>
          <w:p>
            <w:pPr>
              <w:pStyle w:val="TableContents"/>
              <w:bidi w:val="0"/>
              <w:spacing w:before="0" w:after="283"/>
              <w:jc w:val="both"/>
              <w:rPr>
                <w:sz w:val="20"/>
              </w:rPr>
            </w:pPr>
            <w:r>
              <w:rPr>
                <w:sz w:val="20"/>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ii.</w:t>
            </w:r>
          </w:p>
        </w:tc>
        <w:tc>
          <w:tcPr>
            <w:tcW w:w="9945" w:type="dxa"/>
            <w:tcBorders/>
            <w:vAlign w:val="center"/>
          </w:tcPr>
          <w:p>
            <w:pPr>
              <w:pStyle w:val="TableContents"/>
              <w:bidi w:val="0"/>
              <w:spacing w:before="0" w:after="283"/>
              <w:jc w:val="both"/>
              <w:rPr>
                <w:sz w:val="20"/>
              </w:rPr>
            </w:pPr>
            <w:r>
              <w:rPr>
                <w:sz w:val="20"/>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i/>
                <w:sz w:val="20"/>
              </w:rPr>
              <w:t>bona fide</w:t>
            </w:r>
            <w:r>
              <w:rPr>
                <w:sz w:val="20"/>
              </w:rPr>
              <w:t xml:space="preserv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 duly authorized, on September 10, 2026.</w:t>
      </w:r>
    </w:p>
    <w:p>
      <w:pPr>
        <w:pStyle w:val="TextBody"/>
        <w:bidi w:val="0"/>
        <w:spacing w:before="0" w:after="0"/>
        <w:ind w:left="0" w:right="0" w:hanging="0"/>
        <w:jc w:val="left"/>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352"/>
        <w:gridCol w:w="2547"/>
        <w:gridCol w:w="75"/>
      </w:tblGrid>
      <w:tr>
        <w:trPr/>
        <w:tc>
          <w:tcPr>
            <w:tcW w:w="2899" w:type="dxa"/>
            <w:gridSpan w:val="2"/>
            <w:tcBorders/>
            <w:vAlign w:val="center"/>
          </w:tcPr>
          <w:p>
            <w:pPr>
              <w:pStyle w:val="TableContents"/>
              <w:bidi w:val="0"/>
              <w:spacing w:before="0" w:after="283"/>
              <w:jc w:val="left"/>
              <w:rPr>
                <w:b/>
                <w:sz w:val="20"/>
              </w:rPr>
            </w:pPr>
            <w:r>
              <w:rPr>
                <w:b/>
                <w:sz w:val="20"/>
              </w:rPr>
              <w:t>NEWGENIVF GROUP LIMITED</w:t>
            </w:r>
          </w:p>
        </w:tc>
        <w:tc>
          <w:tcPr>
            <w:tcW w:w="75" w:type="dxa"/>
            <w:tcBorders/>
            <w:vAlign w:val="center"/>
          </w:tcPr>
          <w:p>
            <w:pPr>
              <w:pStyle w:val="TableContents"/>
              <w:bidi w:val="0"/>
              <w:spacing w:before="0" w:after="283"/>
              <w:jc w:val="left"/>
              <w:rPr/>
            </w:pPr>
            <w:r>
              <w:rPr/>
              <w:t> </w:t>
            </w:r>
          </w:p>
        </w:tc>
      </w:tr>
      <w:tr>
        <w:trPr/>
        <w:tc>
          <w:tcPr>
            <w:tcW w:w="352" w:type="dxa"/>
            <w:tcBorders/>
            <w:vAlign w:val="center"/>
          </w:tcPr>
          <w:p>
            <w:pPr>
              <w:pStyle w:val="TableContents"/>
              <w:bidi w:val="0"/>
              <w:spacing w:before="0" w:after="283"/>
              <w:jc w:val="left"/>
              <w:rPr/>
            </w:pPr>
            <w:r>
              <w:rPr/>
              <w:t> </w:t>
            </w:r>
          </w:p>
        </w:tc>
        <w:tc>
          <w:tcPr>
            <w:tcW w:w="25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2" w:type="dxa"/>
            <w:tcBorders/>
            <w:vAlign w:val="center"/>
          </w:tcPr>
          <w:p>
            <w:pPr>
              <w:pStyle w:val="TableContents"/>
              <w:bidi w:val="0"/>
              <w:spacing w:before="0" w:after="283"/>
              <w:jc w:val="left"/>
              <w:rPr>
                <w:sz w:val="20"/>
              </w:rPr>
            </w:pPr>
            <w:r>
              <w:rPr>
                <w:sz w:val="20"/>
              </w:rPr>
              <w:t>By:</w:t>
            </w:r>
          </w:p>
        </w:tc>
        <w:tc>
          <w:tcPr>
            <w:tcW w:w="2547"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352" w:type="dxa"/>
            <w:tcBorders/>
            <w:vAlign w:val="center"/>
          </w:tcPr>
          <w:p>
            <w:pPr>
              <w:pStyle w:val="TableContents"/>
              <w:bidi w:val="0"/>
              <w:spacing w:before="0" w:after="283"/>
              <w:jc w:val="left"/>
              <w:rPr/>
            </w:pPr>
            <w:r>
              <w:rPr/>
              <w:t> </w:t>
            </w:r>
          </w:p>
        </w:tc>
        <w:tc>
          <w:tcPr>
            <w:tcW w:w="2547"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352" w:type="dxa"/>
            <w:tcBorders/>
            <w:vAlign w:val="center"/>
          </w:tcPr>
          <w:p>
            <w:pPr>
              <w:pStyle w:val="TableContents"/>
              <w:bidi w:val="0"/>
              <w:spacing w:before="0" w:after="283"/>
              <w:jc w:val="left"/>
              <w:rPr/>
            </w:pPr>
            <w:r>
              <w:rPr/>
              <w:t> </w:t>
            </w:r>
          </w:p>
        </w:tc>
        <w:tc>
          <w:tcPr>
            <w:tcW w:w="2547"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8"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on Form F-1 has been signed by the following persons in the capacities and on the dates indicated.</w:t>
      </w:r>
    </w:p>
    <w:p>
      <w:pPr>
        <w:pStyle w:val="TextBody"/>
        <w:bidi w:val="0"/>
        <w:spacing w:before="0" w:after="0"/>
        <w:jc w:val="left"/>
        <w:rPr>
          <w:caps w:val="false"/>
          <w:smallCaps w:val="false"/>
        </w:rPr>
      </w:pPr>
      <w:r>
        <w:rPr>
          <w:caps w:val="false"/>
          <w:smallCaps w:val="false"/>
        </w:rPr>
        <w:t> </w:t>
      </w:r>
    </w:p>
    <w:tbl>
      <w:tblPr>
        <w:tblW w:w="7365" w:type="dxa"/>
        <w:jc w:val="left"/>
        <w:tblInd w:w="0" w:type="dxa"/>
        <w:tblLayout w:type="fixed"/>
        <w:tblCellMar>
          <w:top w:w="0" w:type="dxa"/>
          <w:left w:w="0" w:type="dxa"/>
          <w:bottom w:w="28" w:type="dxa"/>
          <w:right w:w="0" w:type="dxa"/>
        </w:tblCellMar>
      </w:tblPr>
      <w:tblGrid>
        <w:gridCol w:w="2555"/>
        <w:gridCol w:w="60"/>
        <w:gridCol w:w="3035"/>
        <w:gridCol w:w="60"/>
        <w:gridCol w:w="1655"/>
      </w:tblGrid>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0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Wing Fung Alfred Siu</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Chief Marketing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 Yue Tina Fong</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Hok Man Jefferson Au</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2026</w:t>
            </w:r>
          </w:p>
        </w:tc>
      </w:tr>
      <w:tr>
        <w:trPr/>
        <w:tc>
          <w:tcPr>
            <w:tcW w:w="2555" w:type="dxa"/>
            <w:tcBorders>
              <w:top w:val="single" w:sz="12" w:space="0" w:color="000000"/>
            </w:tcBorders>
            <w:tcMar>
              <w:top w:w="28"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Florianna Ann Chi Wan Chan</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Tam Chun Wa</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Lee Sze Mun</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Kong Yiu Cheung</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Lam Chun Tung Patrick</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 Tsz Hin Vincent</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 Fai Chung</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pPr>
            <w:r>
              <w:rPr/>
              <w:t>*/s/ Wing Fung Alfred Siu</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Wing Fung Alfred Siu</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Attorney-in-fact</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America of NewGenIvf Group Limited, has signed this registration statement in on September 10, 2026.</w:t>
      </w:r>
    </w:p>
    <w:p>
      <w:pPr>
        <w:pStyle w:val="TextBody"/>
        <w:bidi w:val="0"/>
        <w:spacing w:before="0" w:after="0"/>
        <w:ind w:left="0" w:right="0" w:firstLine="72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
        <w:gridCol w:w="590"/>
        <w:gridCol w:w="4520"/>
      </w:tblGrid>
      <w:tr>
        <w:trPr/>
        <w:tc>
          <w:tcPr>
            <w:tcW w:w="75" w:type="dxa"/>
            <w:tcBorders/>
            <w:vAlign w:val="center"/>
          </w:tcPr>
          <w:p>
            <w:pPr>
              <w:pStyle w:val="TableContents"/>
              <w:bidi w:val="0"/>
              <w:spacing w:before="0" w:after="283"/>
              <w:jc w:val="both"/>
              <w:rPr/>
            </w:pPr>
            <w:r>
              <w:rPr/>
              <w:t> </w:t>
            </w:r>
          </w:p>
        </w:tc>
        <w:tc>
          <w:tcPr>
            <w:tcW w:w="5110" w:type="dxa"/>
            <w:gridSpan w:val="2"/>
            <w:tcBorders/>
            <w:vAlign w:val="center"/>
          </w:tcPr>
          <w:p>
            <w:pPr>
              <w:pStyle w:val="TableContents"/>
              <w:bidi w:val="0"/>
              <w:spacing w:before="0" w:after="283"/>
              <w:jc w:val="both"/>
              <w:rPr>
                <w:b/>
                <w:sz w:val="20"/>
              </w:rPr>
            </w:pPr>
            <w:r>
              <w:rPr>
                <w:b/>
                <w:sz w:val="20"/>
              </w:rPr>
              <w:t>COGENCY GLOBAL INC.</w:t>
            </w:r>
          </w:p>
        </w:tc>
      </w:tr>
      <w:tr>
        <w:trPr/>
        <w:tc>
          <w:tcPr>
            <w:tcW w:w="75" w:type="dxa"/>
            <w:tcBorders/>
            <w:vAlign w:val="center"/>
          </w:tcPr>
          <w:p>
            <w:pPr>
              <w:pStyle w:val="TableContents"/>
              <w:bidi w:val="0"/>
              <w:spacing w:before="0" w:after="283"/>
              <w:jc w:val="left"/>
              <w:rPr/>
            </w:pPr>
            <w:r>
              <w:rPr/>
              <w:t> </w:t>
            </w:r>
          </w:p>
        </w:tc>
        <w:tc>
          <w:tcPr>
            <w:tcW w:w="511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452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4520" w:type="dxa"/>
            <w:tcBorders/>
            <w:vAlign w:val="center"/>
          </w:tcPr>
          <w:p>
            <w:pPr>
              <w:pStyle w:val="TableContents"/>
              <w:bidi w:val="0"/>
              <w:spacing w:before="0" w:after="283"/>
              <w:jc w:val="left"/>
              <w:rPr>
                <w:sz w:val="20"/>
              </w:rPr>
            </w:pPr>
            <w:r>
              <w:rPr>
                <w:sz w:val="20"/>
              </w:rPr>
              <w:t>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4520" w:type="dxa"/>
            <w:tcBorders/>
            <w:vAlign w:val="center"/>
          </w:tcPr>
          <w:p>
            <w:pPr>
              <w:pStyle w:val="TableContents"/>
              <w:bidi w:val="0"/>
              <w:spacing w:before="0" w:after="283"/>
              <w:jc w:val="left"/>
              <w:rPr>
                <w:sz w:val="20"/>
              </w:rPr>
            </w:pPr>
            <w:r>
              <w:rPr>
                <w:sz w:val="20"/>
              </w:rPr>
              <w:t>Senior Vice President on behalf of Cogency Global Inc.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30508401ex5-1.htm"/>
      <w:bookmarkStart w:id="32" w:name="ksea030508401ex51"/>
      <w:bookmarkEnd w:id="31"/>
      <w:bookmarkEnd w:id="32"/>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23950" cy="4572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99"/>
                    <a:stretch>
                      <a:fillRect/>
                    </a:stretch>
                  </pic:blipFill>
                  <pic:spPr bwMode="auto">
                    <a:xfrm>
                      <a:off x="0" y="0"/>
                      <a:ext cx="1123950"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2465"/>
        <w:gridCol w:w="60"/>
        <w:gridCol w:w="3125"/>
      </w:tblGrid>
      <w:tr>
        <w:trPr/>
        <w:tc>
          <w:tcPr>
            <w:tcW w:w="2465" w:type="dxa"/>
            <w:vMerge w:val="restart"/>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Ritter House, Wickham Cay II</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3170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 Town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Tortola, VG1110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 +852 3656 6054 / +852 3656 6010</w:t>
            </w:r>
          </w:p>
        </w:tc>
      </w:tr>
      <w:tr>
        <w:trPr/>
        <w:tc>
          <w:tcPr>
            <w:tcW w:w="24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294" w:right="0" w:hanging="29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nathan.powell@ogier.com</w:t>
            </w:r>
          </w:p>
          <w:p>
            <w:pPr>
              <w:pStyle w:val="TableContents"/>
              <w:bidi w:val="0"/>
              <w:spacing w:before="0" w:after="0"/>
              <w:ind w:left="294" w:right="0" w:hanging="142"/>
              <w:jc w:val="both"/>
              <w:rPr>
                <w:caps w:val="false"/>
                <w:smallCaps w:val="false"/>
              </w:rPr>
            </w:pPr>
            <w:r>
              <w:rPr>
                <w:caps w:val="false"/>
                <w:smallCaps w:val="false"/>
              </w:rPr>
              <w:t>  </w:t>
            </w:r>
            <w:r>
              <w:rPr>
                <w:rFonts w:ascii="Times New Roman;Times;Serif" w:hAnsi="Times New Roman;Times;Serif"/>
                <w:b/>
                <w:i w:val="false"/>
                <w:caps w:val="false"/>
                <w:smallCaps w:val="false"/>
                <w:sz w:val="20"/>
              </w:rPr>
              <w:t>rachel.huang@ogier.com</w:t>
            </w:r>
          </w:p>
        </w:tc>
      </w:tr>
      <w:tr>
        <w:trPr/>
        <w:tc>
          <w:tcPr>
            <w:tcW w:w="24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4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Reference: NMP/RYH/509512.00023</w:t>
            </w:r>
          </w:p>
        </w:tc>
      </w:tr>
      <w:tr>
        <w:trPr/>
        <w:tc>
          <w:tcPr>
            <w:tcW w:w="24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 September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 (Company number: 2116988)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counsel as to British Virgin Islands law to the Company in connection with the Company’s registration statement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on Form F-1, such registration statement including all amendments or supplements to such form filed with the Commission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The Registration Statement relates to the offering and sale, on a best-efforts basis, of (i) up to 5,454,545 class A ordinary shares with no par value of the Company (the </w:t>
      </w:r>
      <w:r>
        <w:rPr>
          <w:rFonts w:ascii="Times New Roman;Times;Serif" w:hAnsi="Times New Roman;Times;Serif"/>
          <w:b/>
          <w:i w:val="false"/>
          <w:caps w:val="false"/>
          <w:smallCaps w:val="false"/>
          <w:sz w:val="20"/>
        </w:rPr>
        <w:t>Class A Shares</w:t>
      </w:r>
      <w:r>
        <w:rPr>
          <w:rFonts w:ascii="Times New Roman;Times;Serif" w:hAnsi="Times New Roman;Times;Serif"/>
          <w:b w:val="false"/>
          <w:i w:val="false"/>
          <w:caps w:val="false"/>
          <w:smallCaps w:val="false"/>
          <w:sz w:val="20"/>
        </w:rPr>
        <w:t xml:space="preserve">), (ii) 2,727,272 pre-funded warrants to purchase up to 2,727,272 Class A Shares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xml:space="preserve">) and (iii) 2,727,272 Class A Shares issuable upon exercise of the Warrants. The Registration Statement further relates to the offer and sale by Vanquish Funding Group Inc., White Lion Capital LLC, and Pacific Pier Capital II, LP (collectively,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xml:space="preserve">) of up to 4,364,044 Class A Shares issuable upon conversion of certain outstanding convertible promissory notes of the Company held by the Selling Securityholders (the </w:t>
      </w:r>
      <w:r>
        <w:rPr>
          <w:rFonts w:ascii="Times New Roman;Times;Serif" w:hAnsi="Times New Roman;Times;Serif"/>
          <w:b/>
          <w:i w:val="false"/>
          <w:caps w:val="false"/>
          <w:smallCaps w:val="false"/>
          <w:sz w:val="20"/>
        </w:rPr>
        <w:t>Resale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and 23.2 to the Registration Statement.</w:t>
      </w:r>
    </w:p>
    <w:p>
      <w:pPr>
        <w:pStyle w:val="TextBody"/>
        <w:bidi w:val="0"/>
        <w:spacing w:before="0" w:after="0"/>
        <w:ind w:left="720" w:right="0" w:hanging="720"/>
        <w:jc w:val="both"/>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14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1</w:t>
            </w:r>
          </w:p>
        </w:tc>
        <w:tc>
          <w:tcPr>
            <w:tcW w:w="1175" w:type="dxa"/>
            <w:tcBorders/>
            <w:vAlign w:val="center"/>
          </w:tcPr>
          <w:p>
            <w:pPr>
              <w:pStyle w:val="TableContents"/>
              <w:bidi w:val="0"/>
              <w:spacing w:before="0" w:after="283"/>
              <w:jc w:val="both"/>
              <w:rPr>
                <w:b/>
              </w:rPr>
            </w:pPr>
            <w:r>
              <w:rPr>
                <w:b/>
              </w:rPr>
              <w:t>Documents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originals, copies, or drafts of the documents set forth in Schedule 1. In addition, we have examined the corporate and other documents and conducted the searches listed in Schedule 1.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tbl>
      <w:tblPr>
        <w:tblW w:w="9920" w:type="dxa"/>
        <w:jc w:val="left"/>
        <w:tblInd w:w="0" w:type="dxa"/>
        <w:tblLayout w:type="fixed"/>
        <w:tblCellMar>
          <w:top w:w="0" w:type="dxa"/>
          <w:left w:w="0" w:type="dxa"/>
          <w:bottom w:w="0" w:type="dxa"/>
          <w:right w:w="0" w:type="dxa"/>
        </w:tblCellMar>
      </w:tblPr>
      <w:tblGrid>
        <w:gridCol w:w="3515"/>
        <w:gridCol w:w="1535"/>
        <w:gridCol w:w="1655"/>
        <w:gridCol w:w="3215"/>
      </w:tblGrid>
      <w:tr>
        <w:trPr/>
        <w:tc>
          <w:tcPr>
            <w:tcW w:w="351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advice on British Virgin Islands,</w:t>
              <w:br/>
              <w:t>Cayman Islands and Guernsey 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11 Central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Queen’s Road Central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+852 3656 6000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+852 3656 6001</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ogier.com</w:t>
            </w:r>
          </w:p>
        </w:tc>
        <w:tc>
          <w:tcPr>
            <w:tcW w:w="153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Plowman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Powell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Oakes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Payne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Hodson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Nelson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Joanne Collett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Li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Cecilia Li</w:t>
            </w:r>
          </w:p>
        </w:tc>
        <w:tc>
          <w:tcPr>
            <w:tcW w:w="16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Yuki Yan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Wong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Janice Chu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 Rong Ooi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Huang**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Florence Chan*</w:t>
            </w:r>
            <w:r>
              <w:rPr>
                <w:rFonts w:ascii="Times New Roman;Times;Serif" w:hAnsi="Times New Roman;Times;Serif"/>
                <w:b w:val="false"/>
                <w:i w:val="false"/>
                <w:caps w:val="false"/>
                <w:smallCaps w:val="false"/>
                <w:position w:val="7"/>
                <w:sz w:val="16"/>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Bennett**</w:t>
            </w:r>
            <w:r>
              <w:rPr>
                <w:rFonts w:ascii="Times New Roman;Times;Serif" w:hAnsi="Times New Roman;Times;Serif"/>
                <w:b w:val="false"/>
                <w:i w:val="false"/>
                <w:caps w:val="false"/>
                <w:smallCaps w:val="false"/>
                <w:position w:val="7"/>
                <w:sz w:val="16"/>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Bergstrom</w:t>
            </w:r>
            <w:r>
              <w:rPr>
                <w:rFonts w:ascii="Times New Roman;Times;Serif" w:hAnsi="Times New Roman;Times;Serif"/>
                <w:b w:val="false"/>
                <w:i w:val="false"/>
                <w:caps w:val="false"/>
                <w:smallCaps w:val="false"/>
                <w:position w:val="7"/>
                <w:sz w:val="16"/>
                <w:sz w:val="20"/>
              </w:rPr>
              <w:t>‡</w:t>
            </w:r>
          </w:p>
        </w:tc>
        <w:tc>
          <w:tcPr>
            <w:tcW w:w="32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New Zealand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England and Wales</w:t>
            </w:r>
          </w:p>
          <w:p>
            <w:pPr>
              <w:pStyle w:val="TableContents"/>
              <w:bidi w:val="0"/>
              <w:spacing w:before="0" w:after="0"/>
              <w:ind w:left="0" w:right="0" w:hanging="0"/>
              <w:jc w:val="left"/>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20"/>
              </w:rPr>
              <w:t>not ordinarily resident in Hong Kong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941"/>
        <w:gridCol w:w="9009"/>
      </w:tblGrid>
      <w:tr>
        <w:trPr/>
        <w:tc>
          <w:tcPr>
            <w:tcW w:w="25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b/>
              </w:rPr>
            </w:pPr>
            <w:r>
              <w:rPr>
                <w:b/>
              </w:rPr>
              <w:t>2</w:t>
            </w:r>
          </w:p>
        </w:tc>
        <w:tc>
          <w:tcPr>
            <w:tcW w:w="9009" w:type="dxa"/>
            <w:tcBorders/>
            <w:vAlign w:val="center"/>
          </w:tcPr>
          <w:p>
            <w:pPr>
              <w:pStyle w:val="TableContents"/>
              <w:bidi w:val="0"/>
              <w:spacing w:before="0" w:after="283"/>
              <w:jc w:val="both"/>
              <w:rPr>
                <w:b/>
              </w:rPr>
            </w:pPr>
            <w:r>
              <w:rPr>
                <w:b/>
              </w:rPr>
              <w:t>Assumptions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0"/>
        <w:ind w:left="1440" w:right="0" w:hanging="72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7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305"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pPr>
            <w:r>
              <w:rPr/>
              <w:t>all copies of documents examined by us (whether in facsimile, electronic or other form) conform to the originals and those originals are authentic and complete;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(d)</w:t>
            </w:r>
          </w:p>
        </w:tc>
        <w:tc>
          <w:tcPr>
            <w:tcW w:w="9911" w:type="dxa"/>
            <w:tcBorders/>
            <w:vAlign w:val="center"/>
          </w:tcPr>
          <w:p>
            <w:pPr>
              <w:pStyle w:val="TableContents"/>
              <w:bidi w:val="0"/>
              <w:spacing w:before="0" w:after="283"/>
              <w:jc w:val="both"/>
              <w:rPr/>
            </w:pPr>
            <w:r>
              <w:rPr/>
              <w:t>each of the Certificate of Incumbency, the Certificate of Good Standing and the Registers (each as defined in Schedule 1) is accurate and complete as at the date of this opinion;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8" w:type="dxa"/>
            <w:tcBorders/>
            <w:vAlign w:val="center"/>
          </w:tcPr>
          <w:p>
            <w:pPr>
              <w:pStyle w:val="TableContents"/>
              <w:bidi w:val="0"/>
              <w:spacing w:before="0" w:after="283"/>
              <w:jc w:val="both"/>
              <w:rPr/>
            </w:pPr>
            <w:r>
              <w:rPr/>
              <w:t>all copies of the Documents (as defined in Schedule 1) are true and correct copies and the Documents conform in every material respect to the latest drafts of the same produced to us and, where any of the Documents have been provided to us in successive drafts marked-up to indicate changes to such documents, all such changes have been so indicated;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both"/>
              <w:rPr/>
            </w:pPr>
            <w:r>
              <w:rPr/>
              <w:t>the Directors Resolutions (as defined in Schedule 1) remain in full force and effect and each of the directors of the Company has acted in good faith with a view to the best interests of the Company and has exercised the standard of care, diligence and skill that is required of him or her in approving the transactions approved in the Directors Resolutions and each of the directors does not have a financial interest in or other relationship to a party of the transactions approved in the Directors Resolutions which has not been properly disclosed in the Directors Resolutions;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both"/>
              <w:rPr/>
            </w:pPr>
            <w:r>
              <w:rPr/>
              <w:t>all parties to any of the Documents other than the Company (and other than any party that is an individual) are duly incorporated, formed or organised (as applicable), validly existing and in good standing under all relevant laws;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(h)</w:t>
            </w:r>
          </w:p>
        </w:tc>
        <w:tc>
          <w:tcPr>
            <w:tcW w:w="9911" w:type="dxa"/>
            <w:tcBorders/>
            <w:vAlign w:val="center"/>
          </w:tcPr>
          <w:p>
            <w:pPr>
              <w:pStyle w:val="TableContents"/>
              <w:bidi w:val="0"/>
              <w:spacing w:before="0" w:after="283"/>
              <w:jc w:val="both"/>
              <w:rPr/>
            </w:pPr>
            <w:r>
              <w:rPr/>
              <w:t>all parties to any of the Documents (other than the Company) have the capacity, power and authority to exercise their rights and perform their obligations under such Documents;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987" w:type="dxa"/>
            <w:tcBorders/>
            <w:vAlign w:val="center"/>
          </w:tcPr>
          <w:p>
            <w:pPr>
              <w:pStyle w:val="TableContents"/>
              <w:bidi w:val="0"/>
              <w:spacing w:before="0" w:after="283"/>
              <w:jc w:val="both"/>
              <w:rPr/>
            </w:pPr>
            <w:r>
              <w:rPr/>
              <w:t>each of the Documents have been or, as the case may be, will be duly authorised, executed and unconditionally delivered by or on behalf of all parties to it in accordance with all applicable laws (other than, in the case of the Company, the laws of the British Virgin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(j)</w:t>
            </w:r>
          </w:p>
        </w:tc>
        <w:tc>
          <w:tcPr>
            <w:tcW w:w="9976" w:type="dxa"/>
            <w:tcBorders/>
            <w:vAlign w:val="center"/>
          </w:tcPr>
          <w:p>
            <w:pPr>
              <w:pStyle w:val="TableContents"/>
              <w:bidi w:val="0"/>
              <w:spacing w:before="0" w:after="283"/>
              <w:jc w:val="both"/>
              <w:rPr/>
            </w:pPr>
            <w:r>
              <w:rPr/>
              <w:t>the Documents will be signed on behalf of the Company by the person(s) authorised by the Company in the Director Resolutions, dated and unconditionally delivered on behalf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(k)</w:t>
            </w:r>
          </w:p>
        </w:tc>
        <w:tc>
          <w:tcPr>
            <w:tcW w:w="9899" w:type="dxa"/>
            <w:tcBorders/>
            <w:vAlign w:val="center"/>
          </w:tcPr>
          <w:p>
            <w:pPr>
              <w:pStyle w:val="TableContents"/>
              <w:bidi w:val="0"/>
              <w:spacing w:before="0" w:after="283"/>
              <w:jc w:val="both"/>
              <w:rPr/>
            </w:pPr>
            <w:r>
              <w:rPr/>
              <w:t>the Documents will be duly executed, dated and delivered by all parties thereto in materially the same form as the last draft examined by us;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(l)</w:t>
            </w:r>
          </w:p>
        </w:tc>
        <w:tc>
          <w:tcPr>
            <w:tcW w:w="9985" w:type="dxa"/>
            <w:tcBorders/>
            <w:vAlign w:val="center"/>
          </w:tcPr>
          <w:p>
            <w:pPr>
              <w:pStyle w:val="TableContents"/>
              <w:bidi w:val="0"/>
              <w:spacing w:before="0" w:after="283"/>
              <w:jc w:val="both"/>
              <w:rPr/>
            </w:pPr>
            <w:r>
              <w:rPr/>
              <w:t>the obligations expressed to be assumed by the Company and by the other parties in each of the Documents constitute legal, valid, binding and enforceable obligations of such parties under all applicable laws (other than the laws of the British Virgin Islands);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(m)</w:t>
            </w:r>
          </w:p>
        </w:tc>
        <w:tc>
          <w:tcPr>
            <w:tcW w:w="9859"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British Virgin Islands. In particular, but without limitation to the previous sentence:</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64" w:type="dxa"/>
            <w:tcBorders/>
            <w:vAlign w:val="center"/>
          </w:tcPr>
          <w:p>
            <w:pPr>
              <w:pStyle w:val="TableContents"/>
              <w:bidi w:val="0"/>
              <w:spacing w:before="0" w:after="283"/>
              <w:jc w:val="both"/>
              <w:rPr/>
            </w:pPr>
            <w:r>
              <w:rPr/>
              <w:t>the laws or public policies of any jurisdiction other than the British Virgin Islands will not adversely affect the capacity or authority of the Company;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(ii)</w:t>
            </w:r>
          </w:p>
        </w:tc>
        <w:tc>
          <w:tcPr>
            <w:tcW w:w="9917" w:type="dxa"/>
            <w:tcBorders/>
            <w:vAlign w:val="center"/>
          </w:tcPr>
          <w:p>
            <w:pPr>
              <w:pStyle w:val="TableContents"/>
              <w:bidi w:val="0"/>
              <w:spacing w:before="0" w:after="283"/>
              <w:jc w:val="both"/>
              <w:rPr/>
            </w:pPr>
            <w:r>
              <w:rPr/>
              <w:t>neither the execution or delivery of the Documents nor the exercise by any party to the Documents of its rights or the performance of its obligations under them contravene those laws or public policies;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(n)</w:t>
            </w:r>
          </w:p>
        </w:tc>
        <w:tc>
          <w:tcPr>
            <w:tcW w:w="9930" w:type="dxa"/>
            <w:tcBorders/>
            <w:vAlign w:val="center"/>
          </w:tcPr>
          <w:p>
            <w:pPr>
              <w:pStyle w:val="TableContents"/>
              <w:bidi w:val="0"/>
              <w:spacing w:before="0" w:after="283"/>
              <w:jc w:val="both"/>
              <w:rPr/>
            </w:pPr>
            <w:r>
              <w:rPr/>
              <w:t>there are no agreements, documents or arrangements (other than the documents expressly referred to in this opinion as having been examined by us) that materially affect or modify the Documents or the transactions contemplated by them or restrict the powers and authority of the Company in any way;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(o)</w:t>
            </w:r>
          </w:p>
        </w:tc>
        <w:tc>
          <w:tcPr>
            <w:tcW w:w="9912" w:type="dxa"/>
            <w:tcBorders/>
            <w:vAlign w:val="center"/>
          </w:tcPr>
          <w:p>
            <w:pPr>
              <w:pStyle w:val="TableContents"/>
              <w:bidi w:val="0"/>
              <w:spacing w:before="0" w:after="283"/>
              <w:jc w:val="both"/>
              <w:rPr/>
            </w:pPr>
            <w:r>
              <w:rPr/>
              <w:t>there are no circumstances or matters of fact existing which may properly form the basis for an application for an order for rectification of the register of members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(p)</w:t>
            </w:r>
          </w:p>
        </w:tc>
        <w:tc>
          <w:tcPr>
            <w:tcW w:w="9935" w:type="dxa"/>
            <w:tcBorders/>
            <w:vAlign w:val="center"/>
          </w:tcPr>
          <w:p>
            <w:pPr>
              <w:pStyle w:val="TableContents"/>
              <w:bidi w:val="0"/>
              <w:spacing w:before="0" w:after="283"/>
              <w:jc w:val="both"/>
              <w:rPr/>
            </w:pPr>
            <w:r>
              <w:rPr/>
              <w:t>the certificates for the Class A Shares will conform to the specimen as set out thereof and upon issuance will have been duly countersigned by the transfer agent and duly registered by the registrar for the Class A Shares, or, if uncertificated, valid book-entry notations for the issuance of the Class A Shares in uncertificated form will have been duly made in the share register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(q)</w:t>
            </w:r>
          </w:p>
        </w:tc>
        <w:tc>
          <w:tcPr>
            <w:tcW w:w="9908" w:type="dxa"/>
            <w:tcBorders/>
            <w:vAlign w:val="center"/>
          </w:tcPr>
          <w:p>
            <w:pPr>
              <w:pStyle w:val="TableContents"/>
              <w:bidi w:val="0"/>
              <w:spacing w:before="0" w:after="283"/>
              <w:jc w:val="both"/>
              <w:rPr/>
            </w:pPr>
            <w:r>
              <w:rPr/>
              <w:t>no invitation has been or will be made by or on behalf of the Company to the public in the British Virgin Islands to subscribe for the Class A Shares or the Warrants;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(r)</w:t>
            </w:r>
          </w:p>
        </w:tc>
        <w:tc>
          <w:tcPr>
            <w:tcW w:w="9984" w:type="dxa"/>
            <w:tcBorders/>
            <w:vAlign w:val="center"/>
          </w:tcPr>
          <w:p>
            <w:pPr>
              <w:pStyle w:val="TableContents"/>
              <w:bidi w:val="0"/>
              <w:spacing w:before="0" w:after="283"/>
              <w:jc w:val="both"/>
              <w:rPr/>
            </w:pPr>
            <w:r>
              <w:rPr/>
              <w:t>the information and documents disclosed by the searches of the Public Records (as defined in Schedule 1) was and is accurate, up-to-date and remains unchanged as at the date hereof and there is no information or document which has been delivered for registration by any party (other than the Company), or which is required by the laws of the British Virgin Islands to be delivered for registration by any party (other than the Company), which was not included and available for inspection in the Public Records;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(s)</w:t>
            </w:r>
          </w:p>
        </w:tc>
        <w:tc>
          <w:tcPr>
            <w:tcW w:w="9963" w:type="dxa"/>
            <w:tcBorders/>
            <w:vAlign w:val="center"/>
          </w:tcPr>
          <w:p>
            <w:pPr>
              <w:pStyle w:val="TableContents"/>
              <w:bidi w:val="0"/>
              <w:spacing w:before="0" w:after="283"/>
              <w:jc w:val="both"/>
              <w:rPr/>
            </w:pPr>
            <w:r>
              <w:rPr/>
              <w:t xml:space="preserve">the Company has complied with, or will comply with when due, its obligations to file (unless the Company is within one of the statutory exceptions to the obligations to file) a financial return, its register of directors, its register of members and its beneficial ownership information pursuant to the BVI Business Companies Act, 2004 (the </w:t>
            </w:r>
            <w:r>
              <w:rPr>
                <w:b/>
              </w:rPr>
              <w:t>BCA</w:t>
            </w:r>
            <w:r>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(t)</w:t>
            </w:r>
          </w:p>
        </w:tc>
        <w:tc>
          <w:tcPr>
            <w:tcW w:w="9968" w:type="dxa"/>
            <w:tcBorders/>
            <w:vAlign w:val="center"/>
          </w:tcPr>
          <w:p>
            <w:pPr>
              <w:pStyle w:val="TableContents"/>
              <w:bidi w:val="0"/>
              <w:spacing w:before="0" w:after="283"/>
              <w:jc w:val="both"/>
              <w:rPr/>
            </w:pPr>
            <w:r>
              <w:rPr/>
              <w:t>there is no provision of the law of any jurisdiction, other than the British Virgin Islands, which would have any implication in relation to the opinions expressed herein.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3"/>
        <w:gridCol w:w="1267"/>
        <w:gridCol w:w="8595"/>
      </w:tblGrid>
      <w:tr>
        <w:trPr/>
        <w:tc>
          <w:tcPr>
            <w:tcW w:w="34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b/>
              </w:rPr>
            </w:pPr>
            <w:r>
              <w:rPr>
                <w:b/>
              </w:rPr>
              <w:t>3</w:t>
            </w:r>
          </w:p>
        </w:tc>
        <w:tc>
          <w:tcPr>
            <w:tcW w:w="8595" w:type="dxa"/>
            <w:tcBorders/>
            <w:vAlign w:val="center"/>
          </w:tcPr>
          <w:p>
            <w:pPr>
              <w:pStyle w:val="TableContents"/>
              <w:bidi w:val="0"/>
              <w:spacing w:before="0" w:after="283"/>
              <w:jc w:val="both"/>
              <w:rPr>
                <w:b/>
              </w:rPr>
            </w:pPr>
            <w:r>
              <w:rPr>
                <w:b/>
              </w:rPr>
              <w:t>Opinions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2 and the limitations set forth below, we are of the opinion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The Company is a company duly incorporated with limited liability under the BCA, and is validly existing and, based solely on the Certificate of Good Standing, is in good standing under the laws of the British Virgin Islands. It is a separate legal entity and subject to suit in its own name and has the capacity to sue in its own name.</w:t>
            </w:r>
          </w:p>
        </w:tc>
      </w:tr>
    </w:tbl>
    <w:p>
      <w:pPr>
        <w:pStyle w:val="TextBody"/>
        <w:bidi w:val="0"/>
        <w:spacing w:before="0" w:after="0"/>
        <w:ind w:left="698" w:right="0" w:hanging="0"/>
        <w:jc w:val="both"/>
        <w:rPr>
          <w:caps w:val="false"/>
          <w:smallCaps w:val="false"/>
        </w:rPr>
      </w:pPr>
      <w:r>
        <w:rPr>
          <w:caps w:val="false"/>
          <w:smallCaps w:val="false"/>
        </w:rPr>
        <w:t> </w:t>
      </w:r>
    </w:p>
    <w:p>
      <w:pPr>
        <w:pStyle w:val="TextBody"/>
        <w:bidi w:val="0"/>
        <w:spacing w:before="0" w:after="0"/>
        <w:ind w:left="69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number of shares</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The Company is authorised to issue an unlimited number of shares with no par value divided into three classes of shares as follows: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59"/>
        <w:gridCol w:w="9787"/>
      </w:tblGrid>
      <w:tr>
        <w:trPr/>
        <w:tc>
          <w:tcPr>
            <w:tcW w:w="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(i)</w:t>
            </w:r>
          </w:p>
        </w:tc>
        <w:tc>
          <w:tcPr>
            <w:tcW w:w="9787" w:type="dxa"/>
            <w:tcBorders/>
            <w:vAlign w:val="center"/>
          </w:tcPr>
          <w:p>
            <w:pPr>
              <w:pStyle w:val="TableContents"/>
              <w:bidi w:val="0"/>
              <w:spacing w:before="0" w:after="283"/>
              <w:jc w:val="both"/>
              <w:rPr/>
            </w:pPr>
            <w:r>
              <w:rPr/>
              <w:t>an unlimited number of class A ordinary shares with no par value;</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24"/>
        <w:gridCol w:w="9726"/>
      </w:tblGrid>
      <w:tr>
        <w:trPr/>
        <w:tc>
          <w:tcPr>
            <w:tcW w:w="5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pPr>
            <w:r>
              <w:rPr/>
              <w:t>(ii)</w:t>
            </w:r>
          </w:p>
        </w:tc>
        <w:tc>
          <w:tcPr>
            <w:tcW w:w="9726" w:type="dxa"/>
            <w:tcBorders/>
            <w:vAlign w:val="center"/>
          </w:tcPr>
          <w:p>
            <w:pPr>
              <w:pStyle w:val="TableContents"/>
              <w:bidi w:val="0"/>
              <w:spacing w:before="0" w:after="283"/>
              <w:jc w:val="both"/>
              <w:rPr/>
            </w:pPr>
            <w:r>
              <w:rPr/>
              <w:t>an unlimited number of class B ordinary shares with no par value;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600"/>
        <w:gridCol w:w="9541"/>
      </w:tblGrid>
      <w:tr>
        <w:trPr/>
        <w:tc>
          <w:tcPr>
            <w:tcW w:w="6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pPr>
            <w:r>
              <w:rPr/>
              <w:t>(iii)</w:t>
            </w:r>
          </w:p>
        </w:tc>
        <w:tc>
          <w:tcPr>
            <w:tcW w:w="9541" w:type="dxa"/>
            <w:tcBorders/>
            <w:vAlign w:val="center"/>
          </w:tcPr>
          <w:p>
            <w:pPr>
              <w:pStyle w:val="TableContents"/>
              <w:bidi w:val="0"/>
              <w:spacing w:before="0" w:after="283"/>
              <w:jc w:val="both"/>
              <w:rPr/>
            </w:pPr>
            <w:r>
              <w:rPr/>
              <w:t>an unlimited number of preferred shares with no par value.</w:t>
            </w:r>
          </w:p>
        </w:tc>
      </w:tr>
    </w:tbl>
    <w:p>
      <w:pPr>
        <w:pStyle w:val="TextBody"/>
        <w:bidi w:val="0"/>
        <w:spacing w:before="0" w:after="0"/>
        <w:ind w:left="698" w:right="0" w:hanging="0"/>
        <w:jc w:val="both"/>
        <w:rPr>
          <w:caps w:val="false"/>
          <w:smallCaps w:val="false"/>
        </w:rPr>
      </w:pPr>
      <w:r>
        <w:rPr>
          <w:caps w:val="false"/>
          <w:smallCaps w:val="false"/>
        </w:rPr>
        <w:t> </w:t>
      </w:r>
    </w:p>
    <w:p>
      <w:pPr>
        <w:pStyle w:val="TextBody"/>
        <w:bidi w:val="0"/>
        <w:spacing w:before="0" w:after="0"/>
        <w:ind w:left="69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Class A Shares</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(c)</w:t>
            </w:r>
          </w:p>
        </w:tc>
        <w:tc>
          <w:tcPr>
            <w:tcW w:w="9954" w:type="dxa"/>
            <w:tcBorders/>
            <w:vAlign w:val="center"/>
          </w:tcPr>
          <w:p>
            <w:pPr>
              <w:pStyle w:val="TableContents"/>
              <w:bidi w:val="0"/>
              <w:spacing w:before="0" w:after="283"/>
              <w:jc w:val="both"/>
              <w:rPr/>
            </w:pPr>
            <w:r>
              <w:rPr/>
              <w:t>The issuance and allotment of the Class A Shares by the Company as contemplated by the Registration Statement and the Documents (including the issuance of the Class A Shares upon the exercise of the Warrants in accordance with the Warrant Document and the issuance of the Resale Shares upon conversion of the convertible promissory notes of the Company held by the Selling Securityholders) have been duly authorised, and the Class A Shares, when issued by the Company upon:</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b w:val="false"/>
                <w:strike w:val="false"/>
                <w:dstrike w:val="false"/>
                <w:u w:val="none"/>
                <w:effect w:val="none"/>
              </w:rPr>
            </w:pPr>
            <w:r>
              <w:rPr>
                <w:b w:val="false"/>
                <w:strike w:val="false"/>
                <w:dstrike w:val="false"/>
                <w:u w:val="none"/>
                <w:effect w:val="none"/>
              </w:rPr>
              <w:t>(i)</w:t>
            </w:r>
          </w:p>
        </w:tc>
        <w:tc>
          <w:tcPr>
            <w:tcW w:w="10002" w:type="dxa"/>
            <w:tcBorders/>
            <w:vAlign w:val="center"/>
          </w:tcPr>
          <w:p>
            <w:pPr>
              <w:pStyle w:val="TableContents"/>
              <w:bidi w:val="0"/>
              <w:spacing w:before="0" w:after="283"/>
              <w:jc w:val="both"/>
              <w:rPr>
                <w:b w:val="false"/>
                <w:strike w:val="false"/>
                <w:dstrike w:val="false"/>
                <w:u w:val="none"/>
                <w:effect w:val="none"/>
              </w:rPr>
            </w:pPr>
            <w:r>
              <w:rPr>
                <w:b w:val="false"/>
                <w:strike w:val="false"/>
                <w:dstrike w:val="false"/>
                <w:u w:val="none"/>
                <w:effect w:val="none"/>
              </w:rPr>
              <w:t>payment in full of the consideration as set out in the Registration Statement and the Documents (as applicable) and in accordance with the terms set out in the Registration Statement and the Documents (as applicable) (including the issuance of the Class A Shares upon the exercise of the Warrants in accordance with the Warrant Document and the issuance of the Class A Shares upon conversion of the convertible promissory notes of the Company held by the Selling Securityholders) and in accordance with the Directors Resolutions and its then effective memorandum and articles of association; and</w:t>
            </w:r>
          </w:p>
        </w:tc>
      </w:tr>
    </w:tbl>
    <w:p>
      <w:pPr>
        <w:pStyle w:val="TextBody"/>
        <w:bidi w:val="0"/>
        <w:spacing w:before="0" w:after="0"/>
        <w:ind w:left="2126" w:right="0" w:hanging="708"/>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43"/>
        <w:gridCol w:w="331"/>
        <w:gridCol w:w="9831"/>
      </w:tblGrid>
      <w:tr>
        <w:trPr/>
        <w:tc>
          <w:tcPr>
            <w:tcW w:w="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b w:val="false"/>
                <w:strike w:val="false"/>
                <w:dstrike w:val="false"/>
                <w:u w:val="none"/>
                <w:effect w:val="none"/>
              </w:rPr>
            </w:pPr>
            <w:r>
              <w:rPr>
                <w:b w:val="false"/>
                <w:strike w:val="false"/>
                <w:dstrike w:val="false"/>
                <w:u w:val="none"/>
                <w:effect w:val="none"/>
              </w:rPr>
              <w:t>(ii)</w:t>
            </w:r>
          </w:p>
        </w:tc>
        <w:tc>
          <w:tcPr>
            <w:tcW w:w="9831" w:type="dxa"/>
            <w:tcBorders/>
            <w:vAlign w:val="center"/>
          </w:tcPr>
          <w:p>
            <w:pPr>
              <w:pStyle w:val="TableContents"/>
              <w:bidi w:val="0"/>
              <w:spacing w:before="0" w:after="283"/>
              <w:jc w:val="both"/>
              <w:rPr>
                <w:b w:val="false"/>
                <w:strike w:val="false"/>
                <w:dstrike w:val="false"/>
                <w:u w:val="none"/>
                <w:effect w:val="none"/>
              </w:rPr>
            </w:pPr>
            <w:r>
              <w:rPr>
                <w:b w:val="false"/>
                <w:strike w:val="false"/>
                <w:dstrike w:val="false"/>
                <w:u w:val="none"/>
                <w:effect w:val="none"/>
              </w:rPr>
              <w:t>the entry of those Class A Shares as fully paid on the register of members of the Company,</w:t>
            </w:r>
          </w:p>
        </w:tc>
      </w:tr>
    </w:tbl>
    <w:p>
      <w:pPr>
        <w:pStyle w:val="TextBody"/>
        <w:bidi w:val="0"/>
        <w:spacing w:before="0" w:after="0"/>
        <w:ind w:left="2126" w:right="0" w:hanging="70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1044"/>
        <w:gridCol w:w="8878"/>
      </w:tblGrid>
      <w:tr>
        <w:trPr/>
        <w:tc>
          <w:tcPr>
            <w:tcW w:w="28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b/>
              </w:rPr>
            </w:pPr>
            <w:r>
              <w:rPr>
                <w:b/>
              </w:rPr>
              <w:t>4</w:t>
            </w:r>
          </w:p>
        </w:tc>
        <w:tc>
          <w:tcPr>
            <w:tcW w:w="8878" w:type="dxa"/>
            <w:tcBorders/>
            <w:vAlign w:val="center"/>
          </w:tcPr>
          <w:p>
            <w:pPr>
              <w:pStyle w:val="TableContents"/>
              <w:bidi w:val="0"/>
              <w:spacing w:before="0" w:after="283"/>
              <w:jc w:val="both"/>
              <w:rPr>
                <w:b/>
              </w:rPr>
            </w:pPr>
            <w:r>
              <w:rPr>
                <w:b/>
              </w:rPr>
              <w:t>Limitations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376"/>
        <w:gridCol w:w="8666"/>
      </w:tblGrid>
      <w:tr>
        <w:trPr/>
        <w:tc>
          <w:tcPr>
            <w:tcW w:w="1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pPr>
            <w:r>
              <w:rPr/>
              <w:t>4.1</w:t>
            </w:r>
          </w:p>
        </w:tc>
        <w:tc>
          <w:tcPr>
            <w:tcW w:w="8666" w:type="dxa"/>
            <w:tcBorders/>
            <w:vAlign w:val="center"/>
          </w:tcPr>
          <w:p>
            <w:pPr>
              <w:pStyle w:val="TableContents"/>
              <w:bidi w:val="0"/>
              <w:spacing w:before="0" w:after="283"/>
              <w:jc w:val="both"/>
              <w:rPr/>
            </w:pPr>
            <w:r>
              <w:rPr/>
              <w:t>We offer no opinion:</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in relation to the laws of any jurisdiction other than the British Virgin Islands (and we have not made any investigation into such laws) and we express no opinion as to the meaning, validity, or effect of references in the documents reviewed to statutes, rules, regulations, codes or judicial authority of any jurisdiction other than the British Virgin Islands;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in relation to any representation or warranty made or given by the Company in the documents reviewed or, save as expressly set out herein, as to whether the Company will be able to perform its obligations under the documents reviewed;</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1418"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pPr>
            <w:r>
              <w:rPr/>
              <w:t>as to the commerciality of the transactions envisaged in the documents reviewed or, save as expressly stated in this opinion, whether the documents reviewed and the transaction envisaged therein achieve the commercial, tax, legal, regulatory or other aims of the parties to the documents reviewed;</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(d)</w:t>
            </w:r>
          </w:p>
        </w:tc>
        <w:tc>
          <w:tcPr>
            <w:tcW w:w="9931" w:type="dxa"/>
            <w:tcBorders/>
            <w:vAlign w:val="center"/>
          </w:tcPr>
          <w:p>
            <w:pPr>
              <w:pStyle w:val="TableContents"/>
              <w:bidi w:val="0"/>
              <w:spacing w:before="0" w:after="283"/>
              <w:jc w:val="both"/>
              <w:rPr/>
            </w:pPr>
            <w:r>
              <w:rPr/>
              <w:t>as to whether the acceptance, execution or performance of the obligations of the Company under the documents reviewed will result in the breach of or infringe any other agreement, deed or document (other than the Company’s memorandum and articles of association) entered into by or binding on the Company; or</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(e)</w:t>
            </w:r>
          </w:p>
        </w:tc>
        <w:tc>
          <w:tcPr>
            <w:tcW w:w="9916" w:type="dxa"/>
            <w:tcBorders/>
            <w:vAlign w:val="center"/>
          </w:tcPr>
          <w:p>
            <w:pPr>
              <w:pStyle w:val="TableContents"/>
              <w:bidi w:val="0"/>
              <w:spacing w:before="0" w:after="283"/>
              <w:jc w:val="both"/>
              <w:rPr/>
            </w:pPr>
            <w:r>
              <w:rPr/>
              <w:t>as to the rights, title or interest of the Company to or in, or the existence of, any property or assets that are the subject of the documents reviewed.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445"/>
        <w:gridCol w:w="9640"/>
      </w:tblGrid>
      <w:tr>
        <w:trPr/>
        <w:tc>
          <w:tcPr>
            <w:tcW w:w="12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b/>
              </w:rPr>
            </w:pPr>
            <w:r>
              <w:rPr>
                <w:b/>
              </w:rPr>
              <w:t>5</w:t>
            </w:r>
          </w:p>
        </w:tc>
        <w:tc>
          <w:tcPr>
            <w:tcW w:w="9640" w:type="dxa"/>
            <w:tcBorders/>
            <w:vAlign w:val="center"/>
          </w:tcPr>
          <w:p>
            <w:pPr>
              <w:pStyle w:val="TableContents"/>
              <w:bidi w:val="0"/>
              <w:spacing w:before="0" w:after="283"/>
              <w:jc w:val="both"/>
              <w:rPr>
                <w:b/>
              </w:rPr>
            </w:pPr>
            <w:r>
              <w:rPr>
                <w:b/>
              </w:rPr>
              <w:t>Governing law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752"/>
        <w:gridCol w:w="8245"/>
      </w:tblGrid>
      <w:tr>
        <w:trPr/>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pPr>
            <w:r>
              <w:rPr/>
              <w:t>5.1</w:t>
            </w:r>
          </w:p>
        </w:tc>
        <w:tc>
          <w:tcPr>
            <w:tcW w:w="8245" w:type="dxa"/>
            <w:tcBorders/>
            <w:vAlign w:val="center"/>
          </w:tcPr>
          <w:p>
            <w:pPr>
              <w:pStyle w:val="TableContents"/>
              <w:bidi w:val="0"/>
              <w:spacing w:before="0" w:after="283"/>
              <w:jc w:val="both"/>
              <w:rPr/>
            </w:pPr>
            <w:r>
              <w:rPr/>
              <w:t>This opinion is: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4"/>
        <w:gridCol w:w="9860"/>
      </w:tblGrid>
      <w:tr>
        <w:trPr/>
        <w:tc>
          <w:tcPr>
            <w:tcW w:w="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both"/>
              <w:rPr/>
            </w:pPr>
            <w:r>
              <w:rPr/>
              <w:t>governed by, and shall be construed in accordance with, the laws of the British Virgin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94"/>
        <w:gridCol w:w="9534"/>
      </w:tblGrid>
      <w:tr>
        <w:trPr/>
        <w:tc>
          <w:tcPr>
            <w:tcW w:w="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pPr>
            <w:r>
              <w:rPr/>
              <w:t>(b)</w:t>
            </w:r>
          </w:p>
        </w:tc>
        <w:tc>
          <w:tcPr>
            <w:tcW w:w="9534" w:type="dxa"/>
            <w:tcBorders/>
            <w:vAlign w:val="center"/>
          </w:tcPr>
          <w:p>
            <w:pPr>
              <w:pStyle w:val="TableContents"/>
              <w:bidi w:val="0"/>
              <w:spacing w:before="0" w:after="283"/>
              <w:jc w:val="both"/>
              <w:rPr/>
            </w:pPr>
            <w:r>
              <w:rPr/>
              <w:t>limited to the matters expressly stated herein;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(c)</w:t>
            </w:r>
          </w:p>
        </w:tc>
        <w:tc>
          <w:tcPr>
            <w:tcW w:w="9895" w:type="dxa"/>
            <w:tcBorders/>
            <w:vAlign w:val="center"/>
          </w:tcPr>
          <w:p>
            <w:pPr>
              <w:pStyle w:val="TableContents"/>
              <w:bidi w:val="0"/>
              <w:spacing w:before="0" w:after="283"/>
              <w:jc w:val="both"/>
              <w:rPr/>
            </w:pPr>
            <w:r>
              <w:rPr/>
              <w:t>confined to, and given on the basis of, the laws and practice in the British Virgin Islands at the date 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Unless otherwise indicated, all references in this opinion to specific British Virgin Islands legislation shall be to such legislation as amended to, and as in force at, the date 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319"/>
        <w:gridCol w:w="8528"/>
      </w:tblGrid>
      <w:tr>
        <w:trPr/>
        <w:tc>
          <w:tcPr>
            <w:tcW w:w="35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b/>
              </w:rPr>
            </w:pPr>
            <w:r>
              <w:rPr>
                <w:b/>
              </w:rPr>
              <w:t>6</w:t>
            </w:r>
          </w:p>
        </w:tc>
        <w:tc>
          <w:tcPr>
            <w:tcW w:w="8528" w:type="dxa"/>
            <w:tcBorders/>
            <w:vAlign w:val="center"/>
          </w:tcPr>
          <w:p>
            <w:pPr>
              <w:pStyle w:val="TableContents"/>
              <w:bidi w:val="0"/>
              <w:spacing w:before="0" w:after="283"/>
              <w:jc w:val="both"/>
              <w:rPr>
                <w:b/>
              </w:rPr>
            </w:pPr>
            <w:r>
              <w:rPr>
                <w:b/>
              </w:rPr>
              <w:t>Reliance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We hereby consent to the filing of this opinion as an exhibit to the Registration Statement and to the reference to our firm under the headings “</w:t>
            </w:r>
            <w:r>
              <w:rPr>
                <w:i/>
              </w:rPr>
              <w:t>Legal Matters</w:t>
            </w:r>
            <w:r>
              <w:rPr/>
              <w:t>” of the Registration Statement. In the giving of our consent, we do not thereby admit that we are in the category of persons whose consent is required under Section 7 of the Securities Act or the Rules and Regulations of the Commission thereunder.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This opinion may be used only in connection with the Offering by the Company while the Registration Statement is effective. With the exception of your professional advisers (acting only in that capacity), it may not be relied upon by any person, other than persons entitled to rely upon it pursuant to the provisions of the Securities Act, without our prior written consent.</w:t>
            </w:r>
          </w:p>
        </w:tc>
      </w:tr>
    </w:tbl>
    <w:p>
      <w:pPr>
        <w:pStyle w:val="TextBody"/>
        <w:bidi w:val="0"/>
        <w:spacing w:before="0" w:after="0"/>
        <w:ind w:left="0" w:right="0" w:hanging="0"/>
        <w:jc w:val="both"/>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1325"/>
        <w:gridCol w:w="75"/>
      </w:tblGrid>
      <w:tr>
        <w:trPr/>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Yours faithfully</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/s/ Ogier</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Ogier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 xml:space="preserve">The constitutional documents and public records of the Company obtained from the Registry of Corporate Affairs in the British Virgin Islands on 3 July 2024 (the </w:t>
            </w:r>
            <w:r>
              <w:rPr>
                <w:b/>
              </w:rPr>
              <w:t>Company Registry Records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 xml:space="preserve">The public information revealed from a search of the electronic records of the Civil Division and the Commercial Division of the Registry of the High Court and of the Court of Appeal (Virgin Islands) Register, each from 1 January 2000, as maintained on the Judicial Enforcement Management System (the </w:t>
            </w:r>
            <w:r>
              <w:rPr>
                <w:b/>
              </w:rPr>
              <w:t>High Court Database</w:t>
            </w:r>
            <w:r>
              <w:rPr/>
              <w:t xml:space="preserve">) by the Registry of the High Court of the Virgin Islands on 3 July 2024 (the </w:t>
            </w:r>
            <w:r>
              <w:rPr>
                <w:b/>
              </w:rPr>
              <w:t>Court Records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 xml:space="preserve">The Company Registry Records and the Court Records each as updated by update searches on 9 September 2026 (the Company Registry Records and the Court Records together, and as updated, the </w:t>
            </w:r>
            <w:r>
              <w:rPr>
                <w:b/>
              </w:rPr>
              <w:t>Public Records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 xml:space="preserve">The certificate of incumbency dated 15 September 2025 issued by the Company’s registered agent in respect of the Company (the </w:t>
            </w:r>
            <w:r>
              <w:rPr>
                <w:b/>
              </w:rPr>
              <w:t>Certificate of Incumbency</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 xml:space="preserve">The certificate of good standing dated 10 September 2026 issued by the Registry of Corporate Affairs in the British Virgin Islands in respect of the Company (the </w:t>
            </w:r>
            <w:r>
              <w:rPr>
                <w:b/>
              </w:rPr>
              <w:t>Certificate of Good Standing</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71"/>
        <w:gridCol w:w="9988"/>
      </w:tblGrid>
      <w:tr>
        <w:trPr/>
        <w:tc>
          <w:tcPr>
            <w:tcW w:w="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6</w:t>
            </w:r>
          </w:p>
        </w:tc>
        <w:tc>
          <w:tcPr>
            <w:tcW w:w="9988" w:type="dxa"/>
            <w:tcBorders/>
            <w:vAlign w:val="center"/>
          </w:tcPr>
          <w:p>
            <w:pPr>
              <w:pStyle w:val="TableContents"/>
              <w:bidi w:val="0"/>
              <w:spacing w:before="0" w:after="283"/>
              <w:jc w:val="both"/>
              <w:rPr/>
            </w:pPr>
            <w:r>
              <w:rPr/>
              <w:t xml:space="preserve">A copy of the register of directors of the Company dated 26 June 2026 (the </w:t>
            </w:r>
            <w:r>
              <w:rPr>
                <w:b/>
              </w:rPr>
              <w:t>Register</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 xml:space="preserve">Written resolutions of all of the directors of the Company dated 9 September 2026 (the </w:t>
            </w:r>
            <w:r>
              <w:rPr>
                <w:b/>
              </w:rPr>
              <w:t>Directors 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503"/>
        <w:gridCol w:w="9566"/>
      </w:tblGrid>
      <w:tr>
        <w:trPr/>
        <w:tc>
          <w:tcPr>
            <w:tcW w:w="1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pPr>
            <w:r>
              <w:rPr/>
              <w:t>8</w:t>
            </w:r>
          </w:p>
        </w:tc>
        <w:tc>
          <w:tcPr>
            <w:tcW w:w="9566" w:type="dxa"/>
            <w:tcBorders/>
            <w:vAlign w:val="center"/>
          </w:tcPr>
          <w:p>
            <w:pPr>
              <w:pStyle w:val="TableContents"/>
              <w:bidi w:val="0"/>
              <w:spacing w:before="0" w:after="283"/>
              <w:jc w:val="both"/>
              <w:rPr/>
            </w:pPr>
            <w:r>
              <w:rPr/>
              <w:t>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 xml:space="preserve">A form of the placement agency agreement to be entered into by the Company and the placement agent of the Offering as exhibited in the Registration Statement (the </w:t>
            </w:r>
            <w:r>
              <w:rPr>
                <w:b/>
              </w:rPr>
              <w:t>Placement Agency Agreement</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8" w:type="dxa"/>
            <w:tcBorders/>
            <w:vAlign w:val="center"/>
          </w:tcPr>
          <w:p>
            <w:pPr>
              <w:pStyle w:val="TableContents"/>
              <w:bidi w:val="0"/>
              <w:spacing w:before="0" w:after="283"/>
              <w:jc w:val="both"/>
              <w:rPr/>
            </w:pPr>
            <w:r>
              <w:rPr/>
              <w:t xml:space="preserve">A form of the pre-funded warrant to purchase class A ordinary shares constituting the Warrants as exhibited in the Registration Statement (the </w:t>
            </w:r>
            <w:r>
              <w:rPr>
                <w:b/>
              </w:rPr>
              <w:t>Warrant Document</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8" w:type="dxa"/>
            <w:tcBorders/>
            <w:vAlign w:val="center"/>
          </w:tcPr>
          <w:p>
            <w:pPr>
              <w:pStyle w:val="TableContents"/>
              <w:bidi w:val="0"/>
              <w:spacing w:before="0" w:after="283"/>
              <w:jc w:val="both"/>
              <w:rPr/>
            </w:pPr>
            <w:r>
              <w:rPr/>
              <w:t xml:space="preserve">The securities purchase agreement entered into by the Company and the Selling Securityholders and a form of the convertible promissory notes of the Company held by the Selling Securityholders as exhibited in the Registration Statement (together with the Placement Agency Agreement and the Warrant Document, the </w:t>
            </w:r>
            <w:r>
              <w:rPr>
                <w:b/>
              </w:rPr>
              <w:t>Documents</w:t>
            </w: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Under the BCA an annual fee must be paid in respect of the Company to the Registry of Corporate Affairs. Failure to pay the annual fees by the relevant due date will render the Company liable to a penalty fee in addition to the amount of the outstanding fees. If the license fee and/or any penalty fee remains unpaid from the due date, the Company will be liable to be struck off and dissolved from the Register of Companies in the British Virgin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Under the BCA, a copy of the Company’s register of directors which is complete must be filed by the Company at the Registry of Corporate Affairs. Failure to make this filing will render the Company liable to a penalty fee and if the filing is not made within the requisite time period or any penalty fee remains unpaid from the due date, the Company will be liable to be struck off and dissolved from the Register of Companies.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Under the BCA, an annual financial return, in the prescribed form, must be filed by the Company with its registered agent in respect of each year for which one is due within the timeframe prescribed by the BCA for that year (unless the Company is within one of the statutory exceptions to the obligation to file). Failure to make this filing when due will render the Company liable to a penalty fee and where the Company is liable to the maximum penalty and has not filed its annual return, the Company will be liable to be struck off and dissolved from the Register of Companies.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Under the BCA, unless the Company is within one of the statutory exceptions to the obligation to file and is compliant with any conditions for the relevant exception(s) to apply, a copy of the Company’s register of members which is complete and certain prescribed beneficial ownership information for the Company must be filed by the Company at the Registry of Corporate Affairs. Failure to make these filings will render the Company liable to penalty fees and if the filings are not made within the requisite time period or any penalty fee remains unpaid from the due date, the Company will be liable to be struck off and dissolved from the Register of Companies.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For the purposes of this opinion “in good standing” means only that the Registrar of Corporate Affairs is satisfied that the Company is deemed to be in good standing under Section 235 of the BCA on the date of issue of the Certificate of Good Standing. Notwithstanding any expiry date referred to in the certificate, the Company shall cease to be in good standing under Section 235 of the BCA if the Registrar of Corporate Affairs is not, or ceases to be, satisfied that the Company: (i) is on the Register of Companies; (ii) has paid all fees, annual fees and penalties due and payable; (iii) has filed with the Registrar of Corporate Affairs when due a copy of its registers of directors in accordance with and to the extent required by the BCA; and (iv) has filed with the Registrar of Corporate Affairs when due a copy of its registers of members in accordance with and to the extent required by the BCA; and (v) has filed with the Registrar of Corporate Affairs when due beneficial ownership information in accordance with the BCA; and/or where the Registrar of Corporate Affairs has received any notification that the Company has failed to file its annual return in accordance with and to the extent required by the BCA. We have made no enquiries into the Company’s good standing with respect to any other filings or payment of fees, or both, that it may be required to make under the laws of the British Virgin Islands other than the BCA. We have made no enquiries into whether the copy of the register of directors, the copy of the register of members or the Company’s beneficial ownership information filed at the Registry of Corporate Affairs matches the details set out on the Certificate of Incumbency or whether the annual return filed by the Company with its registered agent is in the prescribed form as required pursuant to the BCA.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In this opinion, the phrase “non-assessable” means, with respect to the Class A Shares in the Company, that a shareholder shall not, solely by virtue of its status as a shareholder, be liable for additional assessments or calls on the Class A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 xml:space="preserve">Under the BCA, the entry of the name of a person in the register of members as a holder of a share in a company is </w:t>
            </w:r>
            <w:r>
              <w:rPr>
                <w:i/>
              </w:rPr>
              <w:t>prima facie</w:t>
            </w:r>
            <w:r>
              <w:rPr/>
              <w:t xml:space="preserve"> evidence that legal title in the share vests in that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Records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96"/>
        <w:gridCol w:w="9956"/>
      </w:tblGrid>
      <w:tr>
        <w:trPr/>
        <w:tc>
          <w:tcPr>
            <w:tcW w:w="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8</w:t>
            </w:r>
          </w:p>
        </w:tc>
        <w:tc>
          <w:tcPr>
            <w:tcW w:w="9956" w:type="dxa"/>
            <w:tcBorders/>
            <w:vAlign w:val="center"/>
          </w:tcPr>
          <w:p>
            <w:pPr>
              <w:pStyle w:val="TableContents"/>
              <w:bidi w:val="0"/>
              <w:spacing w:before="0" w:after="283"/>
              <w:jc w:val="both"/>
              <w:rPr/>
            </w:pPr>
            <w:r>
              <w:rPr/>
              <w:t>The Public Records and our searches thereof may not reveal the following:</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in the case of the Company Registry Records, details of matters which have not been lodged for registration or have been lodged for registration but not actually registered at the time of our search or notifications made to the Registrar of Corporate Affairs by the registered agent of any failure by the Company to file its register of directors, register of members, beneficial ownership information and/or annual return as required and within the time frame prescribed by the BCA;</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in the case of the Court Records, details of proceedings which have been filed but not actually entered in the High Court Database at the time of our search;</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whether an application for the appointment of a liquidator or a receiver has been presented to the High Court of the British Virgin Islands or whether a liquidator or a receiver has been appointed out of court, or whether any out of court dissolution, reconstruction or reorganisation of the Company has been commenced; or</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any originating process (including an application to appoint a liquidator) in respect of the Company in circumstances where the High Court of the British Virgin Islands has prior to the issuance of such process ordered that such process upon issuance be anonymised (whether on a temporary basis or otherwise),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following points should also be noted:</w:t>
      </w:r>
    </w:p>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both"/>
              <w:rPr/>
            </w:pPr>
            <w:r>
              <w:rPr/>
              <w:t xml:space="preserve">the Court Records reflect the information accessible remotely on the High Court Database, we have not conducted a separate search of the underlying Civil Cause Book (the </w:t>
            </w:r>
            <w:r>
              <w:rPr>
                <w:b/>
              </w:rPr>
              <w:t>Civil Cause Book</w:t>
            </w:r>
            <w:r>
              <w:rPr/>
              <w:t xml:space="preserve">) or the Commercial Cause Book (the </w:t>
            </w:r>
            <w:r>
              <w:rPr>
                <w:b/>
              </w:rPr>
              <w:t>Commercial Cause Book</w:t>
            </w:r>
            <w:r>
              <w:rPr/>
              <w:t>) at the Registry of the High Court of the British Virgin Islands. Although the High Court Database should reflect the content of the Civil Cause Book and the Commercial Cause Book, neither the High Court Database nor the Civil Cause Book or Commercial Cause Book is updated every day, and for that reason neither facility can be relied upon to reveal whether or not a particular entity is a party to litigation in the British Virgin Islands;</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2" w:type="dxa"/>
            <w:tcBorders/>
            <w:vAlign w:val="center"/>
          </w:tcPr>
          <w:p>
            <w:pPr>
              <w:pStyle w:val="TableContents"/>
              <w:bidi w:val="0"/>
              <w:spacing w:before="0" w:after="283"/>
              <w:jc w:val="both"/>
              <w:rPr/>
            </w:pPr>
            <w:r>
              <w:rPr/>
              <w:t>the High Court Database is not updated if third parties or noticed parties are added to or removed from the proceedings after their commencement; and</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7" w:type="dxa"/>
            <w:tcBorders/>
            <w:vAlign w:val="center"/>
          </w:tcPr>
          <w:p>
            <w:pPr>
              <w:pStyle w:val="TableContents"/>
              <w:bidi w:val="0"/>
              <w:spacing w:before="0" w:after="283"/>
              <w:jc w:val="both"/>
              <w:rPr/>
            </w:pPr>
            <w:r>
              <w:rPr/>
              <w:t>while it is a requirement under Section 118 of the Insolvency Act 2003 of the British Virgin Islands that notice of the appointment of a receiver be registered with the Registry of Corporate Affairs, however, it should be noted that failure to file a notice of appointment of a receiver does not invalidate the receivership but gives rise to penalties on the part of the receiver and the absence of a registered notice of appointment of a receiver is not conclusive as to there being no existing appointment of a receiver in respect of the Company or its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substance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We have not undertaken any enquiry and express no view as to the compliance of the Company with the Economic Substance (Companies and Limited Partnerships) Act 2018.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a030508401ex5-2.htm"/>
      <w:bookmarkStart w:id="34" w:name="ksea030508401ex52"/>
      <w:bookmarkEnd w:id="33"/>
      <w:bookmarkEnd w:id="34"/>
      <w:r>
        <w:rPr>
          <w:rFonts w:ascii="Times New Roman;Times;Serif" w:hAnsi="Times New Roman;Times;Serif"/>
          <w:b/>
          <w:i w:val="false"/>
          <w:caps w:val="false"/>
          <w:smallCaps w:val="false"/>
          <w:sz w:val="20"/>
        </w:rPr>
        <w:t>Exhibit 5.2</w:t>
      </w:r>
      <w:r>
        <w:br w:type="page"/>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65"/>
        <w:gridCol w:w="1740"/>
      </w:tblGrid>
      <w:tr>
        <w:trPr/>
        <w:tc>
          <w:tcPr>
            <w:tcW w:w="8465" w:type="dxa"/>
            <w:tcBorders/>
            <w:vAlign w:val="center"/>
          </w:tcPr>
          <w:p>
            <w:pPr>
              <w:pStyle w:val="TableContents"/>
              <w:bidi w:val="0"/>
              <w:jc w:val="left"/>
              <w:rPr/>
            </w:pPr>
            <w:r>
              <w:rPr/>
              <w:t xml:space="preserve">Han Kun Law Offices LLP </w:t>
            </w:r>
          </w:p>
          <w:p>
            <w:pPr>
              <w:pStyle w:val="TableContents"/>
              <w:bidi w:val="0"/>
              <w:spacing w:before="0" w:after="283"/>
              <w:jc w:val="left"/>
              <w:rPr/>
            </w:pPr>
            <w:r>
              <w:rPr/>
              <w:t>Rooms 4301-10, 43/F., Gloucester Tower, The Landmark, 15 Queen’s Road Central, Hong Kong SAR, PRC</w:t>
              <w:br/>
              <w:t>Tel: +852 2820 5600 Fax: +852 2820 5611 www.hankunlaw.com  </w:t>
              <w:br/>
              <w:t>Beijing ● Shanghai ● Shenzhen ● Hangzhou ● Wuhan ● Haikou ● Hong Kong ● Singapore ● New York ● Silicon Valley ● London  </w:t>
            </w:r>
          </w:p>
        </w:tc>
        <w:tc>
          <w:tcPr>
            <w:tcW w:w="1740" w:type="dxa"/>
            <w:tcBorders/>
            <w:vAlign w:val="center"/>
          </w:tcPr>
          <w:p>
            <w:pPr>
              <w:pStyle w:val="TableContents"/>
              <w:bidi w:val="0"/>
              <w:spacing w:before="0" w:after="283"/>
              <w:jc w:val="right"/>
              <w:rPr/>
            </w:pPr>
            <w:r>
              <w:rPr/>
              <w:drawing>
                <wp:inline distT="0" distB="0" distL="0" distR="0">
                  <wp:extent cx="1057275" cy="228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100"/>
                          <a:stretch>
                            <a:fillRect/>
                          </a:stretch>
                        </pic:blipFill>
                        <pic:spPr bwMode="auto">
                          <a:xfrm>
                            <a:off x="0" y="0"/>
                            <a:ext cx="1057275" cy="22860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br/>
        <w:t>Sukhumvit 21 Road (Asoke)</w:t>
        <w:br/>
        <w:t>Khlong Toei Nuea Sub-district</w:t>
        <w:br/>
        <w:t>Watthana District, Bangkok 10110</w:t>
        <w:br/>
        <w:t>Thailand</w:t>
      </w:r>
    </w:p>
    <w:p>
      <w:pPr>
        <w:pStyle w:val="TextBody"/>
        <w:bidi w:val="0"/>
        <w:spacing w:before="0" w:after="0"/>
        <w:ind w:left="0" w:right="0" w:hanging="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320"/>
        <w:gridCol w:w="1835"/>
      </w:tblGrid>
      <w:tr>
        <w:trPr/>
        <w:tc>
          <w:tcPr>
            <w:tcW w:w="320" w:type="dxa"/>
            <w:tcBorders/>
            <w:vAlign w:val="center"/>
          </w:tcPr>
          <w:p>
            <w:pPr>
              <w:pStyle w:val="TableContents"/>
              <w:bidi w:val="0"/>
              <w:spacing w:before="0" w:after="283"/>
              <w:jc w:val="left"/>
              <w:rPr>
                <w:sz w:val="20"/>
              </w:rPr>
            </w:pPr>
            <w:r>
              <w:rPr>
                <w:sz w:val="20"/>
              </w:rPr>
              <w:t>Re:</w:t>
            </w:r>
          </w:p>
        </w:tc>
        <w:tc>
          <w:tcPr>
            <w:tcW w:w="1835" w:type="dxa"/>
            <w:tcBorders/>
            <w:vAlign w:val="center"/>
          </w:tcPr>
          <w:p>
            <w:pPr>
              <w:pStyle w:val="TableContents"/>
              <w:bidi w:val="0"/>
              <w:spacing w:before="0" w:after="283"/>
              <w:jc w:val="both"/>
              <w:rPr>
                <w:sz w:val="20"/>
              </w:rPr>
            </w:pPr>
            <w:r>
              <w:rPr>
                <w:sz w:val="20"/>
              </w:rPr>
              <w:t>NewGenIvf Group Ltd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U.S. counsel to NewGenIvf Group Ltd, a British Virgin Islands business company (the “Company”), in connection with a Registration Statement on Form F-1 (as amended or supplemented, the “Registration Statement”) filed by the Company with the Securities and Exchange Commission (the “Commission”) under the Securities Act of 1933, as amended (the “Securities Act”), relating to (i) the registration by the Company of securities consisting of (a) 5,454,545 Class A ordinary shares, no par value (“Offered Shares”), or (ii) in lieu thereof, up to 5,454,545 pre-funded warrants (the “Pre-Funded Warrants”) to purchase up to 5,454,545 Offered Shares; and (b) sale by certain shareholders of the Company of up to 4,364,044 Class A ordinary shares, no par value.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Pre-Funded Warrants, when duly executed by the Company and duly delivered to the purchasers thereof against payment therefor as described in the Registration Statement, will constitute valid and binding obligations of the Company, enforceable against the Company in accordance with their terms.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Our opinions set forth above are subject to the effect of any applicable bankruptcy, insolvency, reorganization, moratorium or similar law relating to or affecting creditors’ rights generally (including, without limitation, fraudulent conveyance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Our opinions set forth in paragraphs above are subject to the effect of general principles of equity, including, without limitation, concepts of materiality, reasonableness, good faith and fair dealing and the possible unavailability of specific performance or injunctive relief, regardless of whether considered in a proceeding in equity or at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drawing>
          <wp:inline distT="0" distB="0" distL="0" distR="0">
            <wp:extent cx="1057275" cy="2286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101"/>
                    <a:stretch>
                      <a:fillRect/>
                    </a:stretch>
                  </pic:blipFill>
                  <pic:spPr bwMode="auto">
                    <a:xfrm>
                      <a:off x="0" y="0"/>
                      <a:ext cx="1057275" cy="228600"/>
                    </a:xfrm>
                    <a:prstGeom prst="rect">
                      <a:avLst/>
                    </a:prstGeom>
                  </pic:spPr>
                </pic:pic>
              </a:graphicData>
            </a:graphic>
          </wp:inline>
        </w:drawing>
      </w: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Our opinions set forth in paragraphs above are subject to limitations regarding the availability of indemnification and contribution where such indemnification or contribution may be limited by applicable law or the application of principles of public policy.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We express no opinion as to the enforceability of (i) provisions that relate to choice of law, forum selection or submission to jurisdiction (including, without limitation, any express or implied waiver of any objection to venue in any court or of any objection that a court is an inconvenient forum) to the extent that the validity, binding effect or enforceability of any such provision is to be determined by any court other than a state court of the State of New York, (ii) waivers by the Company of any statutory or constitutional rights or remedies, (iii) terms which excuse any person or entity from liability for, or require the Company to indemnify such person or entity against, such person’s or entity’s negligence or willful misconduct or (iv) obligations to pay any prepayment premium, default interest rate, early termination fee or other form of liquidated damages, if the payment of such premium, interest rate, fee or damages may be construed as unreasonable in relation to actual damages or disproportionate to actual damages suffered as a result of such prepayment, default or termination.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We draw your attention to the fact that, under certain circumstances, the enforceability of terms to the effect that provisions may not be waived or modified except in writing may be limited.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the laws of the State of New York.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Han Kun Law Offices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 Kun Law Offices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30508401ex10-72.htm"/>
      <w:bookmarkStart w:id="36" w:name="ksea030508401ex1072"/>
      <w:bookmarkEnd w:id="35"/>
      <w:bookmarkEnd w:id="36"/>
      <w:r>
        <w:rPr>
          <w:rFonts w:ascii="Times New Roman;Times;Serif" w:hAnsi="Times New Roman;Times;Serif"/>
          <w:b/>
          <w:i w:val="false"/>
          <w:caps w:val="false"/>
          <w:smallCaps w:val="false"/>
          <w:sz w:val="20"/>
        </w:rPr>
        <w:t>Exhibit 10.72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May 4,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with its address at 1800 Diagonal Road, Suite 623, Alexandria VA 22314 (the “Lender”).</w:t>
      </w:r>
    </w:p>
    <w:p>
      <w:pPr>
        <w:pStyle w:val="TextBody"/>
        <w:bidi w:val="0"/>
        <w:spacing w:before="0" w:after="0"/>
        <w:ind w:left="34"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$207,000.00 (the “Note”);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May 4, 2026,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Representations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firstLine="21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firstLine="144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hereof, the authorized Class A Ordinary Shares of the Company consists of unlimited authorized shares, no par value per share, of which 568,448 shares are issued and outstanding. All of such outstanding shares of capital stock are, or upon issuance will be, duly authorized,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Other than D. Boral,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ind w:left="215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At the Closing, the Company’s obligation with respect to the transactions contemplated by this Agreement is to reimburse Lender’s expenses shall be $23,000.00 for Lender’s legal fees; due diligence fee and the Company’s investment bankers.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hanging="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ind w:left="2879" w:right="0" w:hanging="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firstLine="216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firstLine="216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Each party shall provide notice to the other party of any change in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34" w:right="0" w:hanging="0"/>
        <w:jc w:val="center"/>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408"/>
        <w:gridCol w:w="2491"/>
        <w:gridCol w:w="75"/>
      </w:tblGrid>
      <w:tr>
        <w:trPr/>
        <w:tc>
          <w:tcPr>
            <w:tcW w:w="28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1"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Wing Fung Alfred Siu</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Wing Fung Alfred Siu</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632"/>
        <w:gridCol w:w="1907"/>
        <w:gridCol w:w="75"/>
      </w:tblGrid>
      <w:tr>
        <w:trPr/>
        <w:tc>
          <w:tcPr>
            <w:tcW w:w="25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Vanquish Funding Group Inc.</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190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07"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1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Curt Kramer</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1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3050"/>
        <w:gridCol w:w="1055"/>
      </w:tblGrid>
      <w:tr>
        <w:trPr/>
        <w:tc>
          <w:tcPr>
            <w:tcW w:w="30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 Principal Amount of Note:</w:t>
            </w:r>
          </w:p>
        </w:tc>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$207,000.00</w:t>
            </w:r>
          </w:p>
        </w:tc>
      </w:tr>
    </w:tbl>
    <w:p>
      <w:pPr>
        <w:pStyle w:val="TextBody"/>
        <w:bidi w:val="0"/>
        <w:spacing w:before="0" w:after="0"/>
        <w:ind w:left="0" w:right="0" w:hanging="0"/>
        <w:jc w:val="left"/>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bookmarkStart w:id="37" w:name="ea030508401ex10-73.htm"/>
      <w:bookmarkStart w:id="38" w:name="ksea030508401ex1073"/>
      <w:bookmarkEnd w:id="37"/>
      <w:bookmarkEnd w:id="38"/>
      <w:r>
        <w:rPr>
          <w:rFonts w:ascii="Times New Roman;Times;Serif" w:hAnsi="Times New Roman;Times;Serif"/>
          <w:b/>
          <w:i w:val="false"/>
          <w:caps w:val="false"/>
          <w:smallCaps w:val="false"/>
          <w:sz w:val="20"/>
        </w:rPr>
        <w:t>Exhibit 10.73</w:t>
      </w:r>
      <w:r>
        <w:br w:type="page"/>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 PRICE OF THIS NOTE IS $207,000.00</w:t>
      </w:r>
    </w:p>
    <w:p>
      <w:pPr>
        <w:pStyle w:val="TextBody"/>
        <w:bidi w:val="0"/>
        <w:spacing w:before="0" w:after="0"/>
        <w:ind w:left="4" w:right="0" w:hanging="0"/>
        <w:jc w:val="center"/>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3260"/>
        <w:gridCol w:w="2465"/>
      </w:tblGrid>
      <w:tr>
        <w:trPr/>
        <w:tc>
          <w:tcPr>
            <w:tcW w:w="3260" w:type="dxa"/>
            <w:tcBorders/>
            <w:vAlign w:val="center"/>
          </w:tcPr>
          <w:p>
            <w:pPr>
              <w:pStyle w:val="TableContents"/>
              <w:bidi w:val="0"/>
              <w:spacing w:before="0" w:after="283"/>
              <w:jc w:val="left"/>
              <w:rPr/>
            </w:pPr>
            <w:r>
              <w:rPr>
                <w:b/>
              </w:rPr>
              <w:t>Principal Amount: $207,000.00</w:t>
            </w:r>
            <w:r>
              <w:rPr/>
              <w:t xml:space="preserve"> </w:t>
            </w:r>
          </w:p>
        </w:tc>
        <w:tc>
          <w:tcPr>
            <w:tcW w:w="2465" w:type="dxa"/>
            <w:tcBorders/>
            <w:vAlign w:val="center"/>
          </w:tcPr>
          <w:p>
            <w:pPr>
              <w:pStyle w:val="TableContents"/>
              <w:bidi w:val="0"/>
              <w:spacing w:before="0" w:after="283"/>
              <w:jc w:val="center"/>
              <w:rPr>
                <w:b/>
              </w:rPr>
            </w:pPr>
            <w:r>
              <w:rPr>
                <w:b/>
              </w:rPr>
              <w:t>Issue Date: May 4, 2026</w:t>
            </w:r>
          </w:p>
        </w:tc>
      </w:tr>
      <w:tr>
        <w:trPr/>
        <w:tc>
          <w:tcPr>
            <w:tcW w:w="3260" w:type="dxa"/>
            <w:tcBorders/>
            <w:vAlign w:val="center"/>
          </w:tcPr>
          <w:p>
            <w:pPr>
              <w:pStyle w:val="TableContents"/>
              <w:bidi w:val="0"/>
              <w:spacing w:before="0" w:after="283"/>
              <w:jc w:val="left"/>
              <w:rPr>
                <w:b/>
              </w:rPr>
            </w:pPr>
            <w:r>
              <w:rPr>
                <w:b/>
              </w:rPr>
              <w:t>207,000.00207,000.00</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or registered assigns (the “Holder”) the sum of $207,000.00 together with any interest as set forth herein, on Febraury 28, 2027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Class A Ordinary Shares into which this Note is convertible into, shall immediately and automatically be added to the balance of the Note at such time as the expenses are incurred by Holder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A</w:t>
      </w:r>
      <w:r>
        <w:rPr>
          <w:rFonts w:ascii="Times New Roman;Times;Serif" w:hAnsi="Times New Roman;Times;Serif"/>
          <w:b w:val="false"/>
          <w:i w:val="false"/>
          <w:caps w:val="false"/>
          <w:smallCaps w:val="false"/>
          <w:sz w:val="20"/>
          <w:u w:val="single"/>
        </w:rPr>
        <w:t>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ind w:left="2519" w:right="0" w:hanging="143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17"/>
        <w:gridCol w:w="1588"/>
      </w:tblGrid>
      <w:tr>
        <w:trPr/>
        <w:tc>
          <w:tcPr>
            <w:tcW w:w="8617" w:type="dxa"/>
            <w:tcBorders>
              <w:bottom w:val="single" w:sz="12" w:space="0" w:color="000000"/>
            </w:tcBorders>
            <w:vAlign w:val="center"/>
          </w:tcPr>
          <w:p>
            <w:pPr>
              <w:pStyle w:val="TableContents"/>
              <w:bidi w:val="0"/>
              <w:spacing w:before="0" w:after="283"/>
              <w:jc w:val="center"/>
              <w:rPr>
                <w:b/>
                <w:strike w:val="false"/>
                <w:dstrike w:val="false"/>
                <w:sz w:val="20"/>
                <w:u w:val="none"/>
                <w:effect w:val="none"/>
              </w:rPr>
            </w:pPr>
            <w:r>
              <w:rPr>
                <w:b/>
                <w:strike w:val="false"/>
                <w:dstrike w:val="false"/>
                <w:sz w:val="20"/>
                <w:u w:val="none"/>
                <w:effect w:val="none"/>
              </w:rPr>
              <w:t>Prepayment Period</w:t>
            </w:r>
          </w:p>
        </w:tc>
        <w:tc>
          <w:tcPr>
            <w:tcW w:w="1588" w:type="dxa"/>
            <w:tcBorders>
              <w:bottom w:val="single" w:sz="12" w:space="0" w:color="000000"/>
            </w:tcBorders>
            <w:vAlign w:val="center"/>
          </w:tcPr>
          <w:p>
            <w:pPr>
              <w:pStyle w:val="TableContents"/>
              <w:bidi w:val="0"/>
              <w:spacing w:before="0" w:after="283"/>
              <w:jc w:val="center"/>
              <w:rPr>
                <w:b/>
                <w:strike w:val="false"/>
                <w:dstrike w:val="false"/>
                <w:sz w:val="20"/>
                <w:u w:val="none"/>
                <w:effect w:val="none"/>
              </w:rPr>
            </w:pPr>
            <w:r>
              <w:rPr>
                <w:b/>
                <w:strike w:val="false"/>
                <w:dstrike w:val="false"/>
                <w:sz w:val="20"/>
                <w:u w:val="none"/>
                <w:effect w:val="none"/>
              </w:rPr>
              <w:t>Prepayment Percentage</w:t>
            </w:r>
          </w:p>
        </w:tc>
      </w:tr>
      <w:tr>
        <w:trPr/>
        <w:tc>
          <w:tcPr>
            <w:tcW w:w="8617" w:type="dxa"/>
            <w:tcBorders/>
            <w:tcMar>
              <w:bottom w:w="0" w:type="dxa"/>
            </w:tcMar>
            <w:vAlign w:val="center"/>
          </w:tcPr>
          <w:p>
            <w:pPr>
              <w:pStyle w:val="TableContents"/>
              <w:bidi w:val="0"/>
              <w:spacing w:before="0" w:after="0"/>
              <w:ind w:left="107"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period beginning on the Issue Date and ending on the date which is one hundred ninety (90) days following the Issue Date.</w:t>
            </w:r>
          </w:p>
        </w:tc>
        <w:tc>
          <w:tcPr>
            <w:tcW w:w="1588" w:type="dxa"/>
            <w:tcBorders/>
            <w:tcMar>
              <w:bottom w:w="0" w:type="dxa"/>
            </w:tcMar>
            <w:vAlign w:val="center"/>
          </w:tcPr>
          <w:p>
            <w:pPr>
              <w:pStyle w:val="TableContents"/>
              <w:bidi w:val="0"/>
              <w:spacing w:before="0" w:after="283"/>
              <w:jc w:val="center"/>
              <w:rPr>
                <w:sz w:val="20"/>
              </w:rPr>
            </w:pPr>
            <w:r>
              <w:rPr>
                <w:sz w:val="20"/>
              </w:rPr>
              <w:t>120%</w:t>
            </w:r>
          </w:p>
        </w:tc>
      </w:tr>
      <w:tr>
        <w:trPr/>
        <w:tc>
          <w:tcPr>
            <w:tcW w:w="8617" w:type="dxa"/>
            <w:tcBorders/>
            <w:tcMar>
              <w:bottom w:w="0" w:type="dxa"/>
            </w:tcMar>
            <w:vAlign w:val="center"/>
          </w:tcPr>
          <w:p>
            <w:pPr>
              <w:pStyle w:val="TableContents"/>
              <w:bidi w:val="0"/>
              <w:spacing w:before="0" w:after="0"/>
              <w:ind w:left="107"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period beginning on date which is ninety-one (91) days following the Issue Date and ending on the date which is one hundred eighty (180) days following the Issue Date.</w:t>
            </w:r>
          </w:p>
        </w:tc>
        <w:tc>
          <w:tcPr>
            <w:tcW w:w="1588" w:type="dxa"/>
            <w:tcBorders/>
            <w:tcMar>
              <w:bottom w:w="0" w:type="dxa"/>
            </w:tcMar>
            <w:vAlign w:val="center"/>
          </w:tcPr>
          <w:p>
            <w:pPr>
              <w:pStyle w:val="TableContents"/>
              <w:bidi w:val="0"/>
              <w:spacing w:before="0" w:after="283"/>
              <w:jc w:val="center"/>
              <w:rPr>
                <w:sz w:val="20"/>
              </w:rPr>
            </w:pPr>
            <w:r>
              <w:rPr>
                <w:sz w:val="20"/>
              </w:rPr>
              <w:t>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w:t>
        <w:tab/>
        <w:t>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 (2)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br/>
        <w:t>Email: alfred.siu@newgenivf.com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Vanquish Funding Group Inc. </w:t>
        <w:br/>
        <w:t>1800 Diagonal Road, Suite 623</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Curt Kramer, President</w:t>
        <w:br/>
        <w:t>Email: ckramer6@bloomberg.net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May 4, 2026</w:t>
      </w:r>
    </w:p>
    <w:p>
      <w:pPr>
        <w:pStyle w:val="TextBody"/>
        <w:bidi w:val="0"/>
        <w:spacing w:before="0" w:after="0"/>
        <w:ind w:left="359"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380"/>
        <w:gridCol w:w="2420"/>
        <w:gridCol w:w="75"/>
      </w:tblGrid>
      <w:tr>
        <w:trPr/>
        <w:tc>
          <w:tcPr>
            <w:tcW w:w="380" w:type="dxa"/>
            <w:tcBorders/>
            <w:vAlign w:val="center"/>
          </w:tcPr>
          <w:p>
            <w:pPr>
              <w:pStyle w:val="TableContents"/>
              <w:bidi w:val="0"/>
              <w:spacing w:before="0" w:after="283"/>
              <w:jc w:val="left"/>
              <w:rPr/>
            </w:pPr>
            <w:r>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811"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811"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811"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$________ 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May 4, 2026 (the “Note”), as of the date written below. No fee will be charged to the Holder for any conversion, except for transfer taxes, if any.</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25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180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243"/>
        <w:gridCol w:w="1887"/>
      </w:tblGrid>
      <w:tr>
        <w:trPr/>
        <w:tc>
          <w:tcPr>
            <w:tcW w:w="75" w:type="dxa"/>
            <w:tcBorders/>
            <w:vAlign w:val="center"/>
          </w:tcPr>
          <w:p>
            <w:pPr>
              <w:pStyle w:val="TableContents"/>
              <w:bidi w:val="0"/>
              <w:spacing w:before="0" w:after="283"/>
              <w:jc w:val="left"/>
              <w:rPr/>
            </w:pPr>
            <w:r>
              <w:rPr/>
              <w:t> </w:t>
            </w:r>
          </w:p>
        </w:tc>
        <w:tc>
          <w:tcPr>
            <w:tcW w:w="8243" w:type="dxa"/>
            <w:tcBorders/>
            <w:vAlign w:val="center"/>
          </w:tcPr>
          <w:p>
            <w:pPr>
              <w:pStyle w:val="TableContents"/>
              <w:bidi w:val="0"/>
              <w:spacing w:before="0" w:after="283"/>
              <w:jc w:val="left"/>
              <w:rPr/>
            </w:pPr>
            <w:r>
              <w:rPr/>
              <w:t>Date of conversion:</w:t>
            </w:r>
          </w:p>
        </w:tc>
        <w:tc>
          <w:tcPr>
            <w:tcW w:w="1887" w:type="dxa"/>
            <w:tcBorders/>
            <w:vAlign w:val="center"/>
          </w:tcPr>
          <w:p>
            <w:pPr>
              <w:pStyle w:val="TableContents"/>
              <w:bidi w:val="0"/>
              <w:spacing w:before="0" w:after="283"/>
              <w:jc w:val="left"/>
              <w:rPr/>
            </w:pPr>
            <w:r>
              <w:rPr/>
              <w:t>________________</w:t>
            </w:r>
          </w:p>
        </w:tc>
      </w:tr>
      <w:tr>
        <w:trPr/>
        <w:tc>
          <w:tcPr>
            <w:tcW w:w="75" w:type="dxa"/>
            <w:tcBorders/>
            <w:vAlign w:val="center"/>
          </w:tcPr>
          <w:p>
            <w:pPr>
              <w:pStyle w:val="TableContents"/>
              <w:bidi w:val="0"/>
              <w:spacing w:before="0" w:after="283"/>
              <w:jc w:val="left"/>
              <w:rPr/>
            </w:pPr>
            <w:r>
              <w:rPr/>
              <w:t> </w:t>
            </w:r>
          </w:p>
        </w:tc>
        <w:tc>
          <w:tcPr>
            <w:tcW w:w="8243" w:type="dxa"/>
            <w:tcBorders/>
            <w:vAlign w:val="center"/>
          </w:tcPr>
          <w:p>
            <w:pPr>
              <w:pStyle w:val="TableContents"/>
              <w:bidi w:val="0"/>
              <w:spacing w:before="0" w:after="283"/>
              <w:jc w:val="left"/>
              <w:rPr/>
            </w:pPr>
            <w:r>
              <w:rPr/>
              <w:t>Applicable Conversion Price:</w:t>
            </w:r>
          </w:p>
        </w:tc>
        <w:tc>
          <w:tcPr>
            <w:tcW w:w="1887" w:type="dxa"/>
            <w:tcBorders/>
            <w:vAlign w:val="center"/>
          </w:tcPr>
          <w:p>
            <w:pPr>
              <w:pStyle w:val="TableContents"/>
              <w:bidi w:val="0"/>
              <w:spacing w:before="0" w:after="283"/>
              <w:jc w:val="left"/>
              <w:rPr/>
            </w:pPr>
            <w:r>
              <w:rPr/>
              <w:t>$________________</w:t>
            </w:r>
          </w:p>
        </w:tc>
      </w:tr>
      <w:tr>
        <w:trPr/>
        <w:tc>
          <w:tcPr>
            <w:tcW w:w="75" w:type="dxa"/>
            <w:tcBorders/>
            <w:vAlign w:val="center"/>
          </w:tcPr>
          <w:p>
            <w:pPr>
              <w:pStyle w:val="TableContents"/>
              <w:bidi w:val="0"/>
              <w:spacing w:before="0" w:after="283"/>
              <w:ind w:left="0" w:right="0" w:hanging="180"/>
              <w:jc w:val="left"/>
              <w:rPr/>
            </w:pPr>
            <w:r>
              <w:rPr/>
              <w:t> </w:t>
            </w:r>
          </w:p>
        </w:tc>
        <w:tc>
          <w:tcPr>
            <w:tcW w:w="8243" w:type="dxa"/>
            <w:tcBorders/>
            <w:vAlign w:val="center"/>
          </w:tcPr>
          <w:p>
            <w:pPr>
              <w:pStyle w:val="TableContents"/>
              <w:bidi w:val="0"/>
              <w:spacing w:before="0" w:after="283"/>
              <w:jc w:val="left"/>
              <w:rPr/>
            </w:pPr>
            <w:r>
              <w:rPr/>
              <w:t>Number of shares of Class A Ordinary Shares to be issued pursuant to conversion of the Notes:</w:t>
            </w:r>
          </w:p>
        </w:tc>
        <w:tc>
          <w:tcPr>
            <w:tcW w:w="1887" w:type="dxa"/>
            <w:tcBorders/>
            <w:vAlign w:val="center"/>
          </w:tcPr>
          <w:p>
            <w:pPr>
              <w:pStyle w:val="TableContents"/>
              <w:bidi w:val="0"/>
              <w:spacing w:before="0" w:after="283"/>
              <w:jc w:val="left"/>
              <w:rPr/>
            </w:pPr>
            <w:r>
              <w:rPr/>
              <w:t>________________</w:t>
            </w:r>
          </w:p>
        </w:tc>
      </w:tr>
      <w:tr>
        <w:trPr/>
        <w:tc>
          <w:tcPr>
            <w:tcW w:w="75" w:type="dxa"/>
            <w:tcBorders/>
            <w:vAlign w:val="center"/>
          </w:tcPr>
          <w:p>
            <w:pPr>
              <w:pStyle w:val="TableContents"/>
              <w:bidi w:val="0"/>
              <w:spacing w:before="0" w:after="283"/>
              <w:ind w:left="0" w:right="0" w:hanging="180"/>
              <w:jc w:val="left"/>
              <w:rPr/>
            </w:pPr>
            <w:r>
              <w:rPr/>
              <w:t> </w:t>
            </w:r>
          </w:p>
        </w:tc>
        <w:tc>
          <w:tcPr>
            <w:tcW w:w="8243" w:type="dxa"/>
            <w:tcBorders/>
            <w:vAlign w:val="center"/>
          </w:tcPr>
          <w:p>
            <w:pPr>
              <w:pStyle w:val="TableContents"/>
              <w:bidi w:val="0"/>
              <w:spacing w:before="0" w:after="283"/>
              <w:jc w:val="left"/>
              <w:rPr/>
            </w:pPr>
            <w:r>
              <w:rPr/>
              <w:t>Amount of Principal Balance due remaining under the Note after this conversion:</w:t>
            </w:r>
          </w:p>
        </w:tc>
        <w:tc>
          <w:tcPr>
            <w:tcW w:w="1887" w:type="dxa"/>
            <w:tcBorders/>
            <w:vAlign w:val="center"/>
          </w:tcPr>
          <w:p>
            <w:pPr>
              <w:pStyle w:val="TableContents"/>
              <w:bidi w:val="0"/>
              <w:spacing w:before="0" w:after="283"/>
              <w:jc w:val="left"/>
              <w:rPr/>
            </w:pPr>
            <w:r>
              <w:rPr/>
              <w:t>________________</w:t>
            </w:r>
          </w:p>
        </w:tc>
      </w:tr>
    </w:tbl>
    <w:p>
      <w:pPr>
        <w:pStyle w:val="TextBody"/>
        <w:bidi w:val="0"/>
        <w:spacing w:before="0" w:after="0"/>
        <w:ind w:left="306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650"/>
        <w:gridCol w:w="2300"/>
        <w:gridCol w:w="75"/>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Vanquish Funding Group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Date:</w:t>
            </w:r>
          </w:p>
        </w:tc>
        <w:tc>
          <w:tcPr>
            <w:tcW w:w="2300" w:type="dxa"/>
            <w:tcBorders/>
            <w:vAlign w:val="center"/>
          </w:tcPr>
          <w:p>
            <w:pPr>
              <w:pStyle w:val="TableContents"/>
              <w:bidi w:val="0"/>
              <w:spacing w:before="0" w:after="283"/>
              <w:jc w:val="left"/>
              <w:rPr/>
            </w:pPr>
            <w:r>
              <w:rPr/>
              <w:t>___________________</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060" w:right="0" w:hanging="0"/>
        <w:jc w:val="left"/>
        <w:rPr>
          <w:caps w:val="false"/>
          <w:smallCaps w:val="false"/>
        </w:rPr>
      </w:pPr>
      <w:r>
        <w:rPr>
          <w:caps w:val="false"/>
          <w:smallCaps w:val="false"/>
        </w:rPr>
        <w:t> </w:t>
      </w:r>
    </w:p>
    <w:p>
      <w:pPr>
        <w:pStyle w:val="TextBody"/>
        <w:bidi w:val="0"/>
        <w:spacing w:before="0" w:after="0"/>
        <w:ind w:left="30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a030508401ex23-1.htm"/>
      <w:bookmarkStart w:id="40" w:name="ksea030508401ex231"/>
      <w:bookmarkEnd w:id="39"/>
      <w:bookmarkEnd w:id="40"/>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5"/>
        <w:gridCol w:w="5140"/>
        <w:gridCol w:w="60"/>
        <w:gridCol w:w="2980"/>
      </w:tblGrid>
      <w:tr>
        <w:trPr/>
        <w:tc>
          <w:tcPr>
            <w:tcW w:w="2025" w:type="dxa"/>
            <w:tcBorders/>
            <w:vAlign w:val="center"/>
          </w:tcPr>
          <w:p>
            <w:pPr>
              <w:pStyle w:val="TableContents"/>
              <w:bidi w:val="0"/>
              <w:spacing w:before="0" w:after="283"/>
              <w:jc w:val="left"/>
              <w:rPr/>
            </w:pPr>
            <w:r>
              <w:rPr/>
              <w:drawing>
                <wp:inline distT="0" distB="0" distL="0" distR="0">
                  <wp:extent cx="1238250" cy="7905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102"/>
                          <a:stretch>
                            <a:fillRect/>
                          </a:stretch>
                        </pic:blipFill>
                        <pic:spPr bwMode="auto">
                          <a:xfrm>
                            <a:off x="0" y="0"/>
                            <a:ext cx="1238250" cy="790575"/>
                          </a:xfrm>
                          <a:prstGeom prst="rect">
                            <a:avLst/>
                          </a:prstGeom>
                        </pic:spPr>
                      </pic:pic>
                    </a:graphicData>
                  </a:graphic>
                </wp:inline>
              </w:drawing>
            </w:r>
            <w:r>
              <w:rPr/>
              <w:t> </w:t>
            </w:r>
          </w:p>
        </w:tc>
        <w:tc>
          <w:tcPr>
            <w:tcW w:w="5140" w:type="dxa"/>
            <w:tcBorders/>
            <w:vAlign w:val="center"/>
          </w:tcPr>
          <w:p>
            <w:pPr>
              <w:pStyle w:val="TableContents"/>
              <w:bidi w:val="0"/>
              <w:spacing w:before="0" w:after="283"/>
              <w:jc w:val="left"/>
              <w:rPr/>
            </w:pPr>
            <w:r>
              <w:rPr>
                <w:b/>
              </w:rPr>
              <w:t>J&amp;S ASSOCIATE PLT</w:t>
            </w:r>
            <w:r>
              <w:rPr/>
              <w:br/>
              <w:t>202206000037 (LLP0033395-LCA) &amp; AF002380</w:t>
              <w:br/>
              <w:t>(Registered with PCAOB and MIA)</w:t>
              <w:br/>
              <w:t>B-11-14, Megan Avenue II</w:t>
              <w:br/>
              <w:t>12,Jalan Yap Kwan Seng, 50450, Kuala Lumpur, Malaysia  </w:t>
            </w:r>
          </w:p>
        </w:tc>
        <w:tc>
          <w:tcPr>
            <w:tcW w:w="60" w:type="dxa"/>
            <w:tcBorders/>
            <w:vAlign w:val="center"/>
          </w:tcPr>
          <w:p>
            <w:pPr>
              <w:pStyle w:val="TableContents"/>
              <w:bidi w:val="0"/>
              <w:spacing w:before="0" w:after="283"/>
              <w:jc w:val="left"/>
              <w:rPr/>
            </w:pPr>
            <w:r>
              <w:rPr/>
              <w:t> </w:t>
            </w:r>
          </w:p>
        </w:tc>
        <w:tc>
          <w:tcPr>
            <w:tcW w:w="2980" w:type="dxa"/>
            <w:tcBorders/>
            <w:vAlign w:val="center"/>
          </w:tcPr>
          <w:p>
            <w:pPr>
              <w:pStyle w:val="TableContents"/>
              <w:bidi w:val="0"/>
              <w:spacing w:before="0" w:after="283"/>
              <w:jc w:val="left"/>
              <w:rPr/>
            </w:pPr>
            <w:r>
              <w:rPr/>
              <w:t>Tel: +603-4813 9469</w:t>
              <w:br/>
              <w:t xml:space="preserve">Email : info@jns-associate.com </w:t>
              <w:br/>
              <w:t>Website : jns-associate.com  </w:t>
            </w:r>
          </w:p>
        </w:tc>
      </w:tr>
      <w:tr>
        <w:trPr/>
        <w:tc>
          <w:tcPr>
            <w:tcW w:w="20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298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on Amendment No.2 to the Form F-1 of NewGenIvf Group Limited (the “Company”) of our report dated March 31, 2026 except for the number of shares in the balance sheets, statements of changes in shareholders’ equity and in Notes 1, 2, 12, 14, 20 and 23 as well as the earnings per share and weighted average shares outstanding in the statements of operations and comprehensive income (loss), which have been retrospectively adjusted for the reverse share splits effected on July 6, 2026 and September 1, 2026, as to which the report date is September 1, 2026, with respect to our audits of the consolidated financial statements of the Company as of December 31, 2025 and December 31, 2024 respectively, and for the three years in the period ended December 31, 2025 which is included in such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appearing in this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J&amp;S Associate PLT</w:t>
        <w:br/>
      </w:r>
      <w:r>
        <w:rPr>
          <w:rFonts w:ascii="Times New Roman;Times;Serif" w:hAnsi="Times New Roman;Times;Serif"/>
          <w:b w:val="false"/>
          <w:i w:val="false"/>
          <w:caps w:val="false"/>
          <w:smallCaps w:val="false"/>
          <w:sz w:val="20"/>
        </w:rPr>
        <w:t>Certified Public Accountants</w:t>
        <w:br/>
        <w:t>PCAOB Number: 6743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240"/>
        <w:jc w:val="right"/>
        <w:rPr>
          <w:rFonts w:ascii="Times New Roman;Times;Serif" w:hAnsi="Times New Roman;Times;Serif"/>
          <w:b/>
          <w:i w:val="false"/>
          <w:caps w:val="false"/>
          <w:smallCaps w:val="false"/>
          <w:sz w:val="24"/>
        </w:rPr>
      </w:pPr>
      <w:bookmarkStart w:id="41" w:name="ea030508401ex-fee.htm"/>
      <w:bookmarkStart w:id="42" w:name="ksea030508401exfee"/>
      <w:bookmarkEnd w:id="41"/>
      <w:bookmarkEnd w:id="42"/>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NewGenIvf Group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960" w:type="dxa"/>
        <w:jc w:val="left"/>
        <w:tblInd w:w="0" w:type="dxa"/>
        <w:tblLayout w:type="fixed"/>
        <w:tblCellMar>
          <w:top w:w="0" w:type="dxa"/>
          <w:left w:w="0" w:type="dxa"/>
          <w:bottom w:w="0" w:type="dxa"/>
          <w:right w:w="0" w:type="dxa"/>
        </w:tblCellMar>
      </w:tblPr>
      <w:tblGrid>
        <w:gridCol w:w="1040"/>
        <w:gridCol w:w="60"/>
        <w:gridCol w:w="800"/>
        <w:gridCol w:w="60"/>
        <w:gridCol w:w="1130"/>
        <w:gridCol w:w="60"/>
        <w:gridCol w:w="575"/>
        <w:gridCol w:w="60"/>
        <w:gridCol w:w="1100"/>
        <w:gridCol w:w="60"/>
        <w:gridCol w:w="1025"/>
        <w:gridCol w:w="60"/>
        <w:gridCol w:w="169"/>
        <w:gridCol w:w="826"/>
        <w:gridCol w:w="60"/>
        <w:gridCol w:w="140"/>
        <w:gridCol w:w="1400"/>
        <w:gridCol w:w="60"/>
        <w:gridCol w:w="1040"/>
        <w:gridCol w:w="60"/>
        <w:gridCol w:w="162"/>
        <w:gridCol w:w="1013"/>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4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960" w:type="dxa"/>
            <w:gridSpan w:val="22"/>
            <w:tcBorders/>
            <w:vAlign w:val="center"/>
          </w:tcPr>
          <w:p>
            <w:pPr>
              <w:pStyle w:val="TableContents"/>
              <w:bidi w:val="0"/>
              <w:spacing w:before="0" w:after="283"/>
              <w:jc w:val="center"/>
              <w:rPr>
                <w:i/>
              </w:rPr>
            </w:pPr>
            <w:r>
              <w:rPr>
                <w:i/>
              </w:rPr>
              <w:t>Newly Registered Securities</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Class A Ordinary Shares,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6,000,000.00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828.60</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Pre-funded Warrants to purchase Class A Ordinary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Class A Ordinary Shares underlying the Pre-Funded Warrant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Class A Ordinary Shares,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4,364,044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1.1550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5,040,470.82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696.08</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Class A Ordinary Shares,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1,381.00</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Pre-funded Warrants to purchase Class A Ordinary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Class A Ordinary Shares underlying the Pre-Funded Warrant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Class A Ordinary Shares,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(8)</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3,555,893</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0.4320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1,536,145.77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212.14</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02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22,576,616.59</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3,117.82</w:t>
            </w:r>
          </w:p>
        </w:tc>
      </w:tr>
      <w:tr>
        <w:trPr/>
        <w:tc>
          <w:tcPr>
            <w:tcW w:w="702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1,593.14</w:t>
            </w:r>
          </w:p>
        </w:tc>
      </w:tr>
      <w:tr>
        <w:trPr/>
        <w:tc>
          <w:tcPr>
            <w:tcW w:w="702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702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1,524.68</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62"/>
        <w:gridCol w:w="23"/>
        <w:gridCol w:w="9920"/>
      </w:tblGrid>
      <w:tr>
        <w:trPr/>
        <w:tc>
          <w:tcPr>
            <w:tcW w:w="26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20" w:type="dxa"/>
            <w:tcBorders/>
            <w:vAlign w:val="center"/>
          </w:tcPr>
          <w:p>
            <w:pPr>
              <w:pStyle w:val="TableContents"/>
              <w:bidi w:val="0"/>
              <w:spacing w:before="0" w:after="283"/>
              <w:jc w:val="both"/>
              <w:rPr/>
            </w:pPr>
            <w:r>
              <w:rPr/>
              <w:t>Estimated solely for the purpose of calculating the amount of the registration fee in pursuant to Rule 457(o) under the Securities Act of 1933, as amended (the “Securities Act”)</w:t>
              <w:br/>
              <w:br/>
              <w:t>Pursuant to Rule 416 under the Securities Act, this registration statement shall also cover any additional shares of the registrant’s securities that become issuable by reason of any share splits, share dividends or similar transactions.</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proposed maximum aggregate offering price of the Class A ordinary shares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Class A ordinary share issued in the offering. Accordingly, the proposed maximum aggregate offering price of the Common Shares and pre-funded warrants (including the Class A ordinary shares issuable upon exercise of the pre-funded warrants), if any, is $6,000,000.</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proposed maximum aggregate offering price of the Class A ordinary shares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Class A ordinary share issued in the offering. Accordingly, the proposed maximum aggregate offering price of the Common Shares and pre-funded warrants (including the Class A ordinary shares issuable upon exercise of the pre-funded warrants), if any, is $6,000,000.</w:t>
            </w:r>
          </w:p>
        </w:tc>
      </w:tr>
    </w:tbl>
    <w:tbl>
      <w:tblPr>
        <w:tblW w:w="10205" w:type="dxa"/>
        <w:jc w:val="left"/>
        <w:tblInd w:w="0" w:type="dxa"/>
        <w:tblLayout w:type="fixed"/>
        <w:tblCellMar>
          <w:top w:w="0" w:type="dxa"/>
          <w:left w:w="0" w:type="dxa"/>
          <w:bottom w:w="0" w:type="dxa"/>
          <w:right w:w="0" w:type="dxa"/>
        </w:tblCellMar>
      </w:tblPr>
      <w:tblGrid>
        <w:gridCol w:w="254"/>
        <w:gridCol w:w="23"/>
        <w:gridCol w:w="9928"/>
      </w:tblGrid>
      <w:tr>
        <w:trPr/>
        <w:tc>
          <w:tcPr>
            <w:tcW w:w="254"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28" w:type="dxa"/>
            <w:tcBorders/>
            <w:vAlign w:val="center"/>
          </w:tcPr>
          <w:p>
            <w:pPr>
              <w:pStyle w:val="TableContents"/>
              <w:bidi w:val="0"/>
              <w:spacing w:before="0" w:after="283"/>
              <w:jc w:val="both"/>
              <w:rPr/>
            </w:pPr>
            <w:r>
              <w:rPr/>
              <w:t>Pursuant to Rule 416 under the Securities Act, this registration statement shall also cover any additional shares of the registrant’s securities that become issuable by reason of any share splits, share dividends or similar transactions.</w:t>
              <w:br/>
              <w:br/>
              <w:t>Estimated solely for the purpose of determining the amount of registration fee in accordance with Rule 457(c) under the Securities Act of 1933, based on the average of the high and low trading prices on September 9, 2026 of the Registrant’s Class A ordinary shares listed on Nasdaq Capital Market.</w:t>
            </w:r>
          </w:p>
        </w:tc>
      </w:tr>
    </w:tbl>
    <w:tbl>
      <w:tblPr>
        <w:tblW w:w="10205" w:type="dxa"/>
        <w:jc w:val="left"/>
        <w:tblInd w:w="0" w:type="dxa"/>
        <w:tblLayout w:type="fixed"/>
        <w:tblCellMar>
          <w:top w:w="0" w:type="dxa"/>
          <w:left w:w="0" w:type="dxa"/>
          <w:bottom w:w="0" w:type="dxa"/>
          <w:right w:w="0" w:type="dxa"/>
        </w:tblCellMar>
      </w:tblPr>
      <w:tblGrid>
        <w:gridCol w:w="262"/>
        <w:gridCol w:w="23"/>
        <w:gridCol w:w="9920"/>
      </w:tblGrid>
      <w:tr>
        <w:trPr/>
        <w:tc>
          <w:tcPr>
            <w:tcW w:w="262"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20" w:type="dxa"/>
            <w:tcBorders/>
            <w:vAlign w:val="center"/>
          </w:tcPr>
          <w:p>
            <w:pPr>
              <w:pStyle w:val="TableContents"/>
              <w:bidi w:val="0"/>
              <w:spacing w:before="0" w:after="283"/>
              <w:jc w:val="both"/>
              <w:rPr/>
            </w:pPr>
            <w:r>
              <w:rPr/>
              <w:t>Pursuant to Rule 416 under the Securities Act, this registration statement shall also cover any additional shares of the registrant’s securities that become issuable by reason of any share splits, share dividends or similar transactions.</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proposed maximum aggregate offering price of the Class A ordinary shares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Class A ordinary share issued in the offering. Accordingly, the proposed maximum aggregate offering price of the Common Shares and pre-funded warrants (including the Class A ordinary shares issuable upon exercise of the pre-funded warrants), if any, is $6,000,000.</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proposed maximum aggregate offering price of the Class A ordinary shares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Class A ordinary share issued in the offering. Accordingly, the proposed maximum aggregate offering price of the Common Shares and pre-funded warrants (including the Class A ordinary shares issuable upon exercise of the pre-funded warrants), if any, is $6,000,000.</w:t>
            </w:r>
          </w:p>
        </w:tc>
      </w:tr>
    </w:tbl>
    <w:tbl>
      <w:tblPr>
        <w:tblW w:w="10205" w:type="dxa"/>
        <w:jc w:val="left"/>
        <w:tblInd w:w="0" w:type="dxa"/>
        <w:tblLayout w:type="fixed"/>
        <w:tblCellMar>
          <w:top w:w="0" w:type="dxa"/>
          <w:left w:w="0" w:type="dxa"/>
          <w:bottom w:w="0" w:type="dxa"/>
          <w:right w:w="0" w:type="dxa"/>
        </w:tblCellMar>
      </w:tblPr>
      <w:tblGrid>
        <w:gridCol w:w="262"/>
        <w:gridCol w:w="23"/>
        <w:gridCol w:w="9920"/>
      </w:tblGrid>
      <w:tr>
        <w:trPr/>
        <w:tc>
          <w:tcPr>
            <w:tcW w:w="262" w:type="dxa"/>
            <w:tcBorders/>
            <w:vAlign w:val="center"/>
          </w:tcPr>
          <w:p>
            <w:pPr>
              <w:pStyle w:val="TableContents"/>
              <w:bidi w:val="0"/>
              <w:spacing w:before="0" w:after="283"/>
              <w:jc w:val="right"/>
              <w:rPr/>
            </w:pPr>
            <w:r>
              <w:rPr/>
              <w:t>(8)</w:t>
            </w:r>
          </w:p>
        </w:tc>
        <w:tc>
          <w:tcPr>
            <w:tcW w:w="23" w:type="dxa"/>
            <w:tcBorders/>
            <w:vAlign w:val="center"/>
          </w:tcPr>
          <w:p>
            <w:pPr>
              <w:pStyle w:val="TableContents"/>
              <w:bidi w:val="0"/>
              <w:spacing w:before="0" w:after="283"/>
              <w:jc w:val="left"/>
              <w:rPr>
                <w:sz w:val="4"/>
                <w:szCs w:val="4"/>
              </w:rPr>
            </w:pPr>
            <w:r>
              <w:rPr>
                <w:sz w:val="4"/>
                <w:szCs w:val="4"/>
              </w:rPr>
            </w:r>
          </w:p>
        </w:tc>
        <w:tc>
          <w:tcPr>
            <w:tcW w:w="9920" w:type="dxa"/>
            <w:tcBorders/>
            <w:vAlign w:val="center"/>
          </w:tcPr>
          <w:p>
            <w:pPr>
              <w:pStyle w:val="TableContents"/>
              <w:bidi w:val="0"/>
              <w:spacing w:before="0" w:after="283"/>
              <w:jc w:val="both"/>
              <w:rPr/>
            </w:pPr>
            <w:r>
              <w:rPr/>
              <w:t>Pursuant to Rule 416 under the Securities Act, this registration statement shall also cover any additional shares of the registrant’s securities that become issuable by reason of any share splits, share dividends or similar transactions.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hyperlink" Target="https://www.sec.gov/Archives/edgar/data/1981662/000121390026091922/ea030132501ex1-1.htm" TargetMode="External"/><Relationship Id="rId20" Type="http://schemas.openxmlformats.org/officeDocument/2006/relationships/hyperlink" Target="http://www.sec.gov/Archives/edgar/data/1981662/000121390025061753/ea024817101ex3-1_newgen.htm" TargetMode="External"/><Relationship Id="rId21" Type="http://schemas.openxmlformats.org/officeDocument/2006/relationships/hyperlink" Target="http://www.sec.gov/Archives/edgar/data/1981662/000121390024031644/ea020344201ex2-1_newgen.htm" TargetMode="External"/><Relationship Id="rId22" Type="http://schemas.openxmlformats.org/officeDocument/2006/relationships/hyperlink" Target="http://www.sec.gov/Archives/edgar/data/1981662/000121390024031644/ea020344201ex2-2_newgen.htm" TargetMode="External"/><Relationship Id="rId23" Type="http://schemas.openxmlformats.org/officeDocument/2006/relationships/hyperlink" Target="http://www.sec.gov/Archives/edgar/data/1868775/000110465922025006/tm225054d14_ex4-2.htm" TargetMode="External"/><Relationship Id="rId24" Type="http://schemas.openxmlformats.org/officeDocument/2006/relationships/hyperlink" Target="http://www.sec.gov/Archives/edgar/data/1981662/000121390023087023/ff42023a1ex4-7_aspac1.htm" TargetMode="External"/><Relationship Id="rId25" Type="http://schemas.openxmlformats.org/officeDocument/2006/relationships/hyperlink" Target="https://www.sec.gov/Archives/edgar/data/1981662/000121390026091922/ea030132501ex4-6.htm" TargetMode="External"/><Relationship Id="rId26" Type="http://schemas.openxmlformats.org/officeDocument/2006/relationships/hyperlink" Target="http://www.sec.gov/Archives/edgar/data/1868775/000121390023012495/ea173753ex2-1_aspac1acq.htm" TargetMode="External"/><Relationship Id="rId27" Type="http://schemas.openxmlformats.org/officeDocument/2006/relationships/hyperlink" Target="http://www.sec.gov/Archives/edgar/data/1868775/000121390023048612/ea180200ex2-1_aspac1acq.htm" TargetMode="External"/><Relationship Id="rId28" Type="http://schemas.openxmlformats.org/officeDocument/2006/relationships/hyperlink" Target="http://www.sec.gov/Archives/edgar/data/1868775/000121390023093702/ea189487ex2-1_aspac1acq.htm" TargetMode="External"/><Relationship Id="rId29" Type="http://schemas.openxmlformats.org/officeDocument/2006/relationships/hyperlink" Target="http://www.sec.gov/Archives/edgar/data/1868775/000121390024020466/ea0201275ex2-1_aspac1.htm" TargetMode="External"/><Relationship Id="rId30" Type="http://schemas.openxmlformats.org/officeDocument/2006/relationships/hyperlink" Target="http://www.sec.gov/Archives/edgar/data/1868775/000110465922025006/tm225054d14_ex10-5.htm" TargetMode="External"/><Relationship Id="rId31" Type="http://schemas.openxmlformats.org/officeDocument/2006/relationships/hyperlink" Target="http://www.sec.gov/Archives/edgar/data/1868775/000121390023012495/ea173753ex10-1_aspac1acq.htm" TargetMode="External"/><Relationship Id="rId32" Type="http://schemas.openxmlformats.org/officeDocument/2006/relationships/hyperlink" Target="http://www.sec.gov/Archives/edgar/data/1868775/000121390023012495/ea173753ex10-2_aspac1acq.htm" TargetMode="External"/><Relationship Id="rId33" Type="http://schemas.openxmlformats.org/officeDocument/2006/relationships/hyperlink" Target="http://www.sec.gov/Archives/edgar/data/1981662/000121390024031644/ea020344201ex4-8_newgen.htm" TargetMode="External"/><Relationship Id="rId34" Type="http://schemas.openxmlformats.org/officeDocument/2006/relationships/hyperlink" Target="http://www.sec.gov/Archives/edgar/data/1868775/000121390024020466/ea0201275ex10-1_aspac1.htm" TargetMode="External"/><Relationship Id="rId35" Type="http://schemas.openxmlformats.org/officeDocument/2006/relationships/hyperlink" Target="http://www.sec.gov/Archives/edgar/data/1868775/000121390024020466/ea0201275ex10-2_aspac1.htm" TargetMode="External"/><Relationship Id="rId36" Type="http://schemas.openxmlformats.org/officeDocument/2006/relationships/hyperlink" Target="http://www.sec.gov/Archives/edgar/data/1868775/000121390024020466/ea0201275ex10-3_aspac1.htm" TargetMode="External"/><Relationship Id="rId37" Type="http://schemas.openxmlformats.org/officeDocument/2006/relationships/hyperlink" Target="http://www.sec.gov/Archives/edgar/data/1981662/000101376223007357/ff42023ex10-19_aspac1.htm" TargetMode="External"/><Relationship Id="rId38" Type="http://schemas.openxmlformats.org/officeDocument/2006/relationships/hyperlink" Target="http://www.sec.gov/Archives/edgar/data/1981662/000101376223007357/ff42023ex10-20_aspac1.htm" TargetMode="External"/><Relationship Id="rId39" Type="http://schemas.openxmlformats.org/officeDocument/2006/relationships/hyperlink" Target="http://www.sec.gov/Archives/edgar/data/1981662/000101376223007357/ff42023ex10-21_aspac1.htm" TargetMode="External"/><Relationship Id="rId40" Type="http://schemas.openxmlformats.org/officeDocument/2006/relationships/hyperlink" Target="http://www.sec.gov/Archives/edgar/data/1981662/000101376223007357/ff42023ex10-22_aspac1.htm" TargetMode="External"/><Relationship Id="rId41" Type="http://schemas.openxmlformats.org/officeDocument/2006/relationships/hyperlink" Target="http://www.sec.gov/Archives/edgar/data/1981662/000101376223007357/ff42023ex10-23_aspac1.htm" TargetMode="External"/><Relationship Id="rId42" Type="http://schemas.openxmlformats.org/officeDocument/2006/relationships/hyperlink" Target="http://www.sec.gov/Archives/edgar/data/1981662/000101376223007357/ff42023ex10-24_aspac1.htm" TargetMode="External"/><Relationship Id="rId43" Type="http://schemas.openxmlformats.org/officeDocument/2006/relationships/hyperlink" Target="http://www.sec.gov/Archives/edgar/data/1981662/000101376223007357/ff42023ex10-25_aspac1.htm" TargetMode="External"/><Relationship Id="rId44" Type="http://schemas.openxmlformats.org/officeDocument/2006/relationships/hyperlink" Target="http://www.sec.gov/Archives/edgar/data/1981662/000101376223007357/ff42023ex10-26_aspac1.htm" TargetMode="External"/><Relationship Id="rId45" Type="http://schemas.openxmlformats.org/officeDocument/2006/relationships/hyperlink" Target="http://www.sec.gov/Archives/edgar/data/1981662/000101376223007357/ff42023ex10-27_aspac1.htm" TargetMode="External"/><Relationship Id="rId46" Type="http://schemas.openxmlformats.org/officeDocument/2006/relationships/hyperlink" Target="http://www.sec.gov/Archives/edgar/data/1981662/000121390024031644/ea020344201ex4-21_newgen.htm" TargetMode="External"/><Relationship Id="rId47" Type="http://schemas.openxmlformats.org/officeDocument/2006/relationships/hyperlink" Target="http://www.sec.gov/Archives/edgar/data/1868775/000121390024020466/ea0201275ex10-1_aspac1.htm" TargetMode="External"/><Relationship Id="rId48" Type="http://schemas.openxmlformats.org/officeDocument/2006/relationships/hyperlink" Target="http://www.sec.gov/Archives/edgar/data/1868775/000121390024020466/ea0201275ex10-2_aspac1.htm" TargetMode="External"/><Relationship Id="rId49" Type="http://schemas.openxmlformats.org/officeDocument/2006/relationships/hyperlink" Target="http://www.sec.gov/Archives/edgar/data/1981662/000121390024069887/ea021151801ex4-1_newgen.htm" TargetMode="External"/><Relationship Id="rId50" Type="http://schemas.openxmlformats.org/officeDocument/2006/relationships/hyperlink" Target="http://www.sec.gov/Archives/edgar/data/1981662/000121390024076330/ea021292701ex10-25_newgen.htm" TargetMode="External"/><Relationship Id="rId51" Type="http://schemas.openxmlformats.org/officeDocument/2006/relationships/hyperlink" Target="http://www.sec.gov/Archives/edgar/data/1981662/000121390024074614/ea021297701ex4-1_newgen.htm" TargetMode="External"/><Relationship Id="rId52" Type="http://schemas.openxmlformats.org/officeDocument/2006/relationships/hyperlink" Target="http://www.sec.gov/Archives/edgar/data/1981662/000121390024101682/ea022147001ex10-27_newgen.htm" TargetMode="External"/><Relationship Id="rId53" Type="http://schemas.openxmlformats.org/officeDocument/2006/relationships/hyperlink" Target="http://www.sec.gov/Archives/edgar/data/1981662/000121390024101682/ea022147001ex10-28_newgen.htm" TargetMode="External"/><Relationship Id="rId54" Type="http://schemas.openxmlformats.org/officeDocument/2006/relationships/hyperlink" Target="http://www.sec.gov/Archives/edgar/data/1981662/000121390024099047/ea022145801ex4-1_newgen.htm" TargetMode="External"/><Relationship Id="rId55" Type="http://schemas.openxmlformats.org/officeDocument/2006/relationships/hyperlink" Target="http://www.sec.gov/Archives/edgar/data/1981662/000121390025021404/ea023310401ex10-30_newgen.htm" TargetMode="External"/><Relationship Id="rId56" Type="http://schemas.openxmlformats.org/officeDocument/2006/relationships/hyperlink" Target="http://www.sec.gov/Archives/edgar/data/1981662/000121390025021404/ea023310401ex10-31_newgen.htm" TargetMode="External"/><Relationship Id="rId57" Type="http://schemas.openxmlformats.org/officeDocument/2006/relationships/hyperlink" Target="http://www.sec.gov/Archives/edgar/data/1981662/000121390025028370/ea023707201ex4-1_newgen.htm" TargetMode="External"/><Relationship Id="rId58" Type="http://schemas.openxmlformats.org/officeDocument/2006/relationships/hyperlink" Target="https://www.sec.gov/Archives/edgar/data/1981662/000121390026091922/ea030132501ex10-33.htm" TargetMode="External"/><Relationship Id="rId59" Type="http://schemas.openxmlformats.org/officeDocument/2006/relationships/hyperlink" Target="https://www.sec.gov/Archives/edgar/data/1981662/000121390026091922/ea030132501ex10-34.htm" TargetMode="External"/><Relationship Id="rId60" Type="http://schemas.openxmlformats.org/officeDocument/2006/relationships/hyperlink" Target="https://www.sec.gov/Archives/edgar/data/1981662/000121390026091922/ea030132501ex10-35.htm" TargetMode="External"/><Relationship Id="rId61" Type="http://schemas.openxmlformats.org/officeDocument/2006/relationships/hyperlink" Target="https://www.sec.gov/Archives/edgar/data/1981662/000121390026091922/ea030132501ex10-36.htm" TargetMode="External"/><Relationship Id="rId62" Type="http://schemas.openxmlformats.org/officeDocument/2006/relationships/hyperlink" Target="https://www.sec.gov/Archives/edgar/data/1981662/000121390026091922/ea030132501ex10-37.htm" TargetMode="External"/><Relationship Id="rId63" Type="http://schemas.openxmlformats.org/officeDocument/2006/relationships/hyperlink" Target="https://www.sec.gov/Archives/edgar/data/1981662/000121390026091922/ea030132501ex10-38.htm" TargetMode="External"/><Relationship Id="rId64" Type="http://schemas.openxmlformats.org/officeDocument/2006/relationships/hyperlink" Target="https://www.sec.gov/Archives/edgar/data/1981662/000121390026037687/ea028376601ex10-39.htm" TargetMode="External"/><Relationship Id="rId65" Type="http://schemas.openxmlformats.org/officeDocument/2006/relationships/hyperlink" Target="https://www.sec.gov/Archives/edgar/data/1981662/000121390026037687/ea028376601ex10-40.htm" TargetMode="External"/><Relationship Id="rId66" Type="http://schemas.openxmlformats.org/officeDocument/2006/relationships/hyperlink" Target="https://www.sec.gov/Archives/edgar/data/1981662/000121390026037687/ea028376601ex10-41.htm" TargetMode="External"/><Relationship Id="rId67" Type="http://schemas.openxmlformats.org/officeDocument/2006/relationships/hyperlink" Target="https://www.sec.gov/Archives/edgar/data/1981662/000121390026037687/ea028376601ex10-42.htm" TargetMode="External"/><Relationship Id="rId68" Type="http://schemas.openxmlformats.org/officeDocument/2006/relationships/hyperlink" Target="https://www.sec.gov/Archives/edgar/data/1981662/000121390026091922/ea030132501ex10-43.htm" TargetMode="External"/><Relationship Id="rId69" Type="http://schemas.openxmlformats.org/officeDocument/2006/relationships/hyperlink" Target="https://www.sec.gov/Archives/edgar/data/1981662/000121390026091922/ea030132501ex10-44.htm" TargetMode="External"/><Relationship Id="rId70" Type="http://schemas.openxmlformats.org/officeDocument/2006/relationships/hyperlink" Target="https://www.sec.gov/Archives/edgar/data/1981662/000121390026091922/ea030132501ex10-45.htm" TargetMode="External"/><Relationship Id="rId71" Type="http://schemas.openxmlformats.org/officeDocument/2006/relationships/hyperlink" Target="https://www.sec.gov/Archives/edgar/data/1981662/000121390026091922/ea030132501ex10-46.htm" TargetMode="External"/><Relationship Id="rId72" Type="http://schemas.openxmlformats.org/officeDocument/2006/relationships/hyperlink" Target="https://www.sec.gov/Archives/edgar/data/1981662/000121390026091922/ea030132501ex10-47.htm" TargetMode="External"/><Relationship Id="rId73" Type="http://schemas.openxmlformats.org/officeDocument/2006/relationships/hyperlink" Target="https://www.sec.gov/Archives/edgar/data/1981662/000121390026091922/ea030132501ex10-48.htm" TargetMode="External"/><Relationship Id="rId74" Type="http://schemas.openxmlformats.org/officeDocument/2006/relationships/hyperlink" Target="https://www.sec.gov/Archives/edgar/data/1981662/000121390026091922/ea030132501ex10-49.htm" TargetMode="External"/><Relationship Id="rId75" Type="http://schemas.openxmlformats.org/officeDocument/2006/relationships/hyperlink" Target="https://www.sec.gov/Archives/edgar/data/1981662/000121390026091922/ea030132501ex10-50.htm" TargetMode="External"/><Relationship Id="rId76" Type="http://schemas.openxmlformats.org/officeDocument/2006/relationships/hyperlink" Target="https://www.sec.gov/Archives/edgar/data/1981662/000121390026091922/ea030132501ex10-51.htm" TargetMode="External"/><Relationship Id="rId77" Type="http://schemas.openxmlformats.org/officeDocument/2006/relationships/hyperlink" Target="https://www.sec.gov/Archives/edgar/data/1981662/000121390026061805/ea029230001ex10-1.htm" TargetMode="External"/><Relationship Id="rId78" Type="http://schemas.openxmlformats.org/officeDocument/2006/relationships/hyperlink" Target="https://www.sec.gov/Archives/edgar/data/1981662/000121390026061805/ea029230001ex10-2.htm" TargetMode="External"/><Relationship Id="rId79" Type="http://schemas.openxmlformats.org/officeDocument/2006/relationships/hyperlink" Target="https://www.sec.gov/Archives/edgar/data/1981662/000121390026065035/ea029360601ex10-1.htm" TargetMode="External"/><Relationship Id="rId80" Type="http://schemas.openxmlformats.org/officeDocument/2006/relationships/hyperlink" Target="https://www.sec.gov/Archives/edgar/data/1981662/000121390026091922/ea030132501ex10-55.htm" TargetMode="External"/><Relationship Id="rId81" Type="http://schemas.openxmlformats.org/officeDocument/2006/relationships/hyperlink" Target="https://www.sec.gov/Archives/edgar/data/1981662/000121390026091922/ea030132501ex10-56.htm" TargetMode="External"/><Relationship Id="rId82" Type="http://schemas.openxmlformats.org/officeDocument/2006/relationships/hyperlink" Target="https://www.sec.gov/Archives/edgar/data/1981662/000121390026091922/ea030132501ex10-57.htm" TargetMode="External"/><Relationship Id="rId83" Type="http://schemas.openxmlformats.org/officeDocument/2006/relationships/hyperlink" Target="https://www.sec.gov/Archives/edgar/data/1981662/000121390026091922/ea030132501ex10-58.htm" TargetMode="External"/><Relationship Id="rId84" Type="http://schemas.openxmlformats.org/officeDocument/2006/relationships/hyperlink" Target="https://www.sec.gov/Archives/edgar/data/1981662/000121390026091922/ea030132501ex10-59.htm" TargetMode="External"/><Relationship Id="rId85" Type="http://schemas.openxmlformats.org/officeDocument/2006/relationships/hyperlink" Target="https://www.sec.gov/Archives/edgar/data/1981662/000121390026091922/ea030132501ex10-60.htm" TargetMode="External"/><Relationship Id="rId86" Type="http://schemas.openxmlformats.org/officeDocument/2006/relationships/hyperlink" Target="https://www.sec.gov/Archives/edgar/data/1981662/000121390026091922/ea030132501ex10-61.htm" TargetMode="External"/><Relationship Id="rId87" Type="http://schemas.openxmlformats.org/officeDocument/2006/relationships/hyperlink" Target="https://www.sec.gov/Archives/edgar/data/1981662/000121390026069883/ea029516101ex10-1.htm" TargetMode="External"/><Relationship Id="rId88" Type="http://schemas.openxmlformats.org/officeDocument/2006/relationships/hyperlink" Target="https://www.sec.gov/Archives/edgar/data/1981662/000121390026091922/ea030132501ex10-63.htm" TargetMode="External"/><Relationship Id="rId89" Type="http://schemas.openxmlformats.org/officeDocument/2006/relationships/hyperlink" Target="https://www.sec.gov/Archives/edgar/data/1981662/000121390026091922/ea030132501ex10-64.htm" TargetMode="External"/><Relationship Id="rId90" Type="http://schemas.openxmlformats.org/officeDocument/2006/relationships/hyperlink" Target="https://www.sec.gov/Archives/edgar/data/1981662/000121390026091922/ea030132501ex10-65.htm" TargetMode="External"/><Relationship Id="rId91" Type="http://schemas.openxmlformats.org/officeDocument/2006/relationships/hyperlink" Target="https://www.sec.gov/Archives/edgar/data/1981662/000121390026091922/ea030132501ex10-66.htm" TargetMode="External"/><Relationship Id="rId92" Type="http://schemas.openxmlformats.org/officeDocument/2006/relationships/hyperlink" Target="https://www.sec.gov/Archives/edgar/data/1981662/000121390026090519/ea030160101ex10-1.htm" TargetMode="External"/><Relationship Id="rId93" Type="http://schemas.openxmlformats.org/officeDocument/2006/relationships/hyperlink" Target="https://www.sec.gov/Archives/edgar/data/1981662/000121390026090519/ea030160101ex10-2.htm" TargetMode="External"/><Relationship Id="rId94" Type="http://schemas.openxmlformats.org/officeDocument/2006/relationships/hyperlink" Target="https://www.sec.gov/Archives/edgar/data/1981662/000121390026091922/ea030132501ex10-69.htm" TargetMode="External"/><Relationship Id="rId95" Type="http://schemas.openxmlformats.org/officeDocument/2006/relationships/hyperlink" Target="https://www.sec.gov/Archives/edgar/data/1981662/000121390026091922/ea030132501ex10-70.htm" TargetMode="External"/><Relationship Id="rId96" Type="http://schemas.openxmlformats.org/officeDocument/2006/relationships/hyperlink" Target="https://www.sec.gov/Archives/edgar/data/1981662/000121390026091922/ea030132501ex10-71.htm" TargetMode="External"/><Relationship Id="rId97" Type="http://schemas.openxmlformats.org/officeDocument/2006/relationships/hyperlink" Target="https://www.sec.gov/Archives/edgar/data/1981662/000121390026091922/ea030132501ex21-1.htm" TargetMode="External"/><Relationship Id="rId98" Type="http://schemas.openxmlformats.org/officeDocument/2006/relationships/hyperlink" Target="http://www.sec.gov/Archives/edgar/data/1981662/000121390024070853/ea021122901ex97-1_newgen.htm" TargetMode="External"/><Relationship Id="rId99" Type="http://schemas.openxmlformats.org/officeDocument/2006/relationships/image" Target="media/image18.jpeg"/><Relationship Id="rId100" Type="http://schemas.openxmlformats.org/officeDocument/2006/relationships/image" Target="media/image19.jpeg"/><Relationship Id="rId101" Type="http://schemas.openxmlformats.org/officeDocument/2006/relationships/image" Target="media/image19.jpeg"/><Relationship Id="rId102" Type="http://schemas.openxmlformats.org/officeDocument/2006/relationships/image" Target="media/image20.jpeg"/><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132088</Words>
  <Characters>723051</Characters>
  <CharactersWithSpaces>859034</CharactersWithSpaces>
  <Paragraphs>15174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