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filename1.htm"/>
      <w:bookmarkStart w:id="1" w:name="ksfilename1"/>
      <w:bookmarkEnd w:id="0"/>
      <w:bookmarkEnd w:id="1"/>
      <w:r>
        <w:rPr>
          <w:rFonts w:ascii="Times New Roman;Times;Serif" w:hAnsi="Times New Roman;Times;Serif"/>
          <w:b/>
          <w:i w:val="false"/>
          <w:caps w:val="false"/>
          <w:smallCaps w:val="false"/>
          <w:sz w:val="20"/>
        </w:rPr>
        <w:t>As confidentially submitted to the Securities and Exchange Commission on July 13, 2026</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2585"/>
        <w:gridCol w:w="60"/>
        <w:gridCol w:w="2405"/>
        <w:gridCol w:w="60"/>
        <w:gridCol w:w="1910"/>
      </w:tblGrid>
      <w:tr>
        <w:trPr/>
        <w:tc>
          <w:tcPr>
            <w:tcW w:w="25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58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0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1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Fung Alfred Siu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br/>
        <w:t>Sukhumvit 21 Road (Asoke)</w:t>
        <w:br/>
        <w:t>Khlong Toei Nuea Sub-district</w:t>
        <w:br/>
        <w:t>Watthana District, Bangkok 10110</w:t>
        <w:br/>
        <w:t>Thailand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(212) 537-4406</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3485"/>
        <w:gridCol w:w="60"/>
        <w:gridCol w:w="275"/>
      </w:tblGrid>
      <w:tr>
        <w:trPr/>
        <w:tc>
          <w:tcPr>
            <w:tcW w:w="3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 Lin, Esq.</w:t>
              <w:br/>
              <w:t>Han Kun Law Offices LLP</w:t>
              <w:br/>
              <w:t>Rooms 4301-10, 43/F., Gloucester Tower</w:t>
              <w:br/>
              <w:t>The Landmark</w:t>
              <w:br/>
              <w:t>15 Queen’s Road Central</w:t>
              <w:br/>
              <w:t>Hong Kong</w:t>
              <w:br/>
              <w:t>+852 2820 5600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6885" w:type="dxa"/>
        <w:jc w:val="left"/>
        <w:tblInd w:w="0" w:type="dxa"/>
        <w:tblLayout w:type="fixed"/>
        <w:tblCellMar>
          <w:top w:w="0" w:type="dxa"/>
          <w:left w:w="0" w:type="dxa"/>
          <w:bottom w:w="0" w:type="dxa"/>
          <w:right w:w="0" w:type="dxa"/>
        </w:tblCellMar>
      </w:tblPr>
      <w:tblGrid>
        <w:gridCol w:w="2750"/>
        <w:gridCol w:w="2630"/>
        <w:gridCol w:w="1505"/>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150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 Units, with each Unit consisting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Class A Ordinary Share or One Pre-Funded Warrant to Purchase One Class A Ordinary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Common Warrant to Purchase One Class A Ordinary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Pre-Funded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Common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954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572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on a “best efforts” basis, [●] units (the “Units”), each Unit consisting of: (A) (i) one Class A Ordinary Share (the “Class A Ordinary Shares”); and (ii) one Common Warrant to purchase one Class A Ordinary Share (the “Common Warrants”); or (B) (i) one pre-funded warrant to purchase one Class A Ordinary Share (the “Pre-Funded Warrants,” together with the Common Warrants, the “Warrants”), and (ii) one Common Warrant. Each Common Warrant is exercisable at an exercise price of $[●] per share (100% of the assumed public offering price per Unit). The exercise price of each Pre-Funded Warrant is $0.001 per share. The Pre-Funded Warrants will be immediately exercisable and may be exercised at any time until all of the Pre-Funded Warrants are exercised in full. The Common Warrants will be exercisable immediately and will expire [●] years after the closing date. See “Description of Securities We Are Offering.” We are offering each Unit at an assumed public offering price of $[●] per Unit, equal to the closing price of our Class A Ordinary Shares on The Nasdaq Capital Market on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Pre-Funded Warrants, and the accompanying Common Warrants, can only be purchased together in this offering but will be issued separately and will be immediately separable upon issuance. Pursuant to the registration statement related to this prospectus, we are also registering a maximum of [●] Class A Ordinary Shares issuable upon exercise of the Warrants included in the Units offered hereby at an assumed public offering price of $[●] per Unit, or equal to the closing price of our Class A Ordinary Shares on The Nasdaq Capital Market on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may be exercised on a cashless basis in accordance with the formula set forth in the warrants, in the event that a registration statement is not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large numbers of Common Warrants will result in significant dilution for purchasers of our Class A Ordinary Shares and will cause further drops in the market price for our Class A Ordinary Shares. It may also result in the price falling below the $1.00 minimum bid price required by the Nasdaq, thereby potentially subjecting the Class A Shares to delisting from the Nasdaq. For more information, see “</w:t>
      </w:r>
      <w:r>
        <w:rPr>
          <w:rFonts w:ascii="Times New Roman;Times;Serif" w:hAnsi="Times New Roman;Times;Serif"/>
          <w:b w:val="false"/>
          <w:i/>
          <w:caps w:val="false"/>
          <w:smallCaps w:val="false"/>
          <w:sz w:val="20"/>
        </w:rPr>
        <w:t>Risk Factors – If we are unable to continue to meet the listing requirements of Nasdaq, our Class A Ordinary Shares will be delisted.</w:t>
      </w:r>
      <w:r>
        <w:rPr>
          <w:rFonts w:ascii="Times New Roman;Times;Serif" w:hAnsi="Times New Roman;Times;Serif"/>
          <w:b w:val="false"/>
          <w:i w:val="false"/>
          <w:caps w:val="false"/>
          <w:smallCaps w:val="false"/>
          <w:sz w:val="20"/>
        </w:rPr>
        <w:t>” on page 38, and “Description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The number of Class A Ordinary Shares and Class B Ordinary Shares currently issued and outstanding was [●] and [●] as of [●], 2026. Each Class A Ordinary Share is entitled to one (1) vote and each Class B Ordinary Share is entitled to one hundred (100) votes.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for the offered securities will be determined at the time of pricing and may be at a discount to the current market price at the time. Therefore, the assumed public offering price used throughout this prospectus may not be indicative of the final offering price. The final public offering price will be determined through negotiation between us, the placement agent and the investors based upon a number of factors, including our history and our prospects, the industry in which we operate, our past and present operating results, the previous experience of our executive officers and the general condition of the securities markets at the time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best-efforts offering and the placement agent does not have an obligation to purchase any securities.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Because there is no minimum offering amount, investors could be in a position where they have invested in our company, but we are unable to fulfill our objectives due to a lack of interest in this offering. Also, any proceeds from the sale of securities offered by us will be available for our immediate use despite uncertainty about whether we would be able to use such funds to effectively implement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 2026, unless we decide to terminate the offering (which we may do at any time in our discretion) prior to that date. We will have one closing for all the securities purchased in this offering. The public offering price per ordinary unit and per pre-funded unit will be fixed for the duration of this offering. The offering will settle delivery versus payment (“DVP”). Accordingly, we and the placement agent have not made any arrangements to place investor funds in an escrow account or trust account since the placement agent will not receive investor funds in connection with the sale of the securities offered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this offering, and on the assumption that the warrants are exercised in full, our issued and outstanding shares will consist of [●] Class A Ordinary Shares and [●]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issuances of Class B Ordinary Shares may be dilutive to holders of our Class A Ordinary Shares. It could have the effect of increasing the overall voting power of Class B Shareholders relative to Class A Shareholders, diluting, and diminishing the influence and control of Class A Shareholders over our company’s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The Nasdaq Capital Market under the symbol “NIVF.” The last reported closing price of our Class A Ordinary Shares [●], 2026 was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as defined in Rule 405 under the U.S. Securities Act of 1933, as amended, or the Securities Act, thus we are eligible for reduced public company reporting requirements, and are permitted to rely on certain exemptions from Nasdaq corporate governance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(“NewGenIvf,” “Company,” “our,” “we,” or “us”) is a British Virgin Islands holding company with our operations conducted through our subsidiaries in the Cayman Islands (our wholly-owned subsidiary, NewGenIvf Limited), British Virgin Islands (our wholly-owned subsidiaries, NewGenDigital Limited and NewGenProperty Limited) and the United States of America (our wholly-owned subsidiary, Microsort Lab Services LLC) and in Asia (Hong Kong, Thailand, Kyrgyzstan, and the Kingdom of Cambodia). Under this holding company structure, investors are purchasing equity interests in NewGenIvf, a British Virgin Islands holding company, and obtaining indirect ownership interests in our Cayman Islands, British Virgin Islands, United States of America and Asian operating subsidiaries. Substantially all of NewGenIvf’s operations and assets are based in the United States of America, Thailand, Cambodia and Kyrgyzstan. As a result, its businesses and operations are subject to the changing economic conditions prevailing from time to time in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continued listing requirements, subject to meeting specific compliance criteria within designated timeframes. As of the date of this prospectus, in accordance with the Panel’s extension, the Company has already made progress on its compliance plan, including carrying out a 1-for-20 reverse stock split of its issued and unissued shares which was effected on February 11, 2025.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is accurate only as of the date of this prospectus, regardless of the time of delivery of this prospectus or any sale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being offered pursuant to this prospectus involves a high degree of risk, including the risk of losing your entire investment.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starting on page 32 to read about the factors you should consider before buying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or the SEC, nor any state or other foreign securities commission has approved nor disapproved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7244" w:type="dxa"/>
        <w:jc w:val="left"/>
        <w:tblInd w:w="0" w:type="dxa"/>
        <w:tblLayout w:type="fixed"/>
        <w:tblCellMar>
          <w:top w:w="0" w:type="dxa"/>
          <w:left w:w="0" w:type="dxa"/>
          <w:bottom w:w="0" w:type="dxa"/>
          <w:right w:w="0" w:type="dxa"/>
        </w:tblCellMar>
      </w:tblPr>
      <w:tblGrid>
        <w:gridCol w:w="3650"/>
        <w:gridCol w:w="60"/>
        <w:gridCol w:w="177"/>
        <w:gridCol w:w="458"/>
        <w:gridCol w:w="60"/>
        <w:gridCol w:w="60"/>
        <w:gridCol w:w="438"/>
        <w:gridCol w:w="2266"/>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 </w:t>
              <w:br/>
              <w:t>UNIT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GROSS PROCEEDS</w:t>
            </w:r>
            <w:r>
              <w:rPr>
                <w:rFonts w:ascii="Times New Roman;Times;Serif" w:hAnsi="Times New Roman;Times;Serif"/>
                <w:b/>
                <w:position w:val="7"/>
                <w:sz w:val="16"/>
                <w:sz w:val="20"/>
              </w:rPr>
              <w:t>(4)</w:t>
            </w:r>
          </w:p>
        </w:tc>
        <w:tc>
          <w:tcPr>
            <w:tcW w:w="75" w:type="dxa"/>
            <w:tcBorders/>
            <w:vAlign w:val="center"/>
          </w:tcPr>
          <w:p>
            <w:pPr>
              <w:pStyle w:val="TableContents"/>
              <w:bidi w:val="0"/>
              <w:spacing w:before="0" w:after="283"/>
              <w:ind w:left="0" w:right="0" w:hanging="200"/>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22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 Fees</w:t>
            </w:r>
            <w:r>
              <w:rPr>
                <w:rFonts w:ascii="Times New Roman;Times;Serif" w:hAnsi="Times New Roman;Times;Serif"/>
                <w:position w:val="7"/>
                <w:sz w:val="16"/>
                <w:sz w:val="20"/>
              </w:rPr>
              <w:t xml:space="preserve">(2)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45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w:t>
            </w:r>
          </w:p>
        </w:tc>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the Company before expenses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226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283"/>
              <w:jc w:val="both"/>
              <w:rPr/>
            </w:pPr>
            <w:r>
              <w:rPr/>
              <w:t>Offering price per Unit is assumed to be US$[●], which is the last reported sale price of our Class A Ordinary Share, as reported on the Nasdaq Capital Market on [●],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283"/>
              <w:jc w:val="both"/>
              <w:rPr/>
            </w:pPr>
            <w:r>
              <w:rPr/>
              <w:t>The placement agent, [●], will receive compensation in addition to the placement agent fees. See “Plan of Distribution” for a description of compensation payable to the placement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283"/>
              <w:jc w:val="both"/>
              <w:rPr/>
            </w:pPr>
            <w:r>
              <w:rPr/>
              <w:t>The total amount of expenses related to this offering is set forth in the section titled “Expenses Relating to This Offering”.</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(4)</w:t>
            </w:r>
          </w:p>
        </w:tc>
        <w:tc>
          <w:tcPr>
            <w:tcW w:w="9914" w:type="dxa"/>
            <w:tcBorders/>
            <w:vAlign w:val="center"/>
          </w:tcPr>
          <w:p>
            <w:pPr>
              <w:pStyle w:val="TableContents"/>
              <w:bidi w:val="0"/>
              <w:spacing w:before="0" w:after="283"/>
              <w:jc w:val="both"/>
              <w:rPr/>
            </w:pPr>
            <w:r>
              <w:rPr/>
              <w:t>Total gross proceeds are calculated assuming the sales of all the securities being offered in this offering, the full exercise of the Pre-Funded Warrants, if there is any issuance of Pre-Funded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complete this offering, net proceeds will be delivered to us on the closing date. We expect to deliver the securities against payment in U.S. dollars in New York, NY to investors on or about [●], 2026, subject to satisfaction of certain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295"/>
        <w:gridCol w:w="60"/>
        <w:gridCol w:w="455"/>
      </w:tblGrid>
      <w:tr>
        <w:trPr/>
        <w:tc>
          <w:tcPr>
            <w:tcW w:w="72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95" w:type="dxa"/>
            <w:tcBorders/>
            <w:shd w:fill="CCEEFF" w:val="clear"/>
            <w:vAlign w:val="center"/>
          </w:tcPr>
          <w:p>
            <w:pPr>
              <w:pStyle w:val="TableContents"/>
              <w:bidi w:val="0"/>
              <w:spacing w:before="0" w:after="283"/>
              <w:jc w:val="both"/>
              <w:rPr/>
            </w:pPr>
            <w:hyperlink w:anchor="k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295" w:type="dxa"/>
            <w:tcBorders/>
            <w:shd w:fill="FFFFFF" w:val="clear"/>
            <w:vAlign w:val="center"/>
          </w:tcPr>
          <w:p>
            <w:pPr>
              <w:pStyle w:val="TableContents"/>
              <w:bidi w:val="0"/>
              <w:spacing w:before="0" w:after="283"/>
              <w:jc w:val="both"/>
              <w:rPr/>
            </w:pPr>
            <w:hyperlink w:anchor="k_002">
              <w:r>
                <w:rPr>
                  <w:rStyle w:val="InternetLink"/>
                  <w:rFonts w:ascii="Times New Roman;Times;Serif" w:hAnsi="Times New Roman;Times;Serif"/>
                  <w:b w:val="false"/>
                  <w:i w:val="false"/>
                  <w:caps w:val="false"/>
                  <w:smallCaps w:val="false"/>
                  <w:sz w:val="20"/>
                </w:rPr>
                <w:t>Glossary of Defined Terms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295" w:type="dxa"/>
            <w:tcBorders/>
            <w:shd w:fill="CCEEFF" w:val="clear"/>
            <w:vAlign w:val="center"/>
          </w:tcPr>
          <w:p>
            <w:pPr>
              <w:pStyle w:val="TableContents"/>
              <w:bidi w:val="0"/>
              <w:spacing w:before="0" w:after="283"/>
              <w:jc w:val="both"/>
              <w:rPr/>
            </w:pPr>
            <w:hyperlink w:anchor="k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95" w:type="dxa"/>
            <w:tcBorders/>
            <w:shd w:fill="FFFFFF" w:val="clear"/>
            <w:vAlign w:val="center"/>
          </w:tcPr>
          <w:p>
            <w:pPr>
              <w:pStyle w:val="TableContents"/>
              <w:bidi w:val="0"/>
              <w:spacing w:before="0" w:after="283"/>
              <w:jc w:val="both"/>
              <w:rPr/>
            </w:pPr>
            <w:hyperlink w:anchor="k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95" w:type="dxa"/>
            <w:tcBorders/>
            <w:shd w:fill="CCEEFF" w:val="clear"/>
            <w:vAlign w:val="center"/>
          </w:tcPr>
          <w:p>
            <w:pPr>
              <w:pStyle w:val="TableContents"/>
              <w:bidi w:val="0"/>
              <w:spacing w:before="0" w:after="283"/>
              <w:jc w:val="both"/>
              <w:rPr/>
            </w:pPr>
            <w:hyperlink w:anchor="k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7295" w:type="dxa"/>
            <w:tcBorders/>
            <w:shd w:fill="FFFFFF" w:val="clear"/>
            <w:vAlign w:val="center"/>
          </w:tcPr>
          <w:p>
            <w:pPr>
              <w:pStyle w:val="TableContents"/>
              <w:bidi w:val="0"/>
              <w:spacing w:before="0" w:after="283"/>
              <w:jc w:val="both"/>
              <w:rPr/>
            </w:pPr>
            <w:hyperlink w:anchor="k_006">
              <w:r>
                <w:rPr>
                  <w:rStyle w:val="InternetLink"/>
                  <w:rFonts w:ascii="Times New Roman;Times;Serif" w:hAnsi="Times New Roman;Times;Serif"/>
                  <w:b w:val="false"/>
                  <w:i w:val="false"/>
                  <w:caps w:val="false"/>
                  <w:smallCaps w:val="false"/>
                  <w:sz w:val="20"/>
                </w:rPr>
                <w:t>Management</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7295" w:type="dxa"/>
            <w:tcBorders/>
            <w:shd w:fill="CCEEFF" w:val="clear"/>
            <w:vAlign w:val="center"/>
          </w:tcPr>
          <w:p>
            <w:pPr>
              <w:pStyle w:val="TableContents"/>
              <w:bidi w:val="0"/>
              <w:spacing w:before="0" w:after="283"/>
              <w:jc w:val="both"/>
              <w:rPr/>
            </w:pPr>
            <w:hyperlink w:anchor="k_007">
              <w:r>
                <w:rPr>
                  <w:rStyle w:val="InternetLink"/>
                  <w:rFonts w:ascii="Times New Roman;Times;Serif" w:hAnsi="Times New Roman;Times;Serif"/>
                  <w:b w:val="false"/>
                  <w:i w:val="false"/>
                  <w:caps w:val="false"/>
                  <w:smallCaps w:val="false"/>
                  <w:sz w:val="20"/>
                </w:rPr>
                <w:t>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7295" w:type="dxa"/>
            <w:tcBorders/>
            <w:shd w:fill="FFFFFF" w:val="clear"/>
            <w:vAlign w:val="center"/>
          </w:tcPr>
          <w:p>
            <w:pPr>
              <w:pStyle w:val="TableContents"/>
              <w:bidi w:val="0"/>
              <w:spacing w:before="0" w:after="283"/>
              <w:jc w:val="both"/>
              <w:rPr/>
            </w:pPr>
            <w:hyperlink w:anchor="k_008">
              <w:r>
                <w:rPr>
                  <w:rStyle w:val="InternetLink"/>
                  <w:rFonts w:ascii="Times New Roman;Times;Serif" w:hAnsi="Times New Roman;Times;Serif"/>
                  <w:b w:val="false"/>
                  <w:i w:val="false"/>
                  <w:caps w:val="false"/>
                  <w:smallCaps w:val="false"/>
                  <w:sz w:val="20"/>
                </w:rPr>
                <w:t>Listing Details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295" w:type="dxa"/>
            <w:tcBorders/>
            <w:shd w:fill="CCEEFF" w:val="clear"/>
            <w:vAlign w:val="center"/>
          </w:tcPr>
          <w:p>
            <w:pPr>
              <w:pStyle w:val="TableContents"/>
              <w:bidi w:val="0"/>
              <w:spacing w:before="0" w:after="283"/>
              <w:jc w:val="both"/>
              <w:rPr/>
            </w:pPr>
            <w:hyperlink w:anchor="k_009">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295" w:type="dxa"/>
            <w:tcBorders/>
            <w:shd w:fill="FFFFFF" w:val="clear"/>
            <w:vAlign w:val="center"/>
          </w:tcPr>
          <w:p>
            <w:pPr>
              <w:pStyle w:val="TableContents"/>
              <w:bidi w:val="0"/>
              <w:spacing w:before="0" w:after="283"/>
              <w:jc w:val="both"/>
              <w:rPr/>
            </w:pPr>
            <w:hyperlink w:anchor="k_010">
              <w:r>
                <w:rPr>
                  <w:rStyle w:val="InternetLink"/>
                  <w:rFonts w:ascii="Times New Roman;Times;Serif" w:hAnsi="Times New Roman;Times;Serif"/>
                  <w:b w:val="false"/>
                  <w:i w:val="false"/>
                  <w:caps w:val="false"/>
                  <w:smallCaps w:val="false"/>
                  <w:sz w:val="20"/>
                </w:rPr>
                <w:t>Dividend Policy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7295" w:type="dxa"/>
            <w:tcBorders/>
            <w:shd w:fill="CCEEFF" w:val="clear"/>
            <w:vAlign w:val="center"/>
          </w:tcPr>
          <w:p>
            <w:pPr>
              <w:pStyle w:val="TableContents"/>
              <w:bidi w:val="0"/>
              <w:spacing w:before="0" w:after="283"/>
              <w:jc w:val="both"/>
              <w:rPr/>
            </w:pPr>
            <w:hyperlink w:anchor="k_011">
              <w:r>
                <w:rPr>
                  <w:rStyle w:val="InternetLink"/>
                  <w:rFonts w:ascii="Times New Roman;Times;Serif" w:hAnsi="Times New Roman;Times;Serif"/>
                  <w:b w:val="false"/>
                  <w:i w:val="false"/>
                  <w:caps w:val="false"/>
                  <w:smallCaps w:val="false"/>
                  <w:sz w:val="20"/>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7295" w:type="dxa"/>
            <w:tcBorders/>
            <w:shd w:fill="FFFFFF" w:val="clear"/>
            <w:vAlign w:val="center"/>
          </w:tcPr>
          <w:p>
            <w:pPr>
              <w:pStyle w:val="TableContents"/>
              <w:bidi w:val="0"/>
              <w:spacing w:before="0" w:after="283"/>
              <w:jc w:val="both"/>
              <w:rPr/>
            </w:pPr>
            <w:hyperlink w:anchor="k_0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7295" w:type="dxa"/>
            <w:tcBorders/>
            <w:shd w:fill="CCEEFF" w:val="clear"/>
            <w:vAlign w:val="center"/>
          </w:tcPr>
          <w:p>
            <w:pPr>
              <w:pStyle w:val="TableContents"/>
              <w:bidi w:val="0"/>
              <w:spacing w:before="0" w:after="283"/>
              <w:jc w:val="both"/>
              <w:rPr/>
            </w:pPr>
            <w:hyperlink w:anchor="k_013">
              <w:r>
                <w:rPr>
                  <w:rStyle w:val="InternetLink"/>
                  <w:rFonts w:ascii="Times New Roman;Times;Serif" w:hAnsi="Times New Roman;Times;Serif"/>
                  <w:b w:val="false"/>
                  <w:i w:val="false"/>
                  <w:caps w:val="false"/>
                  <w:smallCaps w:val="false"/>
                  <w:sz w:val="20"/>
                </w:rPr>
                <w:t>Business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95" w:type="dxa"/>
            <w:tcBorders/>
            <w:shd w:fill="FFFFFF" w:val="clear"/>
            <w:vAlign w:val="center"/>
          </w:tcPr>
          <w:p>
            <w:pPr>
              <w:pStyle w:val="TableContents"/>
              <w:bidi w:val="0"/>
              <w:spacing w:before="0" w:after="283"/>
              <w:jc w:val="both"/>
              <w:rPr/>
            </w:pPr>
            <w:hyperlink w:anchor="k_014">
              <w:r>
                <w:rPr>
                  <w:rStyle w:val="InternetLink"/>
                  <w:rFonts w:ascii="Times New Roman;Times;Serif" w:hAnsi="Times New Roman;Times;Serif"/>
                  <w:b w:val="false"/>
                  <w:i w:val="false"/>
                  <w:caps w:val="false"/>
                  <w:smallCaps w:val="false"/>
                  <w:sz w:val="20"/>
                </w:rPr>
                <w:t>Principal Shareholders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7295" w:type="dxa"/>
            <w:tcBorders/>
            <w:shd w:fill="CCEEFF" w:val="clear"/>
            <w:vAlign w:val="center"/>
          </w:tcPr>
          <w:p>
            <w:pPr>
              <w:pStyle w:val="TableContents"/>
              <w:bidi w:val="0"/>
              <w:spacing w:before="0" w:after="283"/>
              <w:jc w:val="both"/>
              <w:rPr/>
            </w:pPr>
            <w:hyperlink w:anchor="k_015">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7295" w:type="dxa"/>
            <w:tcBorders/>
            <w:shd w:fill="FFFFFF" w:val="clear"/>
            <w:vAlign w:val="center"/>
          </w:tcPr>
          <w:p>
            <w:pPr>
              <w:pStyle w:val="TableContents"/>
              <w:bidi w:val="0"/>
              <w:spacing w:before="0" w:after="283"/>
              <w:jc w:val="both"/>
              <w:rPr/>
            </w:pPr>
            <w:hyperlink w:anchor="k_016">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r>
      <w:tr>
        <w:trPr/>
        <w:tc>
          <w:tcPr>
            <w:tcW w:w="7295" w:type="dxa"/>
            <w:tcBorders/>
            <w:shd w:fill="CCEEFF" w:val="clear"/>
            <w:vAlign w:val="center"/>
          </w:tcPr>
          <w:p>
            <w:pPr>
              <w:pStyle w:val="TableContents"/>
              <w:bidi w:val="0"/>
              <w:spacing w:before="0" w:after="283"/>
              <w:jc w:val="both"/>
              <w:rPr/>
            </w:pPr>
            <w:hyperlink w:anchor="k_017">
              <w:r>
                <w:rPr>
                  <w:rStyle w:val="InternetLink"/>
                  <w:rFonts w:ascii="Times New Roman;Times;Serif" w:hAnsi="Times New Roman;Times;Serif"/>
                  <w:b w:val="false"/>
                  <w:i w:val="false"/>
                  <w:caps w:val="false"/>
                  <w:smallCaps w:val="false"/>
                  <w:sz w:val="20"/>
                </w:rPr>
                <w:t>Taxation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7295" w:type="dxa"/>
            <w:tcBorders/>
            <w:shd w:fill="FFFFFF" w:val="clear"/>
            <w:vAlign w:val="center"/>
          </w:tcPr>
          <w:p>
            <w:pPr>
              <w:pStyle w:val="TableContents"/>
              <w:bidi w:val="0"/>
              <w:spacing w:before="0" w:after="283"/>
              <w:jc w:val="both"/>
              <w:rPr/>
            </w:pPr>
            <w:hyperlink w:anchor="k_018">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7295" w:type="dxa"/>
            <w:tcBorders/>
            <w:shd w:fill="CCEEFF" w:val="clear"/>
            <w:vAlign w:val="center"/>
          </w:tcPr>
          <w:p>
            <w:pPr>
              <w:pStyle w:val="TableContents"/>
              <w:bidi w:val="0"/>
              <w:spacing w:before="0" w:after="283"/>
              <w:jc w:val="both"/>
              <w:rPr/>
            </w:pPr>
            <w:hyperlink w:anchor="k_019">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7295" w:type="dxa"/>
            <w:tcBorders/>
            <w:shd w:fill="FFFFFF" w:val="clear"/>
            <w:vAlign w:val="center"/>
          </w:tcPr>
          <w:p>
            <w:pPr>
              <w:pStyle w:val="TableContents"/>
              <w:bidi w:val="0"/>
              <w:spacing w:before="0" w:after="283"/>
              <w:jc w:val="both"/>
              <w:rPr/>
            </w:pPr>
            <w:hyperlink w:anchor="k_020">
              <w:r>
                <w:rPr>
                  <w:rStyle w:val="InternetLink"/>
                  <w:rFonts w:ascii="Times New Roman;Times;Serif" w:hAnsi="Times New Roman;Times;Serif"/>
                  <w:b w:val="false"/>
                  <w:i w:val="false"/>
                  <w:caps w:val="false"/>
                  <w:smallCaps w:val="false"/>
                  <w:sz w:val="20"/>
                </w:rPr>
                <w:t>Expenses Relating to This Offering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r>
        <w:trPr/>
        <w:tc>
          <w:tcPr>
            <w:tcW w:w="7295" w:type="dxa"/>
            <w:tcBorders/>
            <w:shd w:fill="CCEEFF" w:val="clear"/>
            <w:vAlign w:val="center"/>
          </w:tcPr>
          <w:p>
            <w:pPr>
              <w:pStyle w:val="TableContents"/>
              <w:bidi w:val="0"/>
              <w:spacing w:before="0" w:after="283"/>
              <w:jc w:val="both"/>
              <w:rPr/>
            </w:pPr>
            <w:hyperlink w:anchor="k_021">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7295" w:type="dxa"/>
            <w:tcBorders/>
            <w:shd w:fill="FFFFFF" w:val="clear"/>
            <w:vAlign w:val="center"/>
          </w:tcPr>
          <w:p>
            <w:pPr>
              <w:pStyle w:val="TableContents"/>
              <w:bidi w:val="0"/>
              <w:spacing w:before="0" w:after="283"/>
              <w:jc w:val="both"/>
              <w:rPr/>
            </w:pPr>
            <w:hyperlink w:anchor="k_022">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k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and any free writing prospectus prepared by or on behalf of us or to which we have referred you. Neither we nor the placement agent have authorized anyone to provide you with different information. Neither we nor the placement agent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ordinary shares is made to the public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placement agent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“us,” “our” and the “Company” refer to NewGenIvf Group Limited and its subsidiaries including but not limited to, NewGenIvf Limited, a Cayman Islands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Unless otherwise expressly stated or the context otherwise requires, references in this prospectus to “dollars” or “$” are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and presented in accordance with accounting principles generally accepted in the United States of America,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Class A Ordinary Shares and Class B Ordinary Shares currently issued and outstanding was [●] and [●], as of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k_002"/>
      <w:bookmarkEnd w:id="3"/>
      <w:r>
        <w:rPr>
          <w:rFonts w:ascii="Times New Roman;Times;Serif" w:hAnsi="Times New Roman;Times;Serif"/>
          <w:b/>
          <w:i w:val="false"/>
          <w:caps w:val="false"/>
          <w:smallCaps w:val="false"/>
          <w:sz w:val="20"/>
        </w:rPr>
        <w:t>GLOSSARY OF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the context otherwise requires, references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ASCA” means A SPAC 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SPAC I Mini Acquisition Corp.” means A SPAC I Mini Acquisition Corp., a British Virgin Islands business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the transactions contemplated by the Merger Agreement, pursuant to which (i) ASCA reincorporated to the British Virgin Islands by merging with and into the Company; and (ii) Merger Sub merged with and into Legacy NewGenIvf, resulting in Legacy NewGenIvf being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means 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Act” means BVI Business Companies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 means Class A ordinary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 means (x) the Company’s Class B ordinary shares with no par value per share, and (y) any shares into which such ordinary shares shall have been changed or any shares resulting from a reclassification of such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Business Combination, which occurred on April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NewGenIvf Group Limited, a British Virgin Islands business company, the surviving entity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Reverse Stock Split” means the 1-for-20 reverse stock split effected by the Company on February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Fourth Reverse Stock Split” means the 1-for-5 reverse stock split effected by the Company on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Reverse Stock Split” means the 1-for-3 reverse stock split effected by the Company on January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Legacy NewGenIvf” means NewGenIvf Limited, a Cayman Islands exempted company, which became a wholly owned subsidiary of ASCA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entered into on February 15, 2023, and as amended on June 12, 2023 and December 6, 2023, between ASCA, A SPAC I Mini Acquisition Corp., Merger Sub, Legacy NewGenIvf, and certain shareholders of Legacy NewGenIvf, pursuant to which the Reincorporation Merger and Acquisition Merger were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Sub” means A SPAC I Mini Sub Acquisition Corp., a Cayman Islands exempted company and former wholly-owned subsidiary of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Memorandum and Articles of Association” means the Company’s Amended and Restated Memorandum and Articles of Association, as and restated on July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NewGenIvf” means NewGenIvf Group Limited, a British Virgin Islands business company, the surviving entity of the Business Combination, unless the context so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Preferred Shares” means preferred shares of the Company, no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Reincorporation Merger” means the first step of the Business Combination which occurred pursuant to the Merger Agreement, in which ASCA reincorporated to the British Virgin Islands by merging with and into A SPAC I Mini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Reverse Stock Splits” means the First Reverse Stock Split, the Second Reverse Stock Split, the Third Reverse Stock Split, the Fourth Reverse Stock Split, the Fifth Reverse Stock Split, the Sixth Reverse Stock Split, and the Seventh Reverse Stock Split. In this registration statement, where we state historical share and per-share numbers, we have, where appropriate, reflected a retroactive adjustment due to the Reverse Stock Splits in parentheses.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Reverse Stock Split” means the 1-for-10 reverse stock split effected by the Company on May 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Seventh Reverse Stock Split” means the 1-for-3 reverse stock split effected by the Company on July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Sixth Reverse Stock Split” means the 1-for-4 reverse stock split effected by the Company on March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Third Reverse Stock Split” means the 1-for-5 reverse stock split effected by the Company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k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the context otherwise requires, all references in this Prospectus Summary to “NewGenIvf,” “we,” “our,” and “us” refer to Legacy NewGenIvf and its subsidiaries including those that existed prior to the Closing if described in relation to a date prior to April 3, 2024. Any references to “NewGenIvf,” “we,” “our,” and “us” with respect to the present time, a future time, or a date after April 3, 2024 refers to NewGenIvf, a British Virgin Islands company, and its subsidiaries, whose existence continued after the Closing.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assisted reproductive services (“ARS”) provider in Asia-Pacific. Since the opening of our first clinic in Thailand in 2014, we have established ourselves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History and Development of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3, 2024, the Business Combination was consummated with the Company as the surviving entity.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NewGenIvf’s Business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the dreams of building families, NewGenIvf mainly offers two services, namely: (i) in vitro fertilization (“IVF”) treatment service, comprising traditional IVF and egg donation; and (ii) surrogacy and ancillary caring services. Currently, we have four clinics: two clinics in Thailand (one of which, whilst licensed, is yet to commence operations), one clinic in Cambodia, and one 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IVF treatment service: </w:t>
            </w:r>
            <w:r>
              <w:rPr>
                <w:rFonts w:ascii="Times New Roman;Times;Serif" w:hAnsi="Times New Roman;Times;Serif"/>
                <w:sz w:val="20"/>
              </w:rPr>
              <w:t>For the period ended December 31, 2025 and the year ended December 31, 2024, we generated approximately 82.6%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Fertility referral services: </w:t>
            </w:r>
            <w:r>
              <w:rPr>
                <w:rFonts w:ascii="Times New Roman;Times;Serif" w:hAnsi="Times New Roman;Times;Serif"/>
                <w:sz w:val="20"/>
              </w:rPr>
              <w:t>We also generate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NewGenIvf’s revenue was US$5,433,375 and US$4,726,433, and its net income/(loss) was US$(474,101) and US$9,879,408, respectively.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Competitive Strengths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Broad-range Assisted Reproductive Service (“ARS”) Provider Offering Comprehensive Fertility Treatment Services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focuses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Attractive Market with Significant Demand and Fast Growth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agents and sub-agents throughout China and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Exclusively Owned and Licensed Technology for Family Planning and Access to Mature Fertility Technologies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MicroSort Technology:</w:t>
            </w:r>
            <w:r>
              <w:rPr>
                <w:rFonts w:ascii="Times New Roman;Times;Serif" w:hAnsi="Times New Roman;Times;Serif"/>
                <w:b w:val="false"/>
                <w:i w:val="false"/>
                <w:caps w:val="false"/>
                <w:smallCaps w:val="false"/>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Screening (“PGS”)</w:t>
            </w:r>
            <w:r>
              <w:rPr>
                <w:rFonts w:ascii="Times New Roman;Times;Serif" w:hAnsi="Times New Roman;Times;Serif"/>
                <w:b w:val="false"/>
                <w:i w:val="false"/>
                <w:caps w:val="false"/>
                <w:smallCaps w:val="false"/>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Next-Generation Sequencing (“NGS”)</w:t>
            </w:r>
            <w:r>
              <w:rPr>
                <w:rFonts w:ascii="Times New Roman;Times;Serif" w:hAnsi="Times New Roman;Times;Serif"/>
                <w:b w:val="false"/>
                <w:i w:val="false"/>
                <w:caps w:val="false"/>
                <w:smallCaps w:val="false"/>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Preimplantation Genetic Diagnosis (“PGD”)</w:t>
            </w:r>
            <w:r>
              <w:rPr>
                <w:rFonts w:ascii="Times New Roman;Times;Serif" w:hAnsi="Times New Roman;Times;Serif"/>
                <w:b w:val="false"/>
                <w:i w:val="false"/>
                <w:caps w:val="false"/>
                <w:smallCaps w:val="false"/>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Well Established Brand with Reliable Reputation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benefits from the favourable geographic locations of its clinics, especially its clinic in Thailand. Located in central Bangkok and situated in one of the biggest shopping malls of the city, the clinic is located in close proximity to various transportation facilities and popular tourist attractions, such as the Erawan Shrine. In this regard, NewGenIvf believes that its business has benefited from, and will continue to benefit from, the convenience of its locations.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Experienced Management Team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Strategies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Offer Broad Fertility Services for Fertility Tourists across Asia 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Continue to Invest in Laboratories and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Increase Brand Awareness and Market Share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is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 ARS market in Asia-Pacific.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Expand Service Reach Through Acquisitions and Partnerships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had entered into a non-binding term sheet dated June 3, 2024 (the “Term Sheet”) with COVIRIX Medical Pty Ltd (“COVIRIX”) for a proposed reverse merger (the “COVIRIX Proposed Transaction”). However, on September 21, 2024, COVIRIX withdrew from the Proposed Transaction, as such the Proposed Transaction was terminated with no cost to the Company.  On December 11, 2024, NewGenIvf also announced its entry into a binding term sheet with European Wellness Investment Holdings Limited (“EWIHL”) for a proposed reverse merger (“EWIHL Proposed Transaction”), completion of which was subject to, among other conditions, the completion of due diligence, the negotiation of a definitive agreement, and obtaining adequate financing. On March 31, 2025, NewGenIvf terminated the term sheet for the EWIHL Proposed Transaction as EWIHL had failed to produce certain draft audited financials, which were specifically required in the term sheet.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28, 2025, NewGenIvf completed its acquisition of the MicroSort Business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Business (as defined in the Purchase Agreement) from GIVF for a cash consideration of $750,000 and a share consideration of 125,000 Class A Ordinary Shares (equivalent to 14 Class A Ordinary Shares adjusted for the Reverse Stock Splits) (“MicroSort Acquisition”).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15, 2026, NewGenIvf signed a strategic investment agreement (“PredicXion Agreement”) with PredicXion Group Limited (“PredicXion”) and Kong Yiu Cheung, PredicXion’s sole shareholder (the “Seller”)for the acquisition of up to a 10% equity interest in PredicXion (the “PredicXion Acquisition”) at a pre-money valuation of US$100,000,000. On May 28, 2026, the Company entered into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222,222 Class A Ordinary Shares adjusted for Reverse Stock Split) at a share price of US$1.50 per share. Pursuant to the First PredicXion SPA, the Company shall have an option exercisable at any time within three months after signing the First PredicXion SPA, to acquire an additional 8% of PredicXion’s fully diluted equity at the same pre-money valuation of US$100,000,000 (“Top-up Option”).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Company paid a cash deposit of US$300,000 upon signing of the Top-Up SPA, and shall pay the balance of $1,700,000 by August 30, 2026.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parties agreed that the aggregate cash deposit to be paid pursuant to the First PredicXion Top-Up SPA and the Second PredicXion Top-Up SPA shall be US$700,000, payable upon the signing of the Second PredicXion Top-Up SPA, and the balance of $1,900,000 shall be paid by the Company to the Seller by August 31, 2026.</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White Lion Transaction</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Class A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Subject to the satisfaction of certain customary conditions including, without limitation, the effectiveness of the registration statement registering the resale of the shares issuable pursuant to the White Lion Purchase Agreement, the Company’s right to sell shares to White Lion commenced on the date of the execution of White Lion Purchase Agreement and extends until (i) 36 months from the date of execution of the White Lion Purchase Agreement, or (ii) at the Company’s option, until 65 months from the date of the execution of the White Lion Purchase Agreement in the event that $100,000,000 of purchases under the White Lion Purchase Agreement have been completed prior to the 36 month anniversary of the Execution Date (the “Commitment Period”).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the Commitment Period, subject to the terms and conditions of the White Lion Purchase Agreement, the Company may exercise its right to sell its Class A Ordinary Shares to White Lion. The Company may deliver a Regular Purchase Notice (as such term is defined in the White Lion Purchase Agreement), pursuant to which the Company can require White Lion to purchase up to a number of Ordinary Shares equal to the lesser of (i) $3,000,000 divided by the highest closing price of the Ordinary Shares over the most recent five (5) Business Days immediately preceding the Purchase Notice, or (ii) 40% of Average Daily Trading Volume (as such term is defined in the White Lion Purchase Agreement), subject to a maximum Investment Limit of $3,000,000.</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may also deliver a Rapid Purchase Notice (as such term is defined in the White Lion Purchase Agreement), pursuant to which the Company may require White Lion to purchase up to a number of Ordinary Shares equal to $3,000,000 divided by the highest closing price of the Ordinary Shares over the most recent five business days immediately prior to the receipt of the notice. White Lion may waive such limits under any notice at its discretion and purchase additional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price to be paid by White Lion for any shares that the Company requires White Lion to purchase will depend on the type of purchase notice that the Company delivers. For shares being issued pursuant to a Regular Purchase Notice, the purchase price per share will be the lower of (i) the closing price of Ordinary Shares prior to the receipt of the applicable Purchase Notice, or (ii) the product of (a) the lowest daily VWAP of the Ordinary Shares during the Regular Purchase Valuation Period (as defined in the White Lion Purchase Agreement), and (b) 98%.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shares being issued pursuant to a Rapid Purchase Notice, the Company may opt for the purchase price per share to be (i) equal to the lowest traded price of the Ordinary Shares on the date that the notice is delivered, or (ii) 97% of the lowest traded price of the Ordinary Shares one hour following White Lion’s written confirmation of the acceptance of the Rapid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purchase notice shall result in White Lion beneficially owning (as calculated pursuant to Section 13(d) of the Securities Exchange Act of 1934, as amended, and Rule 13d-3 thereunder) more than 4.99% (subject to increase, in the sole discretion of White Lion, to 9.99%) of the number of Class A Ordinary Shares outstanding immediately prior to the issuance of Class A Ordinary Shares issuable pursuant to a purchase notice.</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has the right to terminate the White Lion Purchase Agreement in the event of a material breach of the White Lion Purchase Agreement by White Lion. The White Lion Purchase Agreement also automatically terminates upon the earlier of (i) the end of the Commitment Period and (ii) the date that the Company commences a voluntary bankruptcy proceeding, a custodian is appointed for the Company or for all or substantially all of its property, or the Company makes a general assignment for the benefit of its creditors.</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consideration for the commitments of White Lion, as described above, the Company agreed to issue to White Lion 700,000 Class A Ordinary Shares (“Commitment Shares” and equivalent to 4 Class A Ordinary Shares adjusted for the Reverse Stock Splits). Additional Class A Ordinary Shares may be issued to White Lion under certain conditions, including in connection with material transactions or upon achieving specified investment thresholds. The Commitment Shares will be fully earned by White Lion regardless of termination of the White Lion Purchase Agreement.</w:t>
      </w:r>
    </w:p>
    <w:p>
      <w:pPr>
        <w:pStyle w:val="TextBody"/>
        <w:bidi w:val="0"/>
        <w:spacing w:before="0" w:after="0"/>
        <w:ind w:left="20" w:right="2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White Lion Purchase Agreement and the RRA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(“Term Sheet”) with White Lion setting out the principal terms and conditions for a Digital Assets Purchase Agreement. Pursuant to the Term Sheet, NewGen will have the option, but not the obligation, to sell to White Lion shares of common stock of the Company up to a total amount equivalent to the value of 600,000 Solana tokens over an initial period of 24 months. Upon a sale of shares, the Company will be compensated by White Lion in Solana tokens rather than cash.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Model</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a focus on providing fertility treatments to fulfil couples and individuals’ dreams of raising children, NewGenIvf offers mainly two services, namely: (i) IVF treatment service, comprising traditional IVF and egg donation; and (ii) surrogacy and ancillary caring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890" w:type="dxa"/>
        <w:jc w:val="left"/>
        <w:tblInd w:w="0" w:type="dxa"/>
        <w:tblLayout w:type="fixed"/>
        <w:tblCellMar>
          <w:top w:w="0" w:type="dxa"/>
          <w:left w:w="0" w:type="dxa"/>
          <w:bottom w:w="0" w:type="dxa"/>
          <w:right w:w="0" w:type="dxa"/>
        </w:tblCellMar>
      </w:tblPr>
      <w:tblGrid>
        <w:gridCol w:w="3920"/>
        <w:gridCol w:w="60"/>
        <w:gridCol w:w="60"/>
        <w:gridCol w:w="980"/>
        <w:gridCol w:w="60"/>
        <w:gridCol w:w="60"/>
        <w:gridCol w:w="60"/>
        <w:gridCol w:w="560"/>
        <w:gridCol w:w="215"/>
        <w:gridCol w:w="60"/>
        <w:gridCol w:w="60"/>
        <w:gridCol w:w="980"/>
        <w:gridCol w:w="60"/>
        <w:gridCol w:w="60"/>
        <w:gridCol w:w="60"/>
        <w:gridCol w:w="56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pPr>
            <w:r>
              <w:rPr/>
              <w:t>Surrogacy and Ancillary Caring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920" w:type="dxa"/>
            <w:tcBorders/>
            <w:shd w:fill="CCEEFF" w:val="clear"/>
            <w:vAlign w:val="center"/>
          </w:tcPr>
          <w:p>
            <w:pPr>
              <w:pStyle w:val="TableContents"/>
              <w:bidi w:val="0"/>
              <w:spacing w:before="0" w:after="283"/>
              <w:jc w:val="left"/>
              <w:rPr/>
            </w:pPr>
            <w:r>
              <w:rPr/>
              <w:t>Fertility referral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820,570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92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IVF Treatment Service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revenue from NewGenIvf’s IVF treatments was US$5,433,375 and US$4,726,433, respectively, representing 100% and 82.6% of its total revenue in the corresponding periods.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IVF Treatments Process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943600"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3717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MicroSort technology is a preconception process developed by the Genetics &amp; IVF Institute, Inc (“GIVF”). that aims to improve the chances that the baby to be conceived will be of the desired gender and prevents certain gender-related hereditary diseases.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technology from Genetics &amp; IVF Institute, Inc. (“GIVF”).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125,000 Class A Ordinary Shares (“Share Consideration” and equivalent to 14 Class A Ordinary Shares adjusted by the Reverse Stock Splits).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on the same day.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flow chart below shows the process involved in MicroSort:</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029200" cy="2562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29200" cy="25622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Nodexus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438775" cy="3105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38775" cy="3105150"/>
                    </a:xfrm>
                    <a:prstGeom prst="rect">
                      <a:avLst/>
                    </a:prstGeom>
                  </pic:spPr>
                </pic:pic>
              </a:graphicData>
            </a:graphic>
          </wp:inline>
        </w:drawing>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943600" cy="3114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11467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Screening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Next-Generation Sequencing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Preimplantation Genetic Diagnosis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Egg Freezing Service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Fertility Referral Services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also generated revenue from fertility referral services in Kyrgyzstan. For the year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Network of 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drawing>
          <wp:inline distT="0" distB="0" distL="0" distR="0">
            <wp:extent cx="5762625" cy="2905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2625" cy="29051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the approximate aggregate average gross floor area (“</w:t>
      </w:r>
      <w:r>
        <w:rPr>
          <w:rFonts w:ascii="Times New Roman;Times;Serif" w:hAnsi="Times New Roman;Times;Serif"/>
          <w:b/>
          <w:i w:val="false"/>
          <w:caps w:val="false"/>
          <w:smallCaps w:val="false"/>
          <w:sz w:val="20"/>
          <w:bdr w:val="single" w:sz="12" w:space="5" w:color="000000"/>
        </w:rPr>
        <w:t>G.F.A.</w:t>
      </w:r>
      <w:r>
        <w:rPr>
          <w:rFonts w:ascii="Times New Roman;Times;Serif" w:hAnsi="Times New Roman;Times;Serif"/>
          <w:b w:val="false"/>
          <w:i w:val="false"/>
          <w:caps w:val="false"/>
          <w:smallCaps w:val="false"/>
          <w:sz w:val="20"/>
          <w:bdr w:val="single" w:sz="12" w:space="5" w:color="00000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5679" w:type="dxa"/>
        <w:jc w:val="left"/>
        <w:tblInd w:w="0" w:type="dxa"/>
        <w:tblLayout w:type="fixed"/>
        <w:tblCellMar>
          <w:top w:w="0" w:type="dxa"/>
          <w:left w:w="0" w:type="dxa"/>
          <w:bottom w:w="0" w:type="dxa"/>
          <w:right w:w="0" w:type="dxa"/>
        </w:tblCellMar>
      </w:tblPr>
      <w:tblGrid>
        <w:gridCol w:w="4070"/>
        <w:gridCol w:w="60"/>
        <w:gridCol w:w="118"/>
        <w:gridCol w:w="1356"/>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b/>
                <w:i/>
              </w:rPr>
            </w:pPr>
            <w:r>
              <w:rPr>
                <w:b/>
                <w:i/>
              </w:rPr>
              <w:t>Thailand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PS Tower</w:t>
              <w:br/>
              <w:t>(“</w:t>
            </w:r>
            <w:r>
              <w:rPr>
                <w:rFonts w:ascii="Times New Roman;Times;Serif" w:hAnsi="Times New Roman;Times;Serif"/>
                <w:b/>
                <w:sz w:val="20"/>
              </w:rPr>
              <w:t>First Fertility PGS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Fertility PGS Center Co., Ltd – Erawan Hotel</w:t>
            </w:r>
            <w:r>
              <w:rPr>
                <w:rFonts w:ascii="Times New Roman;Times;Serif" w:hAnsi="Times New Roman;Times;Serif"/>
                <w:b/>
                <w:sz w:val="20"/>
              </w:rPr>
              <w:br/>
              <w:t>(“First Fertility PGS Center”)</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2,615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b/>
                <w:i/>
              </w:rPr>
            </w:pPr>
            <w:r>
              <w:rPr>
                <w:b/>
                <w:i/>
              </w:rPr>
              <w:t>Cambodia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First Fertility Phnom Penh Center </w:t>
              <w:br/>
              <w:t>(“</w:t>
            </w:r>
            <w:r>
              <w:rPr>
                <w:rFonts w:ascii="Times New Roman;Times;Serif" w:hAnsi="Times New Roman;Times;Serif"/>
                <w:b/>
                <w:sz w:val="20"/>
              </w:rPr>
              <w:t>Phnom Penh Center</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pPr>
            <w:r>
              <w:rPr/>
              <w:t xml:space="preserve">Bi Clinic Limited Liability Company </w:t>
              <w:br/>
              <w:t>(“Bi Clinic”)</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2,164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70" w:type="dxa"/>
            <w:tcBorders/>
            <w:shd w:fill="FFFFFF" w:val="clear"/>
            <w:vAlign w:val="center"/>
          </w:tcPr>
          <w:p>
            <w:pPr>
              <w:pStyle w:val="TableContents"/>
              <w:bidi w:val="0"/>
              <w:spacing w:before="0" w:after="283"/>
              <w:jc w:val="left"/>
              <w:rPr>
                <w:b/>
              </w:rPr>
            </w:pPr>
            <w:r>
              <w:rPr>
                <w:b/>
              </w:rPr>
              <w:t>Aggregate G.F.A</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38,096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245" w:type="dxa"/>
        <w:jc w:val="left"/>
        <w:tblInd w:w="0" w:type="dxa"/>
        <w:tblLayout w:type="fixed"/>
        <w:tblCellMar>
          <w:top w:w="0" w:type="dxa"/>
          <w:left w:w="0" w:type="dxa"/>
          <w:bottom w:w="0" w:type="dxa"/>
          <w:right w:w="0" w:type="dxa"/>
        </w:tblCellMar>
      </w:tblPr>
      <w:tblGrid>
        <w:gridCol w:w="2150"/>
        <w:gridCol w:w="60"/>
        <w:gridCol w:w="995"/>
        <w:gridCol w:w="60"/>
        <w:gridCol w:w="980"/>
      </w:tblGrid>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IVF </w:t>
              <w:br/>
              <w:t>Treatments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Surrogacy </w:t>
              <w:br/>
              <w:t>Services</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Fertility PGS Centers</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Phnom Penh Center</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Kyrgyzstan</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 </w:t>
            </w:r>
          </w:p>
        </w:tc>
      </w:tr>
      <w:tr>
        <w:trPr/>
        <w:tc>
          <w:tcPr>
            <w:tcW w:w="2150" w:type="dxa"/>
            <w:tcBorders/>
            <w:shd w:fill="CEE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 Clinic </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EEEFE"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EEEFE" w:val="cle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0.90</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35.8</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635,188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2,312,348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49.0</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Thailand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had two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Cambodia Clinic</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Clinic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Bi Clinic had 1 full-time physician, 1 embryologist, 1 nurse, and 7 other staff.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Professionals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Licensed Physicians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NewGenIvf employed five licensed physicians, among which one was based in Cambodia, one was based in Kyrgyzstan and the other three were based in Thailand. Most of NewGenIvf’s physicians had over 10 years of experience or above. The following table summarizes the number and types of such licensed physicians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965"/>
        <w:gridCol w:w="60"/>
        <w:gridCol w:w="2016"/>
        <w:gridCol w:w="60"/>
        <w:gridCol w:w="2228"/>
        <w:gridCol w:w="60"/>
        <w:gridCol w:w="2059"/>
        <w:gridCol w:w="60"/>
        <w:gridCol w:w="2697"/>
      </w:tblGrid>
      <w:tr>
        <w:trPr/>
        <w:tc>
          <w:tcPr>
            <w:tcW w:w="9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1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Licensed physician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28"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and</w:t>
              <w:br/>
              <w:t>Approvals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5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Period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9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Cambodia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Keut Serey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Keatthisak Boonsimma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2005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40962/2563 Reproductive Medicine Diploma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2020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Practice License No. 11755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 2025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2019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2021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2014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Kyrgyzstan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Myrzalymbekova 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&amp; numero; CO170001836 Medical Certificate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2017 -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&amp;numero;0002953 Medical Practitioner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April 2018 -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&amp;numero;11373\2565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&amp;numero;0003447 Medical Certificate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9"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April 2023 - Indefinite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Council of Kyrgyzstan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Customers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Sales and Marketing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Supply and Procurement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Competition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and comprehensiveness of the solutions;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that is effective and achieves desired outcomes;</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bdr w:val="single" w:sz="12" w:space="5" w:color="000000"/>
        </w:rPr>
      </w:pPr>
      <w:r>
        <w:rPr>
          <w:caps w:val="false"/>
          <w:smallCaps w:val="false"/>
          <w:bdr w:val="single" w:sz="12" w:space="5" w:color="000000"/>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a network of high-quality fertility specialists.</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Facilities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in addition to its clinics, NewGenIvf leased one property in Hong Kong with an aggregate square footage of approximately 8,000 for its administration support offices. NewGenIvf also operates its medical facilities as described above in “— Network of Facilities” above. NewGenIvf believes that its existing facilities are suitable and adequate to meet its current needs.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Organizational Structure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list of our principal subsidiaries and consolidated affiliated entities as of the date of this Report: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5967"/>
        <w:gridCol w:w="60"/>
        <w:gridCol w:w="1345"/>
        <w:gridCol w:w="60"/>
        <w:gridCol w:w="2773"/>
      </w:tblGrid>
      <w:tr>
        <w:trPr/>
        <w:tc>
          <w:tcPr>
            <w:tcW w:w="5967"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Formation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16,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MicroSort Lab Services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February 28,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NewGenDigital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FFPGS (HK)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December 19,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NewGenProperty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June 16,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NewGenBiz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13,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NewGenOman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FFFFFF" w:val="clear"/>
            <w:tcMar>
              <w:bottom w:w="0" w:type="dxa"/>
            </w:tcM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967" w:type="dxa"/>
            <w:tcBorders/>
            <w:shd w:fill="CCEEFF" w:val="clear"/>
            <w:tcMar>
              <w:bottom w:w="0" w:type="dxa"/>
            </w:tcMar>
            <w:vAlign w:val="center"/>
          </w:tcPr>
          <w:p>
            <w:pPr>
              <w:pStyle w:val="TableContents"/>
              <w:bidi w:val="0"/>
              <w:spacing w:before="0" w:after="283"/>
              <w:jc w:val="left"/>
              <w:rPr>
                <w:caps w:val="false"/>
                <w:smallCaps w:val="false"/>
              </w:rPr>
            </w:pPr>
            <w:r>
              <w:rPr>
                <w:rFonts w:ascii="Times New Roman;Times;Serif" w:hAnsi="Times New Roman;Times;Serif"/>
                <w:b/>
                <w:i w:val="false"/>
                <w:caps w:val="false"/>
                <w:smallCaps w:val="false"/>
                <w:sz w:val="20"/>
              </w:rPr>
              <w:t xml:space="preserve">Artsy Angel Charitable Foundation Limited </w:t>
            </w:r>
            <w:r>
              <w:rPr>
                <w:rFonts w:eastAsia="Times New Roman;Times;Serif"/>
                <w:b/>
                <w:i w:val="false"/>
                <w:caps w:val="false"/>
                <w:smallCaps w:val="false"/>
                <w:sz w:val="20"/>
              </w:rPr>
              <w:t xml:space="preserve">藝術天使慈善基金有限公司 </w:t>
            </w:r>
            <w:r>
              <w:rPr>
                <w:rFonts w:ascii="Times New Roman;Times;Serif" w:hAnsi="Times New Roman;Times;Serif"/>
                <w:b/>
                <w:i w:val="false"/>
                <w:caps w:val="false"/>
                <w:smallCaps w:val="false"/>
                <w:sz w:val="20"/>
              </w:rPr>
              <w:t>(formally known as Alfred Siu Charitable Foundation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Wholly-owned subsidiary</w:t>
            </w:r>
          </w:p>
        </w:tc>
      </w:tr>
      <w:tr>
        <w:trPr/>
        <w:tc>
          <w:tcPr>
            <w:tcW w:w="596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February 27,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3"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945"/>
        <w:gridCol w:w="60"/>
        <w:gridCol w:w="1928"/>
        <w:gridCol w:w="60"/>
        <w:gridCol w:w="5212"/>
      </w:tblGrid>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 Clinic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Kyrgyzstan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on December 17,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PGS Center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Indirect subsidiary, 74% owned by Well Image Limited HK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March 6, 2014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and indirectly</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Fertility Phnom Penh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Kingdom of Cambodia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August 10,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48.99% owned by Well Image Limited HK</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January 21, 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 Image Limited HK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NewGenIvf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July 11, 2008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1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HyFi Innovations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Indirect subsidiary, wholly owned by NewGenDigital Limited</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on October 20,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subsidiaries were disposed of:</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5223"/>
        <w:gridCol w:w="60"/>
        <w:gridCol w:w="530"/>
        <w:gridCol w:w="60"/>
        <w:gridCol w:w="4332"/>
      </w:tblGrid>
      <w:tr>
        <w:trPr/>
        <w:tc>
          <w:tcPr>
            <w:tcW w:w="5223" w:type="dxa"/>
            <w:tcBorders/>
            <w:vAlign w:val="center"/>
          </w:tcPr>
          <w:p>
            <w:pPr>
              <w:pStyle w:val="TableContents"/>
              <w:bidi w:val="0"/>
              <w:spacing w:before="0" w:after="0"/>
              <w:ind w:left="0" w:right="0" w:hanging="0"/>
              <w:jc w:val="left"/>
              <w:rPr>
                <w:caps w:val="false"/>
                <w:smallCaps w:val="false"/>
              </w:rPr>
            </w:pPr>
            <w:r>
              <w:rPr>
                <w:rFonts w:eastAsia="Times New Roman;Times;Serif"/>
                <w:b/>
                <w:i w:val="false"/>
                <w:caps w:val="false"/>
                <w:smallCaps w:val="false"/>
                <w:sz w:val="20"/>
              </w:rPr>
              <w:t>深圳前海豐泰仁匯健康科技有限公司</w:t>
            </w:r>
            <w:r>
              <w:rPr>
                <w:rFonts w:ascii="Times New Roman;Times;Serif" w:hAnsi="Times New Roman;Times;Serif"/>
                <w:b/>
                <w:i w:val="false"/>
                <w:caps w:val="false"/>
                <w:smallCaps w:val="false"/>
                <w:sz w:val="20"/>
              </w:rPr>
              <w:br/>
              <w:t>(Shenzhen Qianhai Fengtai Renhui Health Technology Co., Ltd)</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Disposed of on July 29, 2025</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sz w:val="20"/>
              </w:rPr>
            </w:pPr>
            <w:r>
              <w:rPr>
                <w:b/>
                <w:sz w:val="20"/>
              </w:rPr>
              <w:t>China</w:t>
            </w:r>
          </w:p>
        </w:tc>
        <w:tc>
          <w:tcPr>
            <w:tcW w:w="60" w:type="dxa"/>
            <w:tcBorders/>
            <w:vAlign w:val="center"/>
          </w:tcPr>
          <w:p>
            <w:pPr>
              <w:pStyle w:val="TableContents"/>
              <w:bidi w:val="0"/>
              <w:spacing w:before="0" w:after="283"/>
              <w:jc w:val="left"/>
              <w:rPr/>
            </w:pPr>
            <w:r>
              <w:rPr/>
              <w:t> </w:t>
            </w:r>
          </w:p>
        </w:tc>
        <w:tc>
          <w:tcPr>
            <w:tcW w:w="4332" w:type="dxa"/>
            <w:tcBorders/>
            <w:vAlign w:val="center"/>
          </w:tcPr>
          <w:p>
            <w:pPr>
              <w:pStyle w:val="TableContents"/>
              <w:bidi w:val="0"/>
              <w:spacing w:before="0" w:after="283"/>
              <w:jc w:val="center"/>
              <w:rPr>
                <w:b/>
                <w:sz w:val="20"/>
              </w:rPr>
            </w:pPr>
            <w:r>
              <w:rPr>
                <w:b/>
                <w:sz w:val="20"/>
              </w:rPr>
              <w:t>Indirect subsidiary, wholly owned by FFPGS (HK) Ltd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Property, Plants and Equipment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leases the premises for its principal executive office located at 36/39-36/40, 13</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Floor, PS Tower, Sukhumvit 21 Road (Asoke) Khlong Toei Nuea Sub-district, Watthana District, Bangkok 10110, Thailand. The Company leases one property in Hong Kong with an aggregate square footage of approximately 8,000 for its administration support offices.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several premises to operate its clinics in various countries. The Company operates the Bi Clinic Limited Liability Company starting from December 17, 2024 in Kyrgyzstan, which premises have an aggregate area of 2,164 square feet. In Cambodia, the Company operates the First Fertility Phnom Penh Center, which premises have an aggregate area of 18,567 square feet. In Thailand, the Company operates a clinic named First Fertility PGS Center Co., Ltd., which premises have an aggregate area of 14,750 square feet.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also leases premises located in Thailand for its Erawan Consultation Clinic clinic, with an aggregate area of approximately 2,615 square feet. This property has been used as the Company’s second clinic in Thailand since early 2025 but will stop operating in March 2026 as the landlord has decided to lease it to other parties.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Nasdaq Deficiency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shares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(“MVLS Deficiency Letter”) from the Staff of Nasdaq notifying the Company that, for the preceding 35 consecutive business days, the Class A Shares did not meet the minimum $50,000,000 Market Value of Listed Securities requirement (“MVLS Requirement”) for continued listing on Nasdaq pursuant to Nasdaq Listing Rules 5450(b)(2)(A) (the “MVLS Requirement,” and the Company’s non-compliance with this requirement, the “MVLS Deficiency”).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 </w:t>
      </w:r>
    </w:p>
    <w:p>
      <w:pPr>
        <w:pStyle w:val="TextBody"/>
        <w:bidi w:val="0"/>
        <w:spacing w:before="0" w:after="0"/>
        <w:ind w:left="72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24, 2024, the Company received a deficiency letter (“MVPHS Deficiency Letter”) from the Staff of Nasdaq notifying the Company that, for the preceding 35 consecutive business days, the Company’s Class A Ordinary Shares did not meet the minimum $15,000,000 Market Value of Publicly Held Shares (“MVPHS”) requirement for continued listing on Nasdaq pursuant to Nasdaq Listing Rules 5450(b)(2)(C) (the “MVPHS Requirement,” and the Company’s non-compliance with this requirement, the “MVPHS Deficiency”).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the Company has effected a number of reverse stock splits of its issued and unissued shares. On May 5, 2025, the Company effected a 1-for-10 reverse stock split of its issued and unissued shares. On August 4, 2025, the Company carried out a 1-for-5 reverse stock split of its issued and unissued shares. On December 1, 2025, the Company carried out a 1-for-5 reverse stock split of its issued and unissued shares. On January 26, 2026, the Company effected a 1-for-3 reverse stock split of its issued and unissued shares. On March 16, 2026, the Company effected a 1-for-4 reverse stock split of its issued and unissued shares. On July 6, 2026, the Company effected a 1-for-3 reverse stock split of its issued and unissued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Capitalization and Indebtedness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Below is the Company’s capitalization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3880" w:type="dxa"/>
        <w:jc w:val="left"/>
        <w:tblInd w:w="0" w:type="dxa"/>
        <w:tblLayout w:type="fixed"/>
        <w:tblCellMar>
          <w:top w:w="0" w:type="dxa"/>
          <w:left w:w="0" w:type="dxa"/>
          <w:bottom w:w="0" w:type="dxa"/>
          <w:right w:w="0" w:type="dxa"/>
        </w:tblCellMar>
      </w:tblPr>
      <w:tblGrid>
        <w:gridCol w:w="2585"/>
        <w:gridCol w:w="60"/>
        <w:gridCol w:w="60"/>
        <w:gridCol w:w="1100"/>
        <w:gridCol w:w="75"/>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8,750,343</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26,631,519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074" w:type="dxa"/>
        <w:jc w:val="left"/>
        <w:tblInd w:w="0" w:type="dxa"/>
        <w:tblLayout w:type="fixed"/>
        <w:tblCellMar>
          <w:top w:w="0" w:type="dxa"/>
          <w:left w:w="0" w:type="dxa"/>
          <w:bottom w:w="0" w:type="dxa"/>
          <w:right w:w="0" w:type="dxa"/>
        </w:tblCellMar>
      </w:tblPr>
      <w:tblGrid>
        <w:gridCol w:w="2465"/>
        <w:gridCol w:w="60"/>
        <w:gridCol w:w="76"/>
        <w:gridCol w:w="1398"/>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Total Net Book Value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25,986,693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Total Share Outstanding*</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80,208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in March 2026 of 1 share for every 4 shares issued, and in July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Statements of indebtedness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4750" w:type="dxa"/>
        <w:jc w:val="left"/>
        <w:tblInd w:w="0" w:type="dxa"/>
        <w:tblLayout w:type="fixed"/>
        <w:tblCellMar>
          <w:top w:w="0" w:type="dxa"/>
          <w:left w:w="0" w:type="dxa"/>
          <w:bottom w:w="0" w:type="dxa"/>
          <w:right w:w="0" w:type="dxa"/>
        </w:tblCellMar>
      </w:tblPr>
      <w:tblGrid>
        <w:gridCol w:w="3575"/>
        <w:gridCol w:w="60"/>
        <w:gridCol w:w="60"/>
        <w:gridCol w:w="980"/>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Account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779,280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711,892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111,981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238,105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256,056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2,366,351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Lease liabilities,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272,359</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4,097,366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4,369,725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Indebtedness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6,736,076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Comprehensive Income and Earnings Per Share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information is presented as of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489" w:type="dxa"/>
        <w:jc w:val="left"/>
        <w:tblInd w:w="0" w:type="dxa"/>
        <w:tblLayout w:type="fixed"/>
        <w:tblCellMar>
          <w:top w:w="0" w:type="dxa"/>
          <w:left w:w="0" w:type="dxa"/>
          <w:bottom w:w="0" w:type="dxa"/>
          <w:right w:w="0" w:type="dxa"/>
        </w:tblCellMar>
      </w:tblPr>
      <w:tblGrid>
        <w:gridCol w:w="7235"/>
        <w:gridCol w:w="60"/>
        <w:gridCol w:w="264"/>
        <w:gridCol w:w="1855"/>
        <w:gridCol w:w="75"/>
      </w:tblGrid>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center"/>
              <w:rPr>
                <w:b/>
              </w:rPr>
            </w:pPr>
            <w:r>
              <w:rPr>
                <w:b/>
              </w:rPr>
              <w:t>Existing shareholder</w:t>
            </w:r>
          </w:p>
        </w:tc>
        <w:tc>
          <w:tcPr>
            <w:tcW w:w="75" w:type="dxa"/>
            <w:tcBorders/>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75" w:type="dxa"/>
            <w:tcBorders/>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Total comprehensive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1855" w:type="dxa"/>
            <w:tcBorders/>
            <w:shd w:fill="CCEEFF" w:val="clear"/>
            <w:vAlign w:val="center"/>
          </w:tcPr>
          <w:p>
            <w:pPr>
              <w:pStyle w:val="TableContents"/>
              <w:bidi w:val="0"/>
              <w:spacing w:before="0" w:after="283"/>
              <w:jc w:val="right"/>
              <w:rPr/>
            </w:pPr>
            <w:r>
              <w:rPr/>
              <w:t>9,717,462</w:t>
            </w:r>
          </w:p>
        </w:tc>
        <w:tc>
          <w:tcPr>
            <w:tcW w:w="7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644.20</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7235" w:type="dxa"/>
            <w:tcBorders/>
            <w:shd w:fill="CCEEFF" w:val="clear"/>
            <w:vAlign w:val="center"/>
          </w:tcPr>
          <w:p>
            <w:pPr>
              <w:pStyle w:val="TableContents"/>
              <w:bidi w:val="0"/>
              <w:spacing w:before="0" w:after="283"/>
              <w:jc w:val="left"/>
              <w:rPr/>
            </w:pPr>
            <w:r>
              <w:rPr/>
              <w:t>-</w:t>
              <w:tab/>
              <w:t>diluted</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9.12</w:t>
            </w:r>
          </w:p>
        </w:tc>
        <w:tc>
          <w:tcPr>
            <w:tcW w:w="7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15,336</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7235" w:type="dxa"/>
            <w:tcBorders/>
            <w:shd w:fill="CCEEFF" w:val="clear"/>
            <w:vAlign w:val="center"/>
          </w:tcPr>
          <w:p>
            <w:pPr>
              <w:pStyle w:val="TableContents"/>
              <w:bidi w:val="0"/>
              <w:spacing w:before="0" w:after="283"/>
              <w:jc w:val="left"/>
              <w:rPr/>
            </w:pPr>
            <w:r>
              <w:rPr/>
              <w:t>-</w:t>
              <w:tab/>
              <w:t>diluted</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1,083,340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and in July 2026 of 1 share for every 3 shares issued respectively.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subject to the information reporting requirements of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 with the SEC and are not required to file current reports as frequently or promptly as U.S. domestic reporting companies. Our officers, directors and principal shareholders are exempt from the requirements to report transactions in our equity securities and from the short-swing profit liability provisions contained in Section 16 of the Exchange Act. As a foreign private issuer, we are not subject to the requirements of Regulation FD (Fair Disclosure) promulgated under the Exchange Act. In addition, as a foreign private issuer, we are permitted to follow certain home country corporate governance practices instead of those otherwise required under the rules of Nasdaq for domestic U.S. issuers and are not required to be compliant with all Nasdaq rules as of the date of our initial listing on Nasdaq as would domestic U.S. issuers. These exemptions and leniencies will reduce the frequency and scope of information and protections available to you in comparison to those applicable to a U.S. domestic reporting company. We intend to take advantage of the exemptions available to us as a foreign private issuer.</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Summary of Risk Factors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Investing in our Class A Ordinary Shares involves significant risks. You should carefully consider all of the information in this prospectus before making an investment in our shares. Below please find a summary of the principal risks we face, organized under relevant headings. These risks are discussed more fully in the section 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and in Part I, Item 3, D. Risk Factors in our most recent Annual Report on Form 20-F.</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Business and Industry</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continue operating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fertility market in which NewGenIvf participates is competitive, and if NewGenIvf does not continue to compete effectively, its results of operations could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 limited operating history with its current platform of solutions, which makes it difficult to predict its future prospects, financial performance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undergoing a significant and rapid business transformation, including expansion into real estate development in the UAE, and tokenization advisory, which involves substantial risks and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new strategic initiatives may place significant strain on the Company’s management, and operational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Solana strategy may not be successful and exposes us to various risks, including risks associated with the Solana network, SOL token and the blockchain sector.</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Solana digital asset staking strategy is subject to unique and substantial risks related to the Solana network’s technology, governance, and ecosystem, which could result in a complete or partial loss of our investment.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 is a relatively novel digital asset, and is subject to significant legal, commercial, regulatory and technical uncertainty, which could materially adversely affect the Company’s financial position, operations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cyberattack or other malicious attack on the Solana blockchain could have a material impact on the value of SOL held by the Company.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NewGenIvf’s tokenization advisory services exposes the Company to a novel, evolving and highly uncertain regulatory and operational landscape.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development projects are subject to numerous risks that could prevent the Company from realizing the projected returns.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assets, such as intellectual property, is complex and subjective, and may not be realized.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receive positive references from its existing clients.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is unable to attract new clients, its business, financial condition and results of operations would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existing client demographics. Any failure to do so would harm its business, financial condition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offer high-quality support, its reputation could suffer.</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failure to effectively develop and expand its marketing and sales capabilities could harm its ability to increase its client base and achieve broader market acceptance of solutions NewGenIvf provides.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experience net losses and may not sustain profitability in the future.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future revenue may not grow at the rates it historically has, or at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quarterly and annual results may fluctuate significantly and may not fully reflect the underlying performance of NewGenIvf’s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estimates and assumptions NewGenIvf uses to determine the size of the target markets for its services are inaccurate, its future growth rate may be impacted and its business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able to successfully manage its growth, and if NewGenIvf is not able to grow efficiently, its business, financial condition and results of operations could be harmed.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adapt and respond effectively to the changing medical landscape, changing regulations, changing client needs, requirements or preferences, its offerings may become less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maintain and enhance its brand, its ability to expand its client base will be impaired and its business, financial condition and results of operations may suffer.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successfully market and sell its services and products in Asia-Pacific markets, NewGenIvf must address many international business risks with which NewGenIvf has limited experience.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reliant on revenue from international clients.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could have a material and adverse effect on NewGenIvf’s results of operations and the value of your investment.</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control of currency conversion may limit NewGenIvf’s ability to utilize NewGenIvf’s net revenue effectively and affect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assets and operations are located in Thailand, Cambodia and Kyrgyzstan and they are subject to economic, legal and regulatory uncertainties in such countries.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terms of future financing arrangements could result in default, which could have an adverse effect on NewGenIvf’s cash flow and liquidity.</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NewGenIvf’s Solana token purchase agreement with White Lion is novel and subject to extreme volatility and regulatory scrutiny.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has no insurance coverage for its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be successful in adapting to technological developments, which may affect its business and results of operations.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comply with the filing deadlines for reports that we file pursuant to the Exchange Act, and our failure to timely file such reports may have material adverse consequences on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repurchase program may not be fully implemented and may not enhance shareholder value.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continue to meet the listing requirements of Nasdaq, our Class A Ordinary Shares will be delisted.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NewGenIvf’s Relationships with Third Parties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facilities and professionals in NewGenIvf’s network could become the subject of litigation, allegations and other claims, and NewGenIvf is not insured against these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 loses its relationship with one or more key pharmaceutical manufacturers, its business and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engaged in transactions with related parties, and such transactions present potential conflicts of interest that could have an adverse effect on its business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be subject to claims and allegations relating to intellectual property and other causes.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data and information in this prospectus relied on by NewGenIvf were obtained from third-party data and polls. These metrics were not independently verified by NewGenIvf and may not be accurate.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dependent on a single joint venture partner for our real estate development project in the UAE and are subject to the legal, regulatory, and economic risks of operating in a new jurisdiction.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Government Regulation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or offering of gender selection services in certain jurisdictions in which NewGenIvf operates could expose NewGenIvf and its directors and executive officers to significant legal and regulatory risks, including potential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NewGenIvf’s effective tax rate or tax liability may have an adverse effect on its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reported financial results may be adversely affected by changes in accounting principles generally accepted in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NewGenIvf’s estimates or judgments relating to its critical accounting policies prove to be incorrect, its results of operations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Tokenization service operates within a complex and evolving regulatory landscape. Compliance with data protection standards such as Payment Card Industry Data Security Standard and General Data Protection Regulation is critical, and failure to adapt to new laws—particularly those governing data residency and sovereignty—could result in substantial legal liability and fines.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Related to this Offering</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or may decline regardless of our operating performance, and you may not be able to resell your shares at or above the public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the Class A Ordinary Shares may not be maintained and the trading price for the Class A Ordinary Shares may fluctuate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the Class A Ordinary Shares has been and is likely to continue to be highly volatile, and purchasers of the Class A Ordinary Shares could incur substantial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the proceeds of this offering in ways with which you may not agree.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Recent Developments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2025 and 2026 Debt Financing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 The fourth tranche of $207,000 was received on May 4, 2026.</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 and the funding of $50,000 was received on February 2,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18, 2026, the Company entered into a Securities Purchase Agreement with CFI Capital LLC, pursuant to which, amongst other things, (i) the Company agreed to sell a convertible note in the aggregate principal amount of $220,000, convertible into Class A Ordinary Shares pursuant to its terms and the funding of $200,000 was received on March 23,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25, 2026, the Company entered into a Securities Purchase Agreement with FirstFire Global Opportunities Fund LLC, pursuant to which, amongst other things, (i) the Company agreed to sell a convertible note in the aggregate principal amount of $220,000, convertible into Class A Ordinary Shares pursuant to its terms and the funding of $220,000 was received on or about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March 30, 2026, the Company entered into a Securities Purchase Agreement with Silvercrest Hybrid Capital LLC, pursuant to which, amongst other things, (i) the Company agreed to sell a convertible note in the aggregate principal amount of $200,000, convertible into Class A Ordinary Shares pursuant to its terms and the funding of $220,000 was received on March 31,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14, 2026, the Company entered into a Securities Purchase Agreement with Pacific Pier Capital II, LP, pursuant to which, amongst other things, (i) the Company agreed to sell a convertible note in the aggregate principal amount of $200,000, convertible into Class A Ordinary Shares pursuant to its terms and the funding of $200,000 was received on April 18,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20, 2026, the Company entered into a Securities Purchase Agreement with Labrys Fund II, L.P., pursuant to which, amongst other things, (i) the Company agreed to sell a convertible note in the aggregate principal amount of $250,000, convertible into Class A Ordinary Shares pursuant to its terms and the funding of $250,000 was received on April 20,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27, 2026, the Company entered into a Securities Purchase Agreement with White Lion Capital LLC, pursuant to which, amongst other things, (i) the Company agreed to sell a convertible note in the aggregate principal amount of $200,000, convertible into Class A Ordinary Shares pursuant to its terms and the funding of $200,000 was received on April 30,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26, 2026, the Company entered into a Securities Purchase Agreement with White Lion Capital LLC, pursuant to which, amongst other things, (i) the Company agreed to sell a convertible note in the aggregate principal amount of $166,667, convertible into Class A Ordinary Shares pursuant to its terms and the funding of $166,667 was received on May 26,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 2026, the Company entered into a Securities Purchase Agreement with Vanquish Funding Group, Inc., pursuant to which, amongst other things, (i) the Company agreed to sell a convertible note in the aggregate principal amount of $132,000, convertible into Class A Ordinary Shares pursuant to its terms and the funding of $132,000 was received on June 5, 2026.</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15, 2026, the Company entered into a repurchase and forbearance agreement (“Repurchase and Forbearance Agreement”) with JAK Opportunities VI LLC (“JAK”), pursuant to which the Company agreed to repurchase certain outstanding convertible notes, and warrants previously issued to the Investor, and to make certain forbearance payments in scheduled instalments to JAK, in consideration for JAK’s forbearance from converting outstanding convertible notes, exercising outstanding warrants and effectuating additional closings under existing securities purchase agreements. The Repurchase and Forbearance Agreement was filed as Exhibit 10.1 of the Company’s current report on Form 6-K dated June 16, 2025 and is incorporated by reference herein.</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22, 2026, the Company entered into a Securities Purchase Agreement with White Lion Capital LLC, pursuant to which, amongst other things, (i) the Company agreed to sell a convertible note in the aggregate principal amount of $111,111, convertible into Class A Ordinary Shares pursuant to its terms.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Investments in Digital Assets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December 19, 2024, the Company announced its engagement of OSL Digital Securities (“OSL”), a leading regulated digital asset platform in Hong Kong, and its deployment of US$1 million to establish the Company’s digital asset portfolio. On June 2, 2025, the Company announced plans to invest up to US$30 million in staking the digital asset SOL (the native token of the Solana network) and funding such investment using its existing credit facilities. As of the date of this prospectus, the Company has accumulated total SOL holdings of 8,000.23, valued at approximately US$[●] million, and has not started staking SOL.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31, 2025, the Company entered into a binding term sheet with White Lion Capital LLC (“White Lion”) setting out the principal terms and conditions for a Digital Assets Purchase Agreement with a commitment amount of 600,000 Solana (SOL) tokens (“Term Sheet”). Pursuant to the Term Sheet, the Company will have the option, but not the obligation, to sell to White Lion shares of common stock of the Company over a 24-month period up to a total amount equivalent to the value of 600,000 Solana tokens. Upon a sale of shares, the Company will be compensated by White Lion in Solana tokens rather than cash. The transactions contemplated by the Term Sheet are subject to entry into definitive agreements and are subject to certain conditions, including completion of due diligence, and the filing of a registration statement immediately upon execution of the definitive agreements. There can be no assurance that any sales of the Company’s common stock to White Lion will occur under the Term Sheet or any definitive agreement that may be entered into. The Company is not obligated to sell any shares, and White Lion is not obligated to purchase shares until and unless a definitive Digital Assets Purchase Agreement is executed and all conditions thereunder are satisfied. In addition, any compensation to the Company would be in the form of Solana tokens rather than cash, and the value, availability, and transferability of such digital assets are subject to significant market volatility and regulatory uncertainty. Accordingly, there is no guarantee that the Company will receive any proceeds or Solana tokens pursuant to the contemplated arrangement.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Strategic Investment in United Arab Emirates (“UAE”) Real Estate Market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133975" cy="2981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33975" cy="2981325"/>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21, 2025, NewGenDigital Limited (“NewGenDigital”), a wholly owned subsidiary of the Company, signed a Memorandum of Understanding (the “MOU”) with BNW Real Estate Development LLC (“BNW” or the “Developer”), a prominent real estate developer in Ras Al Khaimah and Dubai, UAE. Per the terms of the MOU, NewGenDigital and BNW will endeavour to negotiate and execute a definitive Joint Venture Agreement (“JVA”) to form a special-purpose vehicle (“SPV”) with the intention of developing a plot of land in Ras Al Khaimah’s Beach District, UAE (the “Plot).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8, 2025, NewGenProperty Limited (“NewGenProperty”), a wholly owned subsidiary of the Company, entered into a development joint venture agreement (“DJVA”) with BNW to develop the Plot. Under the terms of the DVJA, NewGenProperty shall hold 60% of the joint venture, and be responsible for funding 36% of the purchase price of the Plot to the Beach District LLC OPC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DVJA.</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At any time before the commencement of the Pre-Sales Period, NewGenProperty has the right to convert the DJVA into a Joint Development by written notice to the Developer. Under a Joint Development arrangement, NewGenProperty shall fully contribute all project finances and be entitled to sixty-four percent (64%) of the net profit after deducting all development costs, taxes, duties, and all other costs and expenses of the joint venture company.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381750" cy="37909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381750" cy="37909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Real World Asset Tokenization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 2025, the Company announced that it was evaluating the feasibility of issuing digital tokens tied to the Plot as part of its broader strategy to access blockchain-based asset digitization opportunities.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20, 2025, the Company announced its engagement with World Chinese Museum Co., Ltd. (“World Chinese Museum”) to act as the worldwide agent for the tokenization of World Chinese Museum’s high-value private art collection. The engagement involves the tokenization of specific artwork assets owned by World Chinese Museum, transforming ownership of these physical assets into digital tokens on the blockchain. The initial tranche of artwork to be tokenized is expected to be valued at $2 million.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Acquisition of Equity Interest in PredicXion Group Limited</w:t>
      </w:r>
      <w:r>
        <w:rPr>
          <w:rFonts w:ascii="Times New Roman;Times;Serif" w:hAnsi="Times New Roman;Times;Serif"/>
          <w:b w:val="false"/>
          <w:i w:val="false"/>
          <w:caps w:val="false"/>
          <w:smallCaps w:val="false"/>
          <w:sz w:val="20"/>
          <w:bdr w:val="single" w:sz="12" w:space="5" w:color="000000"/>
        </w:rPr>
        <w:t xml:space="preserve"> (“</w:t>
      </w:r>
      <w:r>
        <w:rPr>
          <w:rFonts w:ascii="Times New Roman;Times;Serif" w:hAnsi="Times New Roman;Times;Serif"/>
          <w:b/>
          <w:i/>
          <w:caps w:val="false"/>
          <w:smallCaps w:val="false"/>
          <w:sz w:val="20"/>
          <w:bdr w:val="single" w:sz="12" w:space="5" w:color="000000"/>
        </w:rPr>
        <w:t>PredicXion</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38750" cy="2990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0" cy="2990850"/>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15, 2026, NewGenIvf signed a strategic investment agreement with PredicXion Group Limited, and Kong Yiu Cheung, PredicXion’s sole shareholder (the “Seller”), for the acquisition of up to a 10% equity interest in PredicXion (the “PredicXion Acquisition”) at a pre-money valuation of US$100,000,000. On May 28, 2026, NewGenIvf signed a share purchase agreement with PredicXion, and the Seller (“First PredicXion SPA”) for the acquisition of a 2% equity interest in PredicXion (“PredicXion Initial Acquisition”). The consideration payable for the PredicXion Initial Acquisition was a combination of: (i) cash consideration of US$1,000,000 or an equivalent amount in stablecoin, or Solana; and (ii) 666,667 newly issued class A ordinary shares of the Company (equivalent to 222,222 Class A Ordinary Shares adjusted for Reverse Stock Split) at a share price of US$1.50 per share. Under the terms of the First PredicXion SPA, the Company has an option exercisable at any time within three months after signing the First PredicXion SPA, to acquire up to an additional 8% of PredicXion’s fully diluted equity at the same pre-money valuation of US$100,000,000 (“Top-up Option”). A copy of the First PredicXion SPA was filed as Exhibit 10.1 in the Company’s current report on Form 6-K dated May 28, 2026 and is incorporated by reference herein. On June 2, 2026, NewGenIvf exercised its Top-up Option to acquire an additional 4% equity interest in PredicXion (“Top-Up Acquisition”). Pursuant to the share purchase agreement (“First PredicXion Top-Up SPA”) among NewGenIvf, PredicXion, and the Seller for the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Company paid a cash deposit of US$300,000 upon signing of the Top-Up SPA, and shall pay the balance of $1,700,000 by August 30, 2026. A copy of the First PredicXion Top-Up SPA was filed as Exhibit 10.1 in the Company’s current report on Form 6-K dated June 4, 2026, and is incorporated by reference herein. On June 18, 2026, NewGenIvf exercised its Top-up Option to acquire an additional 4% equity interest in PredicXion (“Second Top-Up Acquisition”). Pursuant to the share purchase agreement (“Second PredicXion Top-Up SPA”) among NewGenIvf, PredicXion, and the Seller for the Second Top-Up Acquisition, the Company shall acquire a 4% equity interest for an aggregate consideration of US$4,000,000, consisting of (i) US$2,000,000 payable in cash or in digital assets, and (ii) 1,500,000 Class A ordinary shares of the Company (equivalent to 500,000 Class A Ordinary Shares adjusted for Reverse Stock Split). The parties agreed that the aggregate cash deposit to be paid pursuant to the First PredicXion Top-Up SPA and the Second PredicXion Top-Up SPA shall be US$700,000, payable upon the signing of the Second PredicXion Top-Up SPA, and the balance of $1,900,000 shall be paid by the Company to the Seller by August 31, 2026. A copy of the Second PredicXion SPA was filed as Exhibit 10.1 in the Company’s current report on Form 6-K dated June 18, 2026,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Exclusive Agency Agreement with PredicXion Group Limited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drawing>
          <wp:inline distT="0" distB="0" distL="0" distR="0">
            <wp:extent cx="5200650" cy="2895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00650" cy="2895600"/>
                    </a:xfrm>
                    <a:prstGeom prst="rect">
                      <a:avLst/>
                    </a:prstGeom>
                  </pic:spPr>
                </pic:pic>
              </a:graphicData>
            </a:graphic>
          </wp:inline>
        </w:drawing>
      </w:r>
      <w:r>
        <w:rPr>
          <w:caps w:val="false"/>
          <w:smallCaps w:val="false"/>
          <w:bdr w:val="single" w:sz="12" w:space="5" w:color="000000"/>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its entry into the First PredicXion Top-Up SPA, NewGenIvf entered into an exclusive agency agreement (“EAA”) with PredicXion, pursuant to which PredicXion appointed NewGenIvf as its exclusive agent for the promotion, marketing and facilitation of its K25.ai platform in Thailand, Singapore, Japan and such other APAC markets as may be mutually agreed by the parties from time to time, excluding Mainland China, Hong Kong, Macau and any other restricted jurisdictions. In consideration for its services under the EAA, NewGenIvf is entitled to tiered commissions on the annual gross profit generated by K25.ai from customers introduced or directly serviced by NewGenIvf, calculated as (i) 10% on the first US$1,000,000 of annual gross profit, (ii) 7.5% on annual gross profit between US$1,000,000 and US$3,000,000 and (iii) 5% on annual gross profit in excess of US$3,000,000. The aggregate commission payable to NewGenIvf under the EAA is capped at US$5,000,000 per calendar year. The EAA has an initial term of three years from its effective date and will renew automatically for successive one-year periods thereafter. NewGenIvf’s exclusivity in each agreed territory is subject to NewGenIvf satisfying a minimum annual gross profit performance threshold of US$500,000 per calendar year in respect of customers introduced or directly serviced by NewGenIvf in that territory; failure to satisfy that threshold in any territory entitles K25.ai to terminate NewGenIvf’s exclusivity in that territory in accordance with the terms of the EAA. A copy of the EAA was filed as Exhibit 10.2 in the Company’s current report on Form 6-K dated May 28,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Repurchase and Forbearance Agreement with JAK Opportunities VI LLC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15, 2026, NewGenIvf entered into a Repurchase and Forbearance Agreement (the “Repurchase Agreement”) with JAK Opportunities VI LLC (“JAK”), pursuant to which the Company agreed to (i) repurchase from JAK senior convertible notes originally issued under two Securities Purchase Agreements dated August 7, 2024 and April 1, 2025, respectively, having an aggregate outstanding principal and accrued interest amount of approximately $3,625,000 as of the date of the Repurchase Agreement, for an aggregate repurchase price of $4,531,250, (ii) repurchase from JAK certain warrants to purchase ordinary shares of the Company for an aggregate repurchase price of $600,000, and (iii) pay JAK a forbearance payment of $2,250,000 in consideration of JAK’s agreement to forbear from, and upon full payment to irrevocably waive, its rights to require additional note closings under the existing Securities Purchase Agreements. The aggregate payment obligation of $7,381,250 is payable in installments through November 1, 2027, as set forth in a schedule attached to the Repurchase Agreement. During the payment period, JAK has agreed to forbear from converting the notes or exercising the warrants, subject to termination of the forbearance upon the occurrence of any event of default or uncured breach by the Company. The Repurchase Agreement also provides that proceeds from any subsequent equity or debt placements by the Company (subject to specified exclusions) must be applied as mandatory prepayments toward the aggregate payment obligation, with 66% of such proceeds first applied evenly to the note repurchase price, warrant repurchase price, and forbearance payment. In the event of a Default under the Agreement, all payments made by the Company to JAK prior to such Default would be permanently forfeited and retained by JAK as liquidated damages and compensation for the use of funds. Upon such Default, the original outstanding Convertible Notes, Warrants, and all related rights (including conversion and exercise rights) would be fully reinstated as if the Agreement had never been entered into. A copy of the Repurchase Agreement was filed as Exhibit 10.1 to the Company’s current report on 6-K dated June 16, 2026 and is incorporated by reference herein.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37"/>
        <w:gridCol w:w="60"/>
        <w:gridCol w:w="8708"/>
      </w:tblGrid>
      <w:tr>
        <w:trPr/>
        <w:tc>
          <w:tcPr>
            <w:tcW w:w="1437"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Units offered by us</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 Units at an assumed offering price of US$[●] per Unit, which was the last reported sales price of our Class A Ordinary Shares, as reported on the Nasdaq Capital Market on [●], 2026. Each Unit consists of one Class A Ordinary Share and one Common Warrant to purchase one Class A Ordinary Share.</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to each purchaser whose purchase of Units in this offering would otherwise result in the purchaser, together with its affiliates, beneficially owning more than 4.99% (or, at the election of the purchaser, up to 9.99%) of our outstanding Class A Ordinary Shares immediately following the consummation of this offering, the opportunity to purchase, if the purchaser so chooses, Pre-Funded Units, each including one Pre-Funded Warrant and one Common Warrant.</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Pre-Funded Unit we sell (without regard to any limitation on exercise set forth therein), the number of Units we are offering will be decreased on a one-for-one basis.</w:t>
            </w:r>
          </w:p>
          <w:p>
            <w:pPr>
              <w:pStyle w:val="TableContents"/>
              <w:bidi w:val="0"/>
              <w:spacing w:before="0" w:after="0"/>
              <w:ind w:left="0" w:right="0" w:firstLine="144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offering of the Class A Ordinary Shares issuable upon exercise of the Pre-Funded Warrants and Common Warrants.</w:t>
            </w:r>
          </w:p>
          <w:p>
            <w:pPr>
              <w:pStyle w:val="TableContents"/>
              <w:bidi w:val="0"/>
              <w:spacing w:before="0" w:after="0"/>
              <w:ind w:left="0" w:right="0" w:hanging="180"/>
              <w:jc w:val="both"/>
              <w:rPr>
                <w:caps w:val="false"/>
                <w:smallCaps w:val="false"/>
              </w:rPr>
            </w:pPr>
            <w:r>
              <w:rPr>
                <w:caps w:val="false"/>
                <w:smallCaps w:val="false"/>
              </w:rPr>
              <w:t> </w:t>
            </w:r>
          </w:p>
        </w:tc>
      </w:tr>
      <w:tr>
        <w:trPr/>
        <w:tc>
          <w:tcPr>
            <w:tcW w:w="1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offered by us</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Common Warrants will be exercisable immediately, will have an exercise price of $[●] per share (100% of the assumed public offering price per Unit) and will have a term of three (3) years from the closing date.</w:t>
            </w:r>
          </w:p>
        </w:tc>
      </w:tr>
      <w:tr>
        <w:trPr/>
        <w:tc>
          <w:tcPr>
            <w:tcW w:w="14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283"/>
              <w:ind w:left="0" w:right="0" w:hanging="180"/>
              <w:jc w:val="both"/>
              <w:rPr/>
            </w:pPr>
            <w:r>
              <w:rPr/>
              <w:t> </w:t>
            </w:r>
          </w:p>
        </w:tc>
      </w:tr>
      <w:tr>
        <w:trPr/>
        <w:tc>
          <w:tcPr>
            <w:tcW w:w="1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Assumed Public Offering Price</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per Unit, the closing price of our Class A Ordinary Shares on [●], 2026. </w:t>
            </w:r>
          </w:p>
        </w:tc>
      </w:tr>
      <w:tr>
        <w:trPr/>
        <w:tc>
          <w:tcPr>
            <w:tcW w:w="14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283"/>
              <w:ind w:left="0" w:right="0" w:hanging="180"/>
              <w:jc w:val="both"/>
              <w:rPr/>
            </w:pPr>
            <w:r>
              <w:rPr/>
              <w:t> </w:t>
            </w:r>
          </w:p>
        </w:tc>
      </w:tr>
      <w:tr>
        <w:trPr/>
        <w:tc>
          <w:tcPr>
            <w:tcW w:w="1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currently issued and outstanding</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Ordinary Shares, consisting of [●] Class A Ordinary Shares and [●] Class B Ordinary Shares.</w:t>
            </w:r>
          </w:p>
        </w:tc>
      </w:tr>
      <w:tr>
        <w:trPr/>
        <w:tc>
          <w:tcPr>
            <w:tcW w:w="14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283"/>
              <w:ind w:left="0" w:right="0" w:hanging="180"/>
              <w:jc w:val="both"/>
              <w:rPr/>
            </w:pPr>
            <w:r>
              <w:rPr/>
              <w:t> </w:t>
            </w:r>
          </w:p>
        </w:tc>
      </w:tr>
      <w:tr>
        <w:trPr/>
        <w:tc>
          <w:tcPr>
            <w:tcW w:w="1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after this offering</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Class A Ordinary Shares, assuming (i) the sales of all the securities being offered in this offering at an assumed offering price of $[●] per Unit, (ii) no sale of the Pre-Funded Units, and (iii) no exercise of the Common Warrants; 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 Class A Ordinary Shares, assuming (i) the sales of all the securities being offered in this offering at an assumed offering price of $[●] per Unit, (ii) no sale of the Pre-Funded Units, and (iii) full exercise of the Common Warrants;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Class B Ordinary Shares</w:t>
            </w:r>
          </w:p>
        </w:tc>
      </w:tr>
      <w:tr>
        <w:trPr/>
        <w:tc>
          <w:tcPr>
            <w:tcW w:w="14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283"/>
              <w:ind w:left="0" w:right="0" w:hanging="180"/>
              <w:jc w:val="left"/>
              <w:rPr/>
            </w:pPr>
            <w:r>
              <w:rPr/>
              <w:t> </w:t>
            </w:r>
          </w:p>
        </w:tc>
      </w:tr>
      <w:tr>
        <w:trPr/>
        <w:tc>
          <w:tcPr>
            <w:tcW w:w="1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 of Common Warrants and Pre-Funded Warrants</w:t>
            </w:r>
          </w:p>
        </w:tc>
        <w:tc>
          <w:tcPr>
            <w:tcW w:w="60" w:type="dxa"/>
            <w:tcBorders/>
            <w:vAlign w:val="center"/>
          </w:tcPr>
          <w:p>
            <w:pPr>
              <w:pStyle w:val="TableContents"/>
              <w:bidi w:val="0"/>
              <w:spacing w:before="0" w:after="283"/>
              <w:jc w:val="left"/>
              <w:rPr/>
            </w:pPr>
            <w:r>
              <w:rPr/>
              <w:t> </w:t>
            </w:r>
          </w:p>
        </w:tc>
        <w:tc>
          <w:tcPr>
            <w:tcW w:w="87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exercisable for one Class A Ordinary Share. Subject to limited exceptions, a holder of Pre-Funded Warrants will not have the right to exercise any portion of its Pre-Funded Warrants if the holder, together with its affiliates, would beneficially own in excess of 4.99% (or, at the election of the holder, up to 9.99%) of the number of Class A Ordinary Shares outstanding immediately after giving effect to such exercise. The purchase price of each Pre-Funded Unit will equal the price per Unit minus $0.001, and the exercise price of each Pre-Funded Warrant will be $0.001 per Class A Ordinary Share. The Pre-Funded Warrants are immediately exercisable (subject to the beneficial ownership cap) and may be exercised at any time until all of the Pre-Funded Warrants are exercised in full.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Warrant will be exercisable immediately to purchase one Class A Ordinary Share. Each Common Warrant will have an assumed initial exercise price of $[●] per Class A Ordinary Share (100% of the offering price of each Unit in this offering, the “Basis Price”), will be exercisable upon issuance, and will expire three (3) year from the issuance date. The Common Warrants contain certain mechanisms for cashless exercise if at the time of exercise there is no effective registration statement registering, or the prospectus contained therein is not available for the issuance of the warrant shares. The Common Warrants also contain certain downward adjustment mechanism and anti-dilution provisions in the event of future dilutive issuance, share combinations and reverse splits.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Pre-Funded Warrants and the Common Warrants, you should carefully read the section titled “Description of Securities We Are Offering” in this prospectus. See “Risk Factors – Risks Related to this Offering”. This prospectus also relates to the offering of the Class A Ordinary Shares issuable upon exercise of the Common Warrants.</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60"/>
        <w:gridCol w:w="60"/>
        <w:gridCol w:w="9285"/>
      </w:tblGrid>
      <w:tr>
        <w:trPr/>
        <w:tc>
          <w:tcPr>
            <w:tcW w:w="86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Voting Rights</w:t>
            </w:r>
          </w:p>
        </w:tc>
        <w:tc>
          <w:tcPr>
            <w:tcW w:w="60" w:type="dxa"/>
            <w:tcBorders/>
            <w:vAlign w:val="center"/>
          </w:tcPr>
          <w:p>
            <w:pPr>
              <w:pStyle w:val="TableContents"/>
              <w:bidi w:val="0"/>
              <w:spacing w:before="0" w:after="283"/>
              <w:jc w:val="left"/>
              <w:rPr/>
            </w:pPr>
            <w:r>
              <w:rPr/>
              <w:t> </w:t>
            </w:r>
          </w:p>
        </w:tc>
        <w:tc>
          <w:tcPr>
            <w:tcW w:w="928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Class A Ordinary Share is entitled to one (1) vote.</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5" w:type="dxa"/>
            <w:tcBorders/>
            <w:vAlign w:val="center"/>
          </w:tcPr>
          <w:p>
            <w:pPr>
              <w:pStyle w:val="TableContents"/>
              <w:bidi w:val="0"/>
              <w:spacing w:before="0" w:after="283"/>
              <w:ind w:left="0" w:right="0" w:hanging="180"/>
              <w:jc w:val="both"/>
              <w:rPr/>
            </w:pPr>
            <w:r>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See the sections titled “Principal Shareholders” and “Description of Share Capital” for additional information.</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ind w:left="0" w:right="0" w:hanging="180"/>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Use of proceeds </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this offering for working capital and general corporate purposes. See “Use of Proceeds”.</w:t>
            </w:r>
          </w:p>
        </w:tc>
      </w:tr>
      <w:tr>
        <w:trPr/>
        <w:tc>
          <w:tcPr>
            <w:tcW w:w="8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Lock-up</w:t>
            </w:r>
          </w:p>
        </w:tc>
        <w:tc>
          <w:tcPr>
            <w:tcW w:w="60" w:type="dxa"/>
            <w:tcBorders/>
            <w:vAlign w:val="center"/>
          </w:tcPr>
          <w:p>
            <w:pPr>
              <w:pStyle w:val="TableContents"/>
              <w:bidi w:val="0"/>
              <w:spacing w:before="0" w:after="283"/>
              <w:jc w:val="left"/>
              <w:rPr/>
            </w:pPr>
            <w:r>
              <w:rPr/>
              <w:t> </w:t>
            </w:r>
          </w:p>
        </w:tc>
        <w:tc>
          <w:tcPr>
            <w:tcW w:w="928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and each of our executive officers and directors shave agreed that we will not offer, issue, sell, contract to sell, encumber, grant any option for the sale of or otherwise dispose of any securities of the Company without the Placement Agent’s prior written consent, during the [six (6)] months period from the closing of the offering, subject to certain exemptions.</w:t>
            </w:r>
          </w:p>
        </w:tc>
      </w:tr>
      <w:tr>
        <w:trPr/>
        <w:tc>
          <w:tcPr>
            <w:tcW w:w="8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ind w:left="0" w:right="0" w:hanging="180"/>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 investment in our securities involves substantial risks. You should be aware that Nasdaq may halt trading in our Class A Ordinary Shares and/or delist our Class A Ordinary Shares for public interest concerns. See “Risk Factors - </w:t>
            </w:r>
            <w:r>
              <w:rPr>
                <w:rFonts w:ascii="Times New Roman;Times;Serif" w:hAnsi="Times New Roman;Times;Serif"/>
                <w:i/>
                <w:sz w:val="20"/>
              </w:rPr>
              <w:t>Nasdaq may halt trading in our Class A Ordinary Shares on Nasdaq or delist our Class A Ordinary Shares for public interest concerns as a result of this offering.</w:t>
            </w:r>
            <w:r>
              <w:rPr>
                <w:rFonts w:ascii="Times New Roman;Times;Serif" w:hAnsi="Times New Roman;Times;Serif"/>
                <w:sz w:val="20"/>
              </w:rPr>
              <w:t>” on page 65 of this prospectus. You should read the “</w:t>
            </w:r>
            <w:r>
              <w:rPr>
                <w:rFonts w:ascii="Times New Roman;Times;Serif" w:hAnsi="Times New Roman;Times;Serif"/>
                <w:i/>
                <w:sz w:val="20"/>
              </w:rPr>
              <w:t>Risk Factors</w:t>
            </w:r>
            <w:r>
              <w:rPr>
                <w:rFonts w:ascii="Times New Roman;Times;Serif" w:hAnsi="Times New Roman;Times;Serif"/>
                <w:sz w:val="20"/>
              </w:rPr>
              <w:t>” section starting on page 32 of this prospectus for a discussion of factors to consider carefully before deciding to invest in our securities.</w:t>
            </w:r>
          </w:p>
        </w:tc>
      </w:tr>
      <w:tr>
        <w:trPr/>
        <w:tc>
          <w:tcPr>
            <w:tcW w:w="8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ind w:left="0" w:right="0" w:hanging="180"/>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Agent</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Continental Stock Transfer &amp; Trust Company</w:t>
            </w:r>
          </w:p>
        </w:tc>
      </w:tr>
      <w:tr>
        <w:trPr/>
        <w:tc>
          <w:tcPr>
            <w:tcW w:w="8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ind w:left="0" w:right="0" w:hanging="180"/>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symbol</w:t>
            </w:r>
          </w:p>
        </w:tc>
        <w:tc>
          <w:tcPr>
            <w:tcW w:w="60" w:type="dxa"/>
            <w:tcBorders/>
            <w:vAlign w:val="center"/>
          </w:tcPr>
          <w:p>
            <w:pPr>
              <w:pStyle w:val="TableContents"/>
              <w:bidi w:val="0"/>
              <w:spacing w:before="0" w:after="283"/>
              <w:jc w:val="both"/>
              <w:rPr/>
            </w:pPr>
            <w:r>
              <w:rPr/>
              <w:t> </w:t>
            </w:r>
          </w:p>
        </w:tc>
        <w:tc>
          <w:tcPr>
            <w:tcW w:w="9285" w:type="dxa"/>
            <w:tcBorders/>
            <w:vAlign w:val="center"/>
          </w:tcPr>
          <w:p>
            <w:pPr>
              <w:pStyle w:val="TableContents"/>
              <w:bidi w:val="0"/>
              <w:spacing w:before="0" w:after="283"/>
              <w:jc w:val="both"/>
              <w:rPr/>
            </w:pPr>
            <w:r>
              <w:rPr/>
              <w:t>“</w:t>
            </w:r>
            <w:r>
              <w:rPr>
                <w:rFonts w:ascii="Times New Roman;Times;Serif" w:hAnsi="Times New Roman;Times;Serif"/>
                <w:sz w:val="20"/>
              </w:rPr>
              <w:t>NIVF” (Class A Ordinary Shares); “NIVFW” (Warrants to purchase Class A Ordinary Shares). There is no established public trading market for the Pre-Funded Warrants or the Common Warrants, and we do not expect a market to develop. We do not intend to apply for listing of the Pre-Funded Warrants or the Common Warrants on any securities exchange or other nationally recognized trading system. Without an active trading market, the liquidity of the Pre-Funded Warrants or the Common Warrants will be limited.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contained in this prospectus assumes the sale of all of the Class A Ordinary Shares offered hereby at an assumed public offering price of $[●] per share. The number of shares of our Class A Shares that are and will be outstanding immediately before and after this offering as shown above is based on [●] Class A Ordinary Shares outstanding as of [●], 2026. No new Class B Ordinary Shares will be issued by us under this offering.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You should carefully consider the risks in this prospectus, the risk factors described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applicable prospectus supplement and any risk factors set forth in our other filings with the SEC pursuant to Sections 13(a), 13(c), 14 or 15(d) of the Securities Exchange Act of 1934, as amended, or the Exchange Act, before making a decision about investing in our Class A Ordinary Shares. The risks and uncertainties we have described are not the only ones we face. Additional risks and uncertainties not presently known to us or that we currently deem immaterial may also affect our operations. If any risks actually occur, our business, financial condition and results of operations may be materially and adversely affected. In such an event, the trading price of our Class A Ordinary Shares could decline and you could lose part or all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also subject to the following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NewGenIvf’s Business and Industry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continue operating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Company’s cash and cash equivalents stood at approximately US$295,289 While the Company does not have immediate challenges to settle its obligations when payments become due, the Company can make no assurance that it will have sufficient capital to bridge potential financial and liquidity shortfalls.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always closely monitoring the market for opportunities and has also been carrying out various fundraising projects to improve the Company’s cash flow position. As of January 21, 2026, convertible promissory notes of $4,250,000 remain outstanding. Moreover, the Company has access to an equity line of credit facility of up to US$100,000,000 from White Lion Capital, of which approximately US$15.21 million has been drawn and become equity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 that required financing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its financial statements.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reflect adjustments that would be necessary if the going concern basis was not appropriate. If the going concern basis was not appropriate for these consolidated financial statements, then adjustments would be necessary in the carrying value of the assets and liabilities, the reported revenues and expenses, and the balance sheet classifications used. These adjustments could be material.</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fertility market in which NewGenIvf participates is competitive, and if NewGenIvf does not continue to compete effectively, its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NewGenIvf’s solutions is competitive and is likely to attract increased competition, which could make it hard for it to succeed. NewGenIvf faces significant competition from other fertility companies and other players in the fertility market. Some of NewGenIvf’s competitors are more established, have a longer operating history and a larger client base, benefit from greater brand recognition and have substantially greater financial, technical and marketing resources than NewGenIvf does. NewGenIvf’s competitors may compete with NewGenIvf in a variety of ways, including seeking to develop or integrating solutions and services that may become more efficient or appealing to NewGenIvf’s existing and potential clients, achieving superior clinical outcomes, having access to a network of more high-quality fertility specialists, establishing more comprehensive data reporting and sharing systems, conducting brand promotions and other marketing activities, and making investments in and acquisitions of NewGenIvf’s business partners. While NewGenIvf believes that one of its key competitive advantages is its ability to provide a broad range of services, and NewGenIvf does not believe any competitors have developed a similar broad range services in Asia Pacific at this time, current or future competitors may be successful in doing so in the future. If current or future competitors are successful at developing a similar broad range of services, NewGenIvf’s financial performance may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believes that there is growing awareness of the demand for fertility services. As the fertility services field gains more attention, more competitors may be drawn into the market. NewGenIvf also could be adversely affected if NewGenIvf fails to identify or effectively respond to changes in market dynamics. As a result of any of these factors, NewGenIvf may not be able to continue to compete successfully against its current or future competitors, and this competition could result in the decrease in its clients base and market share and the failure of its platform to continue to maintain market acceptance, which would materially and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a limited operating history with its current platform of solutions, which makes it difficult to predict its future prospects, financial performance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entity of the Company prior to the Business Combination in April of 2024, NewGenIvf Limited, a Cayman Islands exempted company, was established in 2019, and although its subsidiary First Fertility PGS Center Limited launched fertility services in 2014, has a limited operating history. As a result of its limited operating history with its current platform of solutions, as well as a limited amount of time serving a majority of its client base, its ability to accurately forecast its future results of operations, key operating data, net revenue, cash flows, and operating margins is limited and subject to a number of uncertainties, including its ability to plan for and model future growth. NewGenIvf’s historical revenue growth should not be considered indicative of its future performance. Further, in future periods, its revenue growth could slow or decline for a number of reasons, including risks, challenges and uncertainties that NewGenIvf has encountered and may continue to encounter that are frequently experienced by companies at an early stage, slowing demand for its solutions and fertility services in general, changes in utilization trends by its clients, general economic slowdown, an increase in unemployment, an increase in competition, changes to health care trends and regulations, changes to science relating to the fertility market, a decrease in the growth of the fertility market, or its failure, for any reason, to continue to take advantage of growth opportunities. If NewGenIvf’s assumptions regarding these risks and uncertainties and its future revenue growth are incorrect or change, or if it does not address these risks successfully, its operating and financial results could differ materially from its expectations, and its business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undergoing a significant and rapid business transformation, which involves substantial risks and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recent and planned strategic initiatives represent a fundamental shift from our historical focus on fertility services to a highly diversified conglomerate with operations in real estate development, and digital asset management. This transformation involves numerous risks, including our inability to manage multiple, unrelated business lines, the failure of these new ventures to generate expected revenues or profits, the diversion of management’s attention from our core operations, and significant unanticipated costs. Our lack of operating history in these new sectors makes it difficult to forecast future performance, and there can be no assurance that this diversification strategy will enhance shareholder value or that we will successfully execute this transformation.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new strategic initiatives may place significant strain on the Company’s management, and operational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expansion into multiple new and complex business areas will require significant management attention and financial resources. Our senior management has limited experience in large-scale real estate development, and digital asset tokenization industries. Our ability to manage this growth effectively, recruit and retain qualified personnel with the requisite expertise, and maintain a cohesive corporate culture across diverse business lines is unproven. Any failure to manage this growth could lead to operational inefficiencies, control failures, and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planned Solana strategy may not be successful and exposes us to various risks, including risks associated with the Solana network, SOL token and the blockchain sector.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we announced plans to invest up to US$30 million in staking the digital asset SOL (the native token of the Solana network) and funding such investment using our existing credit facilities. We intend to systematically deploy our available capital to acquire SOL from time to time over a period of 18 months, as further described below. As of the date of this prospectus, we have acquired 13,000.23 SOL tokens and have not begun staking SOL.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Staking SOL” refers to the process of delegating our acquired SOL tokens to independent validator nodes on the Solana network to participate in its proof-of-stake consensus mechanism. We are currently evaluating various validators with a view to establishing relationships for staking SOL. In return for this delegation, we earn staking rewards, which are distributed approximately every 2-3 days (each period known as an “epoch”). This strategy is intended to generate returns through (i) these staking rewards, currently yielding approximately 6.78% Annual Percentage Yield and (ii) potential appreciation in the value of the SOL tokens we hold. Our primary costs include validator commissions (typically 0-10% of rewards), network transaction fees, custodial service fees, and, if credit facilities are used for funding, interest expense on such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structured our Solana strategy in phases: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Phase 1 (completed June-July 2025): We acquired an initial position of 6,703.99 SOL (approximately $1.24 million at acquisition) as an operational pilot.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Phase 2 (Q3 2025 – Q4 2026): We plan to systematically deploy the remaining capital (approximately $28.76 million) to acquire SOL using a dollar-cost averaging methodology to mitigate market timing risk. In addition, during this phase, we will evaluate various validators and establishing validator relationships to begin staking SOL. We intend to stake a majority of our SOL holdings.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sz w:val="20"/>
              </w:rPr>
            </w:pPr>
            <w:r>
              <w:rPr>
                <w:sz w:val="20"/>
              </w:rPr>
              <w:t>Phase 3 (ongoing): we will actively manage our validator relationships and reward optimization.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prospectus, we hold 8,000.23 SOL tokens, with a total value of approximately $[●] million and an unrealized gain of approximately $[●] million. As we have not begun staking, we have not earned any staking rewards yet. However, our past performance is not indicative of future results, and we face numerous material risks that could prevent us from realizing our strategy or result in a complete or partial loss of our investment,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Price Volatility of SOL:</w:t>
            </w:r>
            <w:r>
              <w:rPr>
                <w:sz w:val="20"/>
              </w:rPr>
              <w:t xml:space="preserve"> SOL is a highly volatile cryptocurrency asset that has traded below US$105 and above $270 per SOL in the 12 months preceding the date of this registration statement. The trading price of SOL has been highly volatile during prior periods, experiencing multiple previous significant decreases, and such declines may occur again in the future. A decline in the price of SOL could rapidly erase any staking rewards earned and result in a substantial loss of our principal capital.</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Staking and Liquidity Risks:</w:t>
            </w:r>
            <w:r>
              <w:rPr>
                <w:sz w:val="20"/>
              </w:rPr>
              <w:t xml:space="preserve"> The Solana network imposes an “unbonding” period of several days when we wish to stop staking and liquidate our tokens. This lock-up period limits our ability to react to adverse market conditions, subjecting us to significant market timing risk and potential illiquidity during periods of volatility.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Operational and Validator Risks:</w:t>
            </w:r>
            <w:r>
              <w:rPr>
                <w:sz w:val="20"/>
              </w:rPr>
              <w:t> Our ability to earn rewards is dependent on the performance and reliability of the third-party validators we delegate to. If a validator fails to perform its functions (e.g., through downtime or malicious activity), our share of staking rewards may be reduced or slashed (penalized). We bear costs for this service, typically validator commissions of 0-10% of rewards earned.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Custodial and Security Risks:</w:t>
            </w:r>
            <w:r>
              <w:rPr>
                <w:sz w:val="20"/>
              </w:rPr>
              <w:t> All our SOL holdings are custodied with OSL Group Limited (“OSL”), a Hong Kong Stock Exchange listed company (0863.HK). We have opened a corporate account with OSL, and our custody arrangements are in accordance with OSL’s general terms and conditions. Under the general terms and conditions, OSL’s associated entity, OSL Custody Services Limited (“OCSL”), a wholly owned subsidiary of OSL with a trust or company service provider licence under the Anti-Money Laundering and Counter-Terrorist Financing Ordinance (Cap. 615 of the Laws of Hong Kong), holds our virtual assets on trust for us in a segregated omnibus account designated as a client or trust account established for the purpose of holding client assets. OCSL has the duty to convey the assets under trust to us as per our instructions, and is required to maintain records which identify our assets, While OSL is a qualified third-party custodian that provides segregated accounts and comprehensive cold storage insurance, the loss of private keys, a security breach, operational failure, or insolvency of the custodian could lead to a partial or total loss of our assets. In addition, although OSL provides institutional-grade proprietary insurance coverage of up to USD 1 billion, in compliance with Hong Kong Securities and Futures Commission requirements, this insurance coverage is shared by its other customers and could result in the coverage being insufficient to compensate us for our losses.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Regulatory Uncertainty:</w:t>
            </w:r>
            <w:r>
              <w:rPr>
                <w:sz w:val="20"/>
              </w:rPr>
              <w:t> The regulatory landscape for digital assets and staking activities, particularly in the U.S., is evolving rapidly. New laws, regulations, or regulatory interpretations could deem our activities non-compliant, subject us to penalties, or force us to liquidate our position at a loss, potentially on short notice.</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Lack of Experience:</w:t>
            </w:r>
            <w:r>
              <w:rPr>
                <w:sz w:val="20"/>
              </w:rPr>
              <w:t> Our management team has limited experience in the digital asset and blockchain sector. Our inability to successfully navigate the complexities of this new and rapidly evolving industry could lead to operational errors, poor strategic decisions, and financial losses.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Solana digital asset staking strategy is subject to unique and substantial risks related to the Solana network’s technology, governance, and ecosystem, which could result in a complete or partial loss of 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fundamentally dependent on the continuous and secure operation of the Solana blockchain. Solana is a high-throughput Layer 1 blockchain that utilizes a novel hybrid Proof-of-Stake and Proof-of-History consensus mechanism. While designed for performance, this architecture introduces specific risks,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Network Performance and Outages</w:t>
            </w:r>
            <w:r>
              <w:rPr>
                <w:sz w:val="20"/>
              </w:rPr>
              <w:t>: The Solana network has a history of performance degradation and full outages due to high transaction volumes, spam attacks, and validator coordination failures. For example, the network experienced significant liveness disruptions in 2021 and 2022. Although upgrades have been implemented to address congestion, there can be no assurance that future issues will not occur. Any disruption, outage, or period of significant congestion could prevent us from staking, unstaking, or transacting our SOL, directly impairing our ability to execute our strategy and potentially eroding the value of our holdings.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Concentration and Reliance on Third-Party Software</w:t>
            </w:r>
            <w:r>
              <w:rPr>
                <w:sz w:val="20"/>
              </w:rPr>
              <w:t>: The Solana validator set is relatively concentrated compared to other networks. Furthermore, a high percentage of validators rely on software provided by Jito Labs, a third party unaffiliated with Solana Labs. If Jito Labs were to discontinue support or if its software contained critical bugs, it could compromise network security and stability, increase the impact of spam transactions, and adversely affect the value of SOL.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sz w:val="20"/>
              </w:rPr>
              <w:t>Technological Obsolescence and Competition</w:t>
            </w:r>
            <w:r>
              <w:rPr>
                <w:sz w:val="20"/>
              </w:rPr>
              <w:t>: The digital asset ecosystem is characterized by rapid innovation and intense competition. New protocols (e.g., Aptos, Sui, Ethereum Layer 2s like Base) or advancements, including the integration of artificial intelligence, may offer superior technology or attract developer activity away from Solana. If the Solana ecosystem fails to evolve, compete, or maintain its relevance, the utility and value of SOL could decline materially.</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left"/>
              <w:rPr>
                <w:sz w:val="20"/>
              </w:rPr>
            </w:pPr>
            <w:r>
              <w:rPr>
                <w:b/>
                <w:sz w:val="20"/>
              </w:rPr>
              <w:t>Lifecycle and Economic Mechanics of SOL</w:t>
            </w:r>
            <w:r>
              <w:rPr>
                <w:sz w:val="20"/>
              </w:rPr>
              <w:t>: The value of SOL is influenced by its specific tokenomics: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b/>
                <w:sz w:val="20"/>
              </w:rPr>
              <w:t>Inflationary and Deflationary Pressures</w:t>
            </w:r>
            <w:r>
              <w:rPr>
                <w:sz w:val="20"/>
              </w:rPr>
              <w:t>: New SOL is created through an inflationary protocol issuance, which began at 8% annually and decreases by 15% year-over-year to a terminal rate of 1.5%. Counteracting this is a deflationary mechanism where a portion of transaction fees is burned (permanently removed from circulation). The net effect on the SOL supply (inflationary or deflationary) depends on network usage and is uncertain.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sz w:val="20"/>
              </w:rPr>
            </w:pPr>
            <w:r>
              <w:rPr>
                <w:b/>
                <w:sz w:val="20"/>
              </w:rPr>
              <w:t>Bonding and Unbonding Periods</w:t>
            </w:r>
            <w:r>
              <w:rPr>
                <w:sz w:val="20"/>
              </w:rPr>
              <w:t>: Staking SOL involves a “warmup” period before rewards are earned and a “cooldown” or unbonding period of several days when unstaking. Typical bonding period requires one full epoch, and unbonding periods requires 2 to 4 days and one full epoch. During this unbonding period, assets are illiquid and earn no rewards. Furthermore, the protocol limits how much stake can unbond per epoch (approximately 25% of the active stake), which could create a queue and further delay access to our capital during a market downturn, exacerbating liquidity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 is a relatively novel digital asset, and is subject to significant legal, commercial, regulatory and technical uncertainty, which could materially adversely affect the Company’s financial position,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 and other digital assets, as well as applications on blockchain networks such as Solana, are relatively novel and are subject to significant uncertainty, which could adversely impact their price. The application of state and federal securities laws and other laws and regulations to digital assets and blockchain-based applications is unclear in certain respects, and it is possible that regulators in the United States or foreign countries may interpret or apply existing laws and regulations in a manner that adversely affects the price of SOL or other digital assets, or the ability of blockchain-based applications to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SOL or the ability of individuals or institutions to own or transfer SOL and utilize blockchain-based applications on networks such as Solana. For example, the U.S. executive branch, the SEC, the European Union’s Markets in Crypto Assets Regulation, among others, have been active in recent years, and in the United Kingdom, the Financial Services and Markets Act 2023, or FSMA 2023, became law. It is not possible to predict whether, or when, any of these developments will lead to Congress granting additional authorities to the SEC, Commodity Futures Trading Commission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SOL specifically. The consequences of increased regulation of digital assets and digital asset activities could adversely affect the market price of SOL and in turn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SOL in particular, may also impact the price of SOL and is subject to a high degree of uncertainty. The pace of worldwide growth in the adoption and use of the Solana network and SOL may depend, for instance, on public familiarity with digital assets, ease of buying, accessing or gaining exposure to SOL, institutional demand for SOL as an investment asset, the participation of traditional financial institutions in the digital assets industry, consumer demand for SOL as a means of payment, and the availability and popularity of alternatives to SOL. Even if growth in SOL adoption occurs in the near or medium-term, there is no assurance that SOL and Solana network usage will continue to grow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SOL have no physical existence beyond the record of transactions on the Solana blockchain, a variety of technical factors related to the Solana blockchain could also impact the price of SOL. For example, malicious attacks by validators, inadequate validation and staking rewards to incentivize validating of Solana transactions, hard “forks” of the Solana blockchain into multiple blockchains, difficulties with upgrades to the Solana network (such as the proposed Alpenglow consensus upgrade or integration of the Firedancer validator client) and advances in digital computing, algebraic geometry, and quantum computing could undercut the integrity of the Solana blockchain and negatively affect the price of SOL. The liquidity of SOL may also be reduced and damage to the public perception of Solana may occur, if financial institutions were to deny or limit banking services to businesses that hold SOL, provide Solana-related services or accept SOL as payment, which could also decrease the price of SOL. Similarly, the open-source nature of the Solana blockchain means the contributors and developers of the Solana blockchain are generally not directly compensated for their contributions in maintaining and developing the blockchain, and any failure to properly monitor and upgrade the Solana blockchain could adversely affect the Solana blockchain and negatively affect the price of SOL.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SOL may also be impacted to the extent that changes in applicable laws and regulatory requirements negatively impact the ability of exchanges and trading venues to provide services for SOL and other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cyberattack or other malicious attack on the Solana blockchain could have a material impact on the value of SOL held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Solana and other digital assets and the entities that provide services to participants in blockchain ecosystems have been, and may in the future be, subject to security breaches, cyberattacks, or other malicious activities. A successful security breach or cyberattack could result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partial or total loss of our digital assets in a manner that may not be covered by insurance or the liability provisions of the custody agreements with the custodian who holds our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left"/>
              <w:rPr>
                <w:sz w:val="20"/>
              </w:rPr>
            </w:pPr>
            <w:r>
              <w:rPr>
                <w:sz w:val="20"/>
              </w:rPr>
              <w:t>harm to our reputation;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significant regulatory scrutiny, investigations, fines, penalties, and other legal, regulatory, contractual and financial exposure.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Solana ecosystem or in the use of the Solana network to conduct financial transactions, which could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b/>
                <w:i/>
                <w:sz w:val="20"/>
              </w:rPr>
            </w:pPr>
            <w:r>
              <w:rPr>
                <w:b/>
                <w:i/>
                <w:sz w:val="20"/>
              </w:rPr>
              <w:t xml:space="preserve">NewGenIvf’s tokenization advisory services exposes the Company to a novel, evolving and highly uncertain regulatory and operational landscape.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NewGenIvf announced its engagement as the worldwide agent for the tokenization of the specific artwork assets owned by World Chinese Museum Co. Ltd. On November 5, 2025, NewGenIvf announced its engagement as an agent for the tokenization of an initial US$100 million tranche of SAXA’s gold-backed assets. NewGenIvf’s agreements to tokenize assets such as art and gold-backed securities involve complex legal and regulatory challenges. The legal status of tokenized assets is uncertain in many jurisdictions, and they may be deemed securities, subjecting us and our clients to stringent securities laws. Our ability to execute these services is contingent upon obtaining necessary regulatory approvals from bodies such as the U.S. SEC and UAE regulators, which may not be granted. Furthermore, these initiatives are vulnerable to risks including technical failures of the underlying blockchain, cybersecurity breaches, market volatility in the digital asset space, and a lack of market acceptance for tokenized assets. If we are unable to navigate these risks, our tokenization business may not generate the anticipated commission revenue, and we could be subject to significant legal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strategic investment in and exclusive agency agreement with PredicXion Group Limited subject us to financial, operational, and regulatory risks, and we may fail to realize the anticipated benefits of this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2026, we entered into a series of agreements to acquire up to a 10% equity interest in PredicXion Group Limited (“PredicXion”) for an aggregate valuation of US$100,000,000, consisting of an initial 2% acquisition and two subsequent 4% top-up exercises (collectively, the “PredicXion Acquisition”). Concurrently, we entered into an Exclusive Agency Agreement (“EAA”) to act as the exclusive agent for the promotion, marketing, and facilitation of PredicXion’s K25.ai platform in certain APAC markets. This transaction and the ongoing commercial relationship expose us to numerous risks, including the following: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Substantial Liquidity and Capital Commitments</w:t>
            </w:r>
            <w:r>
              <w:rPr/>
              <w:t>: The PredicXion Acquisition requires significant cash and equity commitments. Under the terms of the First PredicXion Top-Up SPA and Second PredicXion Top-Up SPA, we are required to pay total outstanding cash balances of US$1,900,000 to the Seller by August 31, 2026. If we experience cash flow constraints or fail to fulfill these payment obligations on time, we could be in breach of these agreements, which may result in legal liability, forfeiture of our deposits, or the loss of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Risks Associated with Digital Assets</w:t>
            </w:r>
            <w:r>
              <w:rPr/>
              <w:t>: The consideration for the PredicXion Acquisition may be paid in part using digital assets (including stablecoins or Solana). The value of digital assets is highly volatile and susceptible to sudden market fluctuations, regulatory scrutiny, and security vulnerabilities. Utilizing digital assets for transaction settlements exposes us to increased operational complexity and potential financial losses.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Dilution to Existing Shareholders</w:t>
            </w:r>
            <w:r>
              <w:rPr/>
              <w:t>: We have committed to issuing substantial amounts of Class A ordinary shares as part of the transaction consideration (666,667 shares for the Initial Acquisition and 1,500,000 shares for each of the two Top-Up Acquisitions, totaling 3,666,667 shares). The issuance of these shares will dilute the ownership percentages and voting power of our existing shareholders and could depress the market price of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Risk of Loss of Territory Exclusivity</w:t>
            </w:r>
            <w:r>
              <w:rPr/>
              <w:t>: Our exclusive marketing rights for the K25.ai platform in Thailand, Singapore, Japan, and other agreed APAC markets are conditional upon our performance. Specifically, we must satisfy a minimum annual gross profit performance threshold of US$500,000 per calendar year in each agreed territory. If we fail to meet this threshold in any territory, PredicXion has the right to terminate our exclusivity for that region, which would significantly impair our expected revenue and competitive position in the APAC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Reliance on a Minority Investment and Platform Adoption</w:t>
            </w:r>
            <w:r>
              <w:rPr/>
              <w:t>: Because our maximum equity interest in PredicXion is capped at 10%, we will have limited influence and no control over PredicXion’s corporate governance, strategic direction, or operational decisions. Furthermore, the success of the EAA depends heavily on commercial acceptance of the K25.ai platform. If the platform fails to gain market traction, or if PredicXion fails to maintain or upgrade the platform efficiently, we may never generate sufficient gross profit to earn the tiered commissions under the EAA or achieve a return on 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Caps on Potential Revenue</w:t>
            </w:r>
            <w:r>
              <w:rPr/>
              <w:t>: The aggregate commission payable to us under the EAA is capped at US$5,000,000 per calendar year. This cap limits our maximum potential upside from the relationship, even if the K25.ai platform achieves massive financial success in our territories.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manage these risks,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real estate development projects are subject to numerous risks that could prevent the Company from realizing the projected returns.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real estate joint venture is concentrated in Ras Al Khaimah, UAE, and is dependent on the successful development, marketing, and sale of properties in the specific geographic region. The project is vulnerable to regional economic conditions, regulatory changes, and real estate market fluctuations specific to that emirate. The projected net return of up to US$67 million is based on feasibility studies and assumptions, including specific sale prices per square foot and 100% sales efficiency, which may not materialize. These projects are susceptible to risks such as construction delays and cost overruns, fluctuations in the UAE real estate market, changes in regional economic and political conditions, regulatory changes, and reliance on third-party developers and partners. Our financial returns are contingent upon the joint venture’s success, and any failure to achieve the projected financial outcomes could have a material adverse effect on our business and financial condition. Furthermore, the Company’s current commitment is limited to a reservation deposit, as a definitive Sales and Purchase Agreement has yet to be executed. Thus, there is uncertainty over projected final project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valuation of acquired assets, such as intellectual property and mining reserves, is complex and subjective, and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NewGenIvf reported a gain from IP acquisition of US$17.9 million from its acquisition of advanced cytometry intellectual property. The gain from acquisition was based on an independent valuation report from a “Big Four” accounting firm. The gain from IP acquisition is based on estimates, appraisals, and technical reports. These valuations are subject to assumptions and methodologies that may prove to be inaccurate. The actual commercial value of the acquired IP is dependent on our ability to successfully license the technology and generate royalty streams. If the fair value of these assets declines or is not realized, we may be required to recognize impairment charges, which would negatively impact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marketing efforts depend significantly on its ability to receive positive references from its existing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marketing efforts depend significantly on its ability to call on its current clients to provide positive references to new, potential clients. Given its limited number of long-term clients, the loss or dissatisfaction of any client could substantially harm its brand and reputation, inhibit the market adoption of its offering and impair its ability to attract new clients and maintain existing clients. Any of these consequences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reporting company, we are subject to filing deadlines for reports that we file pursuant to the Exchange Act, and our failure to timely file such reports may have material adverse consequences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20-F for the year ended December 31, 2023.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Class A Ordinary Shares from Nasdaq, regulatory sanctions from the SEC, and/or the breach of covenants in our credit facilities or of any preferred equity or debt securities we may issue in the future, any of which could have a material adverse impact on our operations and your investment in our Class A Ordinary Shares,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continue to meet the listing requirements of Nasdaq, our Class A Ordinary Shares will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the Company received a deficiency letter (“Bid Price Deficiency Letter”) from the Listing Qualifications Department (the “Staff”) of Nasdaq notifying the Company that it is currently not in compliance with the closing bid price requirement under Nasdaq Listing Rule 5450(a)(1) (the “Minimum Bid Price Rule”). The Bid Price Deficiency Letter stated that, for the preceding 30 consecutive business days, the Company’s Class A Ordinary Shares did not meet the minimum closing bid price of $1 per share pursuant to the Minimum Bid Price Rule. The Company has an initial compliance period of 180 calendar days, or until April 7, 2025 to regain compliance with the Minimum Bid Price Rule. The Deficiency letter stated that if at any time the closing bid price of the Company’s Class A Ordinary Shares is at least $1 for a minimum of ten consecutive business days, Nasdaq will provide the Company written confirmation of compliance with this requirement, as applicable. On February 11, 2025, the Company effected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Since the First Reverse Stock Split, the Company has carried out 3 additional reverse stock splits on May 5, 2025, August 4, 2025 and December 1, 2025 in order to ensure the Company’s Class A Ordinary Shares do not fall below $1.00 per share for 30 consecutive days. If within one year of the Reverse Stock Splits, the Company’s Class A Ordinary Shares fall below $1.00 per share for 30 consecutive business days, then Nasdaq may not provide us with an additional compliance period under its amended Listing Rule 5810(c)(3)(A)(iv) and our common stock could be delisted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MVLS Deficiency Letter from the Listing Qualifications Department (the “Staff”) of Nasdaq notifying the Company that, for the preceding 35 consecutive business days, the Class A Shares did not meet the minimum MVLS Requirement for continued listing on Nasdaq pursuant to Nasdaq Listing Rules 5450(b)(2)(A). In accordance with Nasdaq Rule 5810(c)(3)(C), the Company has been provided an initial period of 180 calendar days, or until November 20, 2024, the Compliance Date, to regain compliance with the MVLS Requirement. If, at any time before the Compliance Date, the MVLS for the Class A Shares is at least $50,000,000 for a minimum of ten consecutive business days, the Staff will provide the Company written confirmation of compliance with the MVLS Requirement. In the event the Company does not regain compliance with the above requirement prior to the expiration of the compliance period, it will receive written notification that its securities are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MVPHS Deficiency Letter from the Staff of Nasdaq notifying the Company that, for the preceding 35 consecutive business days, the Company’s Class A Ordinary Shares did not meet the minimum $15,000,000 MVPHS Requirement for continued listing on Nasdaq pursuant to Nasdaq Listing Rules 5450(b)(2)(C). In accordance with Nasdaq Rule 5810(c)(3)(D), the Company has until the Compliance Date to regain compliance with the MVPHS Requirement. If, at any time before the Compliance Date, the MVPHS for the Class A Shares is at least $15,000,000 for a minimum of ten consecutive business days, the Staff will provide the Company written confirmation of compliance with the MVPHS Requirement. In the event the Company does not regain compliance with the above requirement prior to the expiration of the compliance period, it will receive written notification that its securities are subject to delisting. Alternatively, the Company may apply to transfer the Company’s securities to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received a notice from the Staff of Nasdaq notifying the Company that its securities are subject to delisting due to the MVPHS Deficiency and MLVS Deficiency. The Company requested a hearing to appeal the delisting determination before the Nasdaq Hearings Panel (the “Panel”) on November 27, 2024. On November 29, 2024, the Company received a formal notice from Nasdaq that the Panel will consider its appeal at an oral hearing on January 28, 2025 (the “Hearing”). On February 19, 2025, the Company received written decision from the Panel, which granted an extension, allowing the Company additional time to regain compliance with the Nasdaq Stock Market’s (“Nasdaq” or the “Exchange”) continued listing requirements, subject to meeting specific compliance criteria within designated timeframes. On February 11, 2025, the Company carried out a 1-for-20 reverse stock split of its issued and unissued shares. The effect of the reverse stock split was to consolidate every 20 issued and unissued share into one share. On February 27, 2025, the Company received a notification letter from Nasdaq, indicating that the closing bid price of the Company’s securities had been at $1.00 per share or greater for 10 consecutive business days from February 11, 2025 to February 26, 2025, and the Company had regained compliance with the Minimum Bid Price Rule. In addition, on February 27, 2025, the Company received a confirmation from Nasdaq that its application to transfer its listing to the Nasdaq Capital Market had been approved and that the Company’s securities would be transferred to the Nasdaq Capital Market at the opening of business on February 28, 2025. On March 10, 2025, the Company received a confirmation letter from Nasdaq confirming that it has demonstrated compliance with all of Nasdaq’s listing requirements, as required in the Panel’s decision letter dated February 19,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and maintain compliance with such listing standards or other Nasdaq listing requirements in the future, our Class A Ordinary Shares could be delisted from Nasdaq. A delisting of our Class A Ordinary Shares and our inability to list on another national securities market could negatively impact us by: (i) reducing the liquidity and market price of our Class A Ordinary Shares; (ii) reducing the number of investors willing to hold or acquire our Class A Ordinary Shares, which could negatively impact our ability to raise equity financing; (iii) limiting our ability to use certain registration statements to offer and sell freely tradable securities, thereby limiting our ability to access the public capital markets; and (iv) impairing our ability to provide equity incentives to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is unable to attract new clients, its business, financial condition and results of operations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its revenue, NewGenIvf must continue to attract new clients. NewGenIvf’s ability to do so depends in large part on the success of its sales and marketing efforts, and the success of references through existing clients. Potential clients may seek out other options; therefore, NewGenIvf must demonstrate that its solutions are valuable and superior to alternatives. If NewGenIvf fails to provide high-quality solutions and convince clients of the benefits of its model and value proposition, NewGenIvf may not be able to attract new clients. If the markets for NewGenIvf’s solutions decline or grow more slowly than it expects, or if the number of clients that contract with it for its solutions declines or fails to increase as it expects, its financial results could be harmed. As the markets in which NewGenIvf participate mature, fertility solutions and services evolve and competitors begin to enter into the market and introduce differentiated solutions or services that are perceived to compete with its solutions, particularly if such competing solutions are adopted by its competitors, its ability to sell its solutions could be impaired. As a result of these and other factors, NewGenIvf may be unable to attract new clients, which would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existing client demographics. Any failure to do so would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growth strategy, NewGenIvf is focused on maintaining its services within its existing client demographics. NewGenIvf mainly competes with mid-level private clinics and hospitals, which have improved and developed their services and equipment over the years. In addition to private clinics and hospitals already existing, foreign medical companies may also enter the markets where NewGenIvf operates. Such foreign medical companies may be well-placed to compete with NewGenIvf due to their larger network size, reputation as global players and access to more advanced technology and financial resources. The expansion of existing competitors in the industry may erode NewGenIvf’s existing market share or decrease its traditional client pool. There can be no assurance that NewGenIvf will be able to compete effectively and therefore its future business growth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reduction in the utilization of NewGenIvf’s solutions could have an adverse effect on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the number of clients using NewGenIvf’s solutions could adversely affect its business, financial condition and results of operations. Factors that could contribute to a reduction in the use of its solutions include: general economic downturn that results in adverse financial conditions; regulatory changes; failure to adapt and respond effectively to changing medical landscape, changing regulations, changing client needs, requirements or preferences; negative publicity, through social media or otherwise and news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offer high-quality support, its reputation could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its client account management personnel and the patient navigators (the “PNs”) to resolve client issues and help clients realize the full benefits that its solutions and services provide. High-quality support is also important for the renewal and expansion of its services to existing clients. The importance of its support functions will increase as NewGenIvf expands its business and pursue new clients. If NewGenIvf does not help its clients quickly resolve issues and provide effective ongoing supports, its ability to maintain and expand its offerings to existing and new clients could suffer, and its reputation with existing or potential clients could suffer. Further, to the extent that NewGenIvf is unsuccessful in hiring, training and retaining adequate PNs and client account management personnel, its ability to provide adequate and timely support to its clients would be negatively impacted, and its clients’ satisfaction with its solutions and services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failure to effectively develop and expand its marketing and sales capabilities could harm its ability to increase its client base and achieve broader market acceptance of solutions NewGenIvf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ability to increase its client base and achieve broader market acceptance of solutions it provides will depend to a significant extent on its ability to expand its marketing and sales capabilities. NewGenIvf plans to continue expanding its direct sales force and to dedicate significant resources to sales and marketing programs, including direct sales, inside sales, targeted direct marketing, advertising, digital marketing, e-newsletter and conference sponsorships. All of these efforts will require it to invest significant financial and other resources. Its business and results of operations could be harmed if its sales and marketing efforts do not generate significant increases in revenue. NewGenIvf may not achieve anticipated revenue growth from expanding its sales and marketing efforts if it is unable to hire, develop, integrate and retain talented and effective sales personnel, if its new and existing sales personnel, on the whole, are unable to achieve desired productivity levels in a reasonable period of time, or if its sales and marketing programs are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experience net losses and may not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experienced significant revenue decrease from 2019 to 2020, due to the impact of COVID-19. NewGenIvf is not certain whether it will obtain sufficient levels of sales to sustain its growth or maintain profitability in the future. NewGenIvf also expects its costs and expenses to increase in future periods, which could negatively affect its future results of operations if its revenue does not increase accordingly. In particular, NewGenIvf intends to continue to incrementally expand its sales and client account management teams to educate potential clients and drive new client adoption. NewGenIvf also expects to incur additional costs as it introduces new solutions and services to enhance its comprehensive fertility offering. NewGenIvf will also face increased compliance costs associated with growth, the expansion of its client base and being a public company. NewGenIvf’s efforts to grow its business may be costlier than it expects, and NewGenIvf may not be able to increase its revenue enough to offset its increased operating expenses. NewGenIvf may incur significant losses in the future for a number of reasons, including the other risks described herein, and unforeseen expenses, difficulties, complications and delays, and other unknown events. If NewGenIvf is unable to sustain profitability, the value of its business and common stock may significantly decrease.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future revenue may not grow at the rates it historically has,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experienced growth since its business operations started in 2014. Revenue and NewGenIvf’s client base may not grow at the same rates they historically have, or they may decline in the future. NewGenIvf’s future growth will depend, in part, on its ability to:</w:t>
      </w:r>
    </w:p>
    <w:p>
      <w:pPr>
        <w:pStyle w:val="TextBody"/>
        <w:bidi w:val="0"/>
        <w:spacing w:before="0" w:after="0"/>
        <w:ind w:left="960" w:right="0" w:hanging="48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sz w:val="20"/>
              </w:rPr>
            </w:pPr>
            <w:r>
              <w:rPr>
                <w:sz w:val="20"/>
              </w:rPr>
              <w:t>continue to attract new clients and/or maintain existing clients;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price its solutions and services effectively so that it is able to attract new clients, expand sales to its existing clients and maintain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provide its clients with client support that meets their needs, including through dedicated PNs;</w:t>
            </w:r>
          </w:p>
        </w:tc>
      </w:tr>
    </w:tbl>
    <w:p>
      <w:pPr>
        <w:pStyle w:val="TextBody"/>
        <w:bidi w:val="0"/>
        <w:spacing w:before="0" w:after="0"/>
        <w:ind w:left="960" w:right="0" w:hanging="48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maintain successful collection of applicable receivable balances;</w:t>
            </w:r>
          </w:p>
        </w:tc>
      </w:tr>
    </w:tbl>
    <w:p>
      <w:pPr>
        <w:pStyle w:val="TextBody"/>
        <w:bidi w:val="0"/>
        <w:spacing w:before="0" w:after="0"/>
        <w:ind w:left="960" w:right="0" w:hanging="48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sz w:val="20"/>
              </w:rPr>
            </w:pPr>
            <w:r>
              <w:rPr>
                <w:sz w:val="20"/>
              </w:rPr>
              <w:t>retain and maintain relationships with high-quality and respected fertility specialists;</w:t>
            </w:r>
          </w:p>
        </w:tc>
      </w:tr>
    </w:tbl>
    <w:p>
      <w:pPr>
        <w:pStyle w:val="TextBody"/>
        <w:bidi w:val="0"/>
        <w:spacing w:before="0" w:after="0"/>
        <w:ind w:left="960" w:right="0" w:hanging="48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attract and retain highly qualified personnel to support all clients; and</w:t>
            </w:r>
          </w:p>
        </w:tc>
      </w:tr>
    </w:tbl>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increase awareness of its brand and successfully compete with other competitors.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not successfully accomplish all or any of these objectives, which may affect its future revenue, and which makes it difficult for it to forecast its future results of operations. In addition, if the assumptions that NewGenIvf uses to plan its business are incorrect or change in reaction to changes in its market, it may be difficult for it to maintain profitability. NewGenIvf’s shareholders should not rely on its revenue for any prior quarterly or annual periods as any indication of its future revenue or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expects to continue to expend substantial financial and other resources on:</w:t>
      </w:r>
    </w:p>
    <w:p>
      <w:pPr>
        <w:pStyle w:val="TextBody"/>
        <w:bidi w:val="0"/>
        <w:spacing w:before="0" w:after="0"/>
        <w:ind w:left="960" w:right="0" w:hanging="48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70"/>
        <w:gridCol w:w="1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both"/>
              <w:rPr>
                <w:sz w:val="20"/>
              </w:rPr>
            </w:pPr>
            <w:r>
              <w:rPr>
                <w:sz w:val="20"/>
              </w:rPr>
              <w:t>sales and marketing;</w:t>
            </w:r>
          </w:p>
        </w:tc>
      </w:tr>
    </w:tbl>
    <w:p>
      <w:pPr>
        <w:pStyle w:val="TextBody"/>
        <w:bidi w:val="0"/>
        <w:spacing w:before="0" w:after="0"/>
        <w:ind w:left="960" w:right="0" w:hanging="48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technology infrastructure, including systems architecture, scalability, availability, performance and security; and</w:t>
            </w:r>
          </w:p>
        </w:tc>
      </w:tr>
    </w:tbl>
    <w:p>
      <w:pPr>
        <w:pStyle w:val="TextBody"/>
        <w:bidi w:val="0"/>
        <w:spacing w:before="0" w:after="0"/>
        <w:ind w:left="960" w:right="0" w:hanging="48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general administration, including increased legal and accounting expenses associated with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investments may not result in increased revenue growth in its business. If NewGenIvf is unable to increase its revenue at a rate sufficient to offset the expected increase in its costs, its business, financial position, and results of operations will be harmed, and NewGenIvf may not be able to maintain profitability over the long term. Additionally, NewGenIvf may encounter unforeseen operating expenses, difficulties, complications, delays and other unknown factors that may result in losses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its revenue growth does not meet its expectations in future periods, NewGenIvf may not maintain profitability in the future, its business, financial position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interim and annual results may fluctuate significantly and may not fully reflect the underlying performance of 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interim and annual results of operations, including the levels of NewGenIvf’s revenues, expenses, net (loss)/income and other key metrics, may vary significantly in the future due to a variety of factors, some of which are outside of NewGenIvf’s control, and period-to-period comparisons of NewGenIvf’s operating results may not be meaningful, especially given NewGenIvf’s limited operating history. Accordingly, the results for any one fiscal half year or any one fiscal year are not necessarily an indication of future performance. Fluctuations in interim and/or annual financial results may adversely affect the price of NewGenIvf’s ordinary shares. Factors that may cause fluctuations in NewGenIvf’s interim and annual financial results include:</w:t>
      </w:r>
    </w:p>
    <w:p>
      <w:pPr>
        <w:pStyle w:val="TextBody"/>
        <w:bidi w:val="0"/>
        <w:spacing w:before="0" w:after="0"/>
        <w:ind w:left="960" w:right="0" w:hanging="48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NewGenIvf’s ability to attract new customers and maintain relationships with existing customers;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960" w:right="0" w:hanging="48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changes in NewGenIvf’s products and services offered and introduction of new services and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and timing of operating expenses related to marketing and the maintenance and expansion of NewGenIvf’s business, operations and infrastructure;</w:t>
            </w:r>
          </w:p>
        </w:tc>
      </w:tr>
    </w:tbl>
    <w:p>
      <w:pPr>
        <w:pStyle w:val="TextBody"/>
        <w:bidi w:val="0"/>
        <w:spacing w:before="0" w:after="283"/>
        <w:jc w:val="left"/>
        <w:rPr/>
      </w:pPr>
      <w:r>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sz w:val="20"/>
              </w:rPr>
            </w:pPr>
            <w:r>
              <w:rPr>
                <w:sz w:val="20"/>
              </w:rPr>
              <w:t>changes in the market price of Solana;</w:t>
            </w:r>
          </w:p>
        </w:tc>
      </w:tr>
    </w:tbl>
    <w:p>
      <w:pPr>
        <w:pStyle w:val="TextBody"/>
        <w:bidi w:val="0"/>
        <w:spacing w:before="0"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changes in the market situation of the residential property in the United Arab Emirates;</w:t>
            </w:r>
          </w:p>
        </w:tc>
      </w:tr>
    </w:tbl>
    <w:p>
      <w:pPr>
        <w:pStyle w:val="TextBody"/>
        <w:bidi w:val="0"/>
        <w:spacing w:before="0" w:after="0"/>
        <w:ind w:left="960" w:right="0" w:hanging="48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general economic, industry and market conditions; and</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sz w:val="20"/>
              </w:rPr>
            </w:pPr>
            <w:r>
              <w:rPr>
                <w:sz w:val="20"/>
              </w:rPr>
              <w:t>the timing of expenses related to the development or acquisition of technologies or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estimates and assumptions NewGenIvf uses to determine the size of the target markets for its services are inaccurate, its future growth rate may be impacted and its business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opportunity estimates and growth forecasts are subject to significant uncertainty and are based on assumptions and estimates that may not prove to be accurate. Market opportunity estimates and growth forecasts included in this prospectus, including those NewGenIvf has generated itself, are subject to significant uncertainty and are based on assumptions and estimates that may not prove to be accurate, including the risks described in this prospectus. Even if the markets in which NewGenIvf competes achieve the forecasted growth, its business could fail to grow at similar rates,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estimates of the market opportunity for its services are based on the assumption that the purpose-built, data-driven and disruptive fertility services platform with the plan design NewGenIvf offers will be attractive to clients. Clients may pursue alternatives or may not see the value in providing enhanced fertility-related services. In addition, NewGenIvf believes that it is expanding the size of the fertility market as NewGenIvf enhances demand and increase awareness for fertility services. If these assumptions prove inaccurate, or if the increase in awareness of fertility services attracts potential competitors to the market and results in greater competition, NewGenIvf’s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the demand for NewGenIvf’s solutions, the entry of competitive solutions or the future growth rate and size of the fertility market. The expansion of the fertility market depends on a number of factors, including, but not limited to: the continued trend of individuals starting families later in life, increase in the number of single mothers by choice, adoption of non-traditional paths to parenthood and continued de-stigmatization of infertility.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reduction in demand caused by a lack of client acceptance, weakening economic conditions, data security or privacy concerns, governmental regulation, competing offerings or otherwise, the market for its solutions and services might not continue to develop or might develop more slowly than NewGenIvf expects, which would adversely affect its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able to successfully manage its growth, and if NewGenIvf is not able to grow efficiently, its business, financial condition and results of operations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usage of its solutions grows, NewGenIvf will need to devote additional resources to improving and maintaining its infrastructure. In addition, NewGenIvf will need to appropriately scale its internal business systems and its client account management and services personnel to serve its growing client base. Any failure of or delay in these efforts could result in reduced client satisfaction, resulting in decreased sales to new clients and lower renewal and utilization rates by existing clients, which could hurt its revenue growth and its reputation. Even if NewGenIvf is successful in these efforts, they will require the dedication of management time and attention. NewGenIvf could also face inefficiencies or service disruptions as a result of its efforts to scale its internal infrastructure. NewGenIvf cannot be sure that the expansion and improvements to its internal infrastructure will be effectively implemented on a timely basis, and such failures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new solutions and services are not adopted by its clients, or if it fails to innovate and develop new offerings that are adopted by its clients, its revenue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has derived a substantial majority of its revenue from sales of its fertility services. As NewGenIvf operates in an evolving industry, its long-term results of operations and continued growth will depend on its ability to successfully develop and market new successful solutions and services to its clients. If its existing clients do not value and/or are not willing to make additional payments for such new solutions or services, it could adversely affect its business, financial condition and results of operations. If NewGenIvf is unable to predict clients’ preferences, if the markets in which NewGenIvf participates change, including in response to government regulation, or if NewGenIvf is unable to modify its solutions and services on a timely basis, NewGenIvf may lose clients. Its results of operations would also suffer if its innovations were not responsive to the needs of the clients, appropriately timed with market opportunity or effectively brought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adapt and respond effectively to the changing medical landscape, changing regulations, changing client needs, requirements or preferences, its offerings may become less competitive.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 which NewGenIvf competes is subject to a changing medical landscape and changing regulations, as well as changing client needs, requirements and preferences. The success of its business will depend, in part, on its ability to adapt and respond effectively to these changes on a timely basis. NewGenIvf’s business strategy may not effectively respond to these changes, and NewGenIvf may fail to recognize and position itself to capitalize upon market opportunities. NewGenIvf may not have sufficient advance notice and resources to develop and effectively implement an alternative strategy. There may be scientific or clinical changes that require it to change its solutions or that make its solutions less competitive in the marketplace. If there are sensitivities to its model or its existing competitors and new entrants create new disruptive business models and/or develop new solutions that clients prefer to its solutions, NewGenIvf may lose clients, and its results of operations, cash flows and/or prospects may be adversely affected. The future performance of NewGenIvf’s business will depend in large part on its ability to design and implement market appropriate strategic initiatives, some of which will occur over several years in a dynamic industry. If these initiatives of NewGenIvf do not result in met objectives, NewGenIvf’s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maintain and enhance its brand, its ability to expand its client base will be impaired and its business, financial condition and results of operations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NewGenIvf’s business partially depends on the recognition of NewGenIvf’s brand and reputation. NewGenIvf believes that maintaining and enhancing its brand is important to support the marketing and sale of its existing and future solutions to new clients and expand sales of its solutions to existing clients. NewGenIvf also believes that the importance of brand recognition will increase as competition in its market increases. Successfully maintaining and enhancing its brand will depend largely on the effectiveness of its marketing efforts, its ability to provide reliable services that continue to meet the needs of its clients at competitive prices, its ability to maintain its clients’ trust, its ability to continue to develop new solutions, and its ability to successfully differentiate its platform from competitive solutions and services. NewGenIvf’s brand promotion activities may not generate client awareness or yield increased revenue, and even if they do, any increased revenue may not offset the expenses NewGenIvf incurs in building its brand. If NewGenIvf fails to successfully promote and maintain its brand, its business, financial condition and results of operations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fails to retain and motivate members of its management team or other key employees, or fails to attract additional qualified personnel to support its operations,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success and future growth depend largely upon the continued services of its management team and its other key employees. From time to time, there may be changes in its executive management team or other key employees resulting from the hiring or departure of these personnel. Its executive officers and other key employees are employed on an at-will basis, which means that these personnel could terminate their employment with it at any time. The loss of one or more of its executive officers, or the failure by its executive team to effectively work with its employees and lead its company, could harm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execute its growth plan, NewGenIvf must attract and retain highly qualified personnel. Competition for these personnel is intense, especially for experienced medical officers and scientific staffs and sales and client account management personnel. There is no guarantee NewGenIvf will be able to attract such personnel or that competition among potential employers will not result in increased salaries or other benefits. From time to time, NewGenIvf has experienced, and NewGenIvf expects to continue to experience, difficulty in hiring and retaining employees with appropriate qualifications. Many of the companies with which NewGenIvf competes for experienced personnel have greater resources than NewGenIvf has. If NewGenIvf hires employees from competitors or other companies, their former employers may attempt to assert that these employees or NewGenIvf has breached their legal obligations, resulting in a diversion of its time and resources. In addition, prospective and existing employees often consider the value of the equity awards they receive in connection with their contribution to the company. If the perceived value of its equity awards declines, experiences significant volatility, or increases such that prospective employees believe there is limited upside to the value of its equity awards, it may adversely affect its ability to recruit and retain key employees. If NewGenIvf fails to attract new personnel or fails to retain and motivate its current personnel, its business and future growth prospects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order to attract and retain key personnel and employees, the compensation amounts for NewGenIvf’s executive officers may change significantly after consummation of the Business Combination, although there are currently no agreements in place relating to any such post Business Combination compensation arrangements. As a result, NewGenIvf’s expenses associated with the compensation may increase, which may also have an adverse effect on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Plan allows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in the Company, equivalent to 20% of the total outstanding shares of the Company as on May 26, 2026. As a result, NewGenIvf’s expenses associated with share-based compensation may increase, which may have an adverse effect on NewGenIvf’s results of operations. The amended share incentive plan is available as Exhibit 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successfully market and sell its services and products in Asia-Pacific markets, NewGenIvf must address many international business risks with which NewGenIvf has limited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 is subject to risks in connection with changes in international, national and local economic and market conditions, including the effects of global financial crises, effects of terrorist acts and war and global pandemics. Such economic changes could negatively impact infertile couples’ abilities to pay for fertility treatments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strategy is to increase its international presence in Asia-Pacific countries and its international sales are subject to a number of risks, including:</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increased competition as a result of more products and procedures receiving regulatory approval or otherwise free to market in international markets;</w:t>
            </w:r>
          </w:p>
        </w:tc>
      </w:tr>
    </w:tbl>
    <w:p>
      <w:pPr>
        <w:pStyle w:val="TextBody"/>
        <w:bidi w:val="0"/>
        <w:spacing w:before="0" w:after="0"/>
        <w:ind w:left="960" w:right="0" w:hanging="48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sz w:val="20"/>
              </w:rPr>
            </w:pPr>
            <w:r>
              <w:rPr>
                <w:sz w:val="20"/>
              </w:rPr>
              <w:t>longer accounts receivable payment cycles and difficulties in collecting accounts receivable;</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960" w:right="0" w:hanging="48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sz w:val="20"/>
              </w:rPr>
            </w:pPr>
            <w:r>
              <w:rPr>
                <w:sz w:val="20"/>
              </w:rPr>
              <w:t>reduced or varied protection for intellectual property rights in some countries;</w:t>
            </w:r>
          </w:p>
        </w:tc>
      </w:tr>
    </w:tbl>
    <w:p>
      <w:pPr>
        <w:pStyle w:val="TextBody"/>
        <w:bidi w:val="0"/>
        <w:spacing w:before="0" w:after="0"/>
        <w:ind w:left="960" w:right="0" w:hanging="48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both"/>
              <w:rPr>
                <w:sz w:val="20"/>
              </w:rPr>
            </w:pPr>
            <w:r>
              <w:rPr>
                <w:sz w:val="20"/>
              </w:rPr>
              <w:t>export restrictions, trade regulations, and foreign tax laws;</w:t>
            </w:r>
          </w:p>
        </w:tc>
      </w:tr>
    </w:tbl>
    <w:p>
      <w:pPr>
        <w:pStyle w:val="TextBody"/>
        <w:bidi w:val="0"/>
        <w:spacing w:before="0" w:after="0"/>
        <w:ind w:left="960" w:right="0" w:hanging="48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fluctuations in currency exchange rates;</w:t>
            </w:r>
          </w:p>
        </w:tc>
      </w:tr>
    </w:tbl>
    <w:p>
      <w:pPr>
        <w:pStyle w:val="TextBody"/>
        <w:bidi w:val="0"/>
        <w:spacing w:before="0" w:after="0"/>
        <w:ind w:left="960" w:right="0" w:hanging="48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sz w:val="20"/>
              </w:rPr>
            </w:pPr>
            <w:r>
              <w:rPr>
                <w:sz w:val="20"/>
              </w:rPr>
              <w:t>foreign certification and regulatory clearance or approval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sz w:val="20"/>
              </w:rPr>
            </w:pPr>
            <w:r>
              <w:rPr>
                <w:sz w:val="20"/>
              </w:rPr>
              <w:t>customs clearance and shipping delays;</w:t>
            </w:r>
          </w:p>
        </w:tc>
      </w:tr>
    </w:tbl>
    <w:p>
      <w:pPr>
        <w:pStyle w:val="TextBody"/>
        <w:bidi w:val="0"/>
        <w:spacing w:before="0" w:after="0"/>
        <w:ind w:left="960" w:right="0" w:hanging="48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sz w:val="20"/>
              </w:rPr>
            </w:pPr>
            <w:r>
              <w:rPr>
                <w:sz w:val="20"/>
              </w:rPr>
              <w:t>political, social, and economic instability abroad, terrorist attacks, and security concerns in general;</w:t>
            </w:r>
          </w:p>
        </w:tc>
      </w:tr>
    </w:tbl>
    <w:p>
      <w:pPr>
        <w:pStyle w:val="TextBody"/>
        <w:bidi w:val="0"/>
        <w:spacing w:before="0" w:after="0"/>
        <w:ind w:left="960" w:right="0" w:hanging="48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sz w:val="20"/>
              </w:rPr>
            </w:pPr>
            <w:r>
              <w:rPr>
                <w:sz w:val="20"/>
              </w:rPr>
              <w:t>preference for locally provided services;</w:t>
            </w:r>
          </w:p>
        </w:tc>
      </w:tr>
    </w:tbl>
    <w:p>
      <w:pPr>
        <w:pStyle w:val="TextBody"/>
        <w:bidi w:val="0"/>
        <w:spacing w:before="0" w:after="0"/>
        <w:ind w:left="960" w:right="0" w:hanging="48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sz w:val="20"/>
              </w:rPr>
            </w:pPr>
            <w:r>
              <w:rPr>
                <w:sz w:val="20"/>
              </w:rPr>
              <w:t>potentially adverse tax consequences, including the complexities of foreign value-added tax systems;</w:t>
            </w:r>
          </w:p>
        </w:tc>
      </w:tr>
    </w:tbl>
    <w:p>
      <w:pPr>
        <w:pStyle w:val="TextBody"/>
        <w:bidi w:val="0"/>
        <w:spacing w:before="0" w:after="0"/>
        <w:ind w:left="960" w:right="0" w:hanging="48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sz w:val="20"/>
              </w:rPr>
            </w:pPr>
            <w:r>
              <w:rPr>
                <w:sz w:val="20"/>
              </w:rPr>
              <w:t>the burdens of complying with a wide variety of foreign laws and different legal standards; and</w:t>
            </w:r>
          </w:p>
        </w:tc>
      </w:tr>
    </w:tbl>
    <w:p>
      <w:pPr>
        <w:pStyle w:val="TextBody"/>
        <w:bidi w:val="0"/>
        <w:spacing w:before="0" w:after="0"/>
        <w:ind w:left="960" w:right="0" w:hanging="48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sz w:val="20"/>
              </w:rPr>
            </w:pPr>
            <w:r>
              <w:rPr>
                <w:sz w:val="20"/>
              </w:rPr>
              <w:t>increased financial accounting and reporting burdens and complexities.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risks are realized, its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Ethical, legal and social concerns related to the use of assisted reproductive technology could reduce demand for the fertility services provided by the medical facilities in NewGenIvf’s network, and thus may adversely affect the business, financial conditions and results of operations of the medical facilities in its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sentiment and distrust of the use of assisted reproductive technology may lead to less demand for fertility services. Assisted reproductive technologies, including genetic testing, technologies used for surrogacy and egg donation and gender selection, have raised ethical, legal and social issues regarding privacy and the appropriate uses of the resulting information. Government authorities could, for social or other purposes, limit or regulate the use of assisted reproductive technology to certain conditions. Similarly, these concerns may lead patients to refuse to use, or physicians to be reluctant to order, assisted reproductive services even if permissible. These and other ethical, legal and social concerns may limit market acceptance of fertility services or reduce patient demand for such services, either of which could have a material adverse effect on the business, financial condition and results of operations of the medical facilities in NewGenIvf’s network, and NewGenIvf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reliant on revenue from international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Fertility services revenue from international clients are an important part of NewGenIvf’s revenue, though NewGenIvf is expanding rapidly into the local markets. The number of international clients travelling to Thailand, Cambodia and Kyrgyzstan to seek fertility services may, however, be affected by a number of factors, including the economic status of the foreign client’s country of origin, the relative exchange rate of the client’s home currency to the relevant authorities, which may affect the cost of treatment, natural disasters, pandemics like COVID-19, and political tension or acts of terrorism in such countries and the region. For example, the COVID-19 had resulted in a number of countries declaring a state of emergency and a number of countries, including the countries in Asian Pacific, imposing extensive travel restrictions, which in turn caused a decrease in the numbers of internal clients traveling to Thailand, Cambodia or Kyrgyzstan for treatments.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events could cause a postponement or a reduction in the number of clients traveling to Thailand, Cambodia or Kyrgyzstan, and could in turn affect revenues from international clients, which is the significant contributor in terms of volume. A decline in the medical tourism industry may have a material adverse effect on NewGenIvf’s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and adverse effect on NewGenIvf’s results of operations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reporting currency is U.S. dollars. The functional currency of NewGenIvf and its subsidiaries include Hong Kong dollar (“HK$”), Thai baht (“THB”), and United States dollar (“USD”). Accordingly, fluctuations in the value of HK$, and THB relative to the USD could affect its results of operations due to translational remeasurements. As its international operations expand, an increasing portion of its revenue and operating expenses may be denominated in non- HK$, and THB currencies. Accordingly, NewGenIvf’s revenue and operating expenses will become increasingly subject to fluctuations due to changes in foreign currency exchange rates. If NewGenIvf is not able to successfully hedge against the risks associated with currency fluctuations, NewGenIvf’s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limit NewGenIvf’s ability to utilize NewGenIvf’s net revenue effectively and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and expenses for its businesses are substantially denominated in THB, which are currently not freely convertible currencies. A portion of such revenue must be converted into other currencies in order to meet its foreign currency obligations. For example, NewGenIvf’s subsidiaries will need to obtain foreign currency to make payments of declared dividends, if any, on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existing foreign exchange regulations in Thailand, NewGenIvf will be able to make current account foreign exchange transactions. However, in the future, governments may take measures, at its discretion, to restrict access to foreign currencies for capital account and current account transactions under certain circumstances. If such measures are implemented, NewGenIvf may not be able to pay dividends in foreign currencies to holders of its shares. Foreign exchange transactions under its capital account are subject to significant foreign exchange controls and require certain approvals. These limitations could affect our ability to obtain foreign exchange through offshore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THB against the U.S. dollar and other currencies fluctuates, and is subject to changes resulting from policies of the Thailand and other governments, and depends to a large extent on domestic and international economic and political developments as well as supply and demand in the local market. For example, the Bank of Thailand, which is the central bank of Thailand, is responsible for formulating and implementing monetary policies in the country to maintain the price stability and promote economic stability and sustainable growth. The Bank of Thailand imposes (four) measures in preventing THB fluctuation. Those are measures to limit THB liquidity, to curb capital inflows, to limit the flows on Non-resident Bank Account and Non-resident Baht for Securities, and to limit the flows on Non-Deliverable Forward transactions. With an increased floating range of the THB’s value against foreign currencies and a more market-oriented mechanism for determining the mid-point exchange rates, the THB may further appreciate or depreciate significantly in value against the U.S. dollar or other foreign currencies in the long-term, depending on the fluctuation of the basket of currencies against which it is currently valued, or it may be permitted to enter into a full float, which may also result in a significant appreciation or depreciation of the THB against the U.S. dollar or other foreign currencies. It cannot be assured that THB will not experience significant appreciation or depreciation against the U.S. dollar or other foreign currencies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NewGenIvf is also currently required to obtain approvals before converting significant sums of foreign currencies into THB. All of these factors could materially and adversely affect its business, results of operations, financial condition and prospects, and could reduce the value of, and dividends payable on, its shares in foreign currency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could cause the price of our Ordinary Shares to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Class A Ordinary Shares in the public market after the completion of this offering, or the perception that these sales could occur, could adversely affect the market price of the Class A Ordinary Shares and materially impair our ability to raise capital through equity offerings in the future. The Class A Ordinary Shares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the Class A Ordinary Shares See “Plan of Distribution” and “Shares Eligible for Future Sale” for a more detailed description of the restrictions on selling our securities after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Each Class A Ordinary Share is entitled to one (1) vote, while each Class B Ordinary Share is entitled to one hundred (100) votes with all Ordinary Shares voting together as a single class on most matters. Each Class B Ordinary Share is convertible into one Class A Ordinary Share at any time by the holder thereof, while Class A Ordinary Shares are not convertible into Class B Ordinary Shares under any circumstances. Only Class A Ordinary Shares are listed and traded on NASDAQ, and we intend to maintain the dual-class voting structure. Mr. Wing Fung Alfred Siu and Ms. Hei Yue Tina Fong beneficially own all of the issued Class B Ordinary Shares. As of the date of this prospectus, these Class B Ordinary Shares constitute approximately [●]% of our total issued and outstanding shares and [●]% of the aggregate voting power of our total issued and outstanding shares due to the disparate voting powers associated with our dual-class share structure. As a result of the dual-class share structure and the concentration of control, holders of Class B Ordinary Shares have considerable influence over matters such as decisions regarding election of directors and other significant corporate actions. Such holders may take actions that are not in the best interest of us or our other shareholders. This concentration of control may discourage, delay, or prevent a change in control of us, which could have the effect of depriving our other shareholders of the opportunity to receive a premium for their shares as part of a sale of us and may reduce our share price. This concentrated control will limit the ability of holders of Class A Ordinary Shares to influence corporate matters and could discourage others from pursuing any potential merger, takeover, or other change of control transactions that holders of Class A Ordinary Shares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of NewGenIvf’s assets and operations are located in Thailand, Cambodia and Kyrgyzstan and they are subject to economic, legal and regulatory uncertainties in such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NewGenIvf’s operations and assets are based in Thailand, Cambodia and Kyrgyzstan. As a result, its businesses and operations are subject to the changing economic conditions prevailing from time to time in such countries. Since 2020, Thailand’s economy has been experiencing a slowdown. According to the National Economic and Social Development Board of Thailand (the “NESDB”) the GDP growth rate of Thailand declined to minus 6.1% in 2020 and slightly recovered to 1.6% in 2021 and 2.6% in 2022. Under such conditions, the NESDB projected that Thailand’s economy will only grow by 3.0% to 4.0% in 2023, lower than the previously growth in historical years. Meanwhile, Cambodia’s post-pandemic economic recovery has gained momentum, but remains uneven. Traditional growth drivers, especially manufacturing and agricultural commodities exports, have fully recovered. However, while travel and tourism have improved, the sector remains well below pre-COVID-19 levels. The subsequent impact also caused the vendors and customers preference change, lower the willingness travelling to Kyrgyzstan for surrogacy services. The economy is projected to grow, underpinned by merchandise exports and domestic economic activity. Foreign direct investment, while diversified, remains affected by China’s related COVID-19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derives a substantial portion of its revenue from Chinese clients and as such, its maintenance of PRC-sourced revenues and access to new and existing clients from the PRC are also subject to the economic conditions of China. However, the near-term growth prospects of the PRC economy are unclear due to the uncertain effects of ongoing economic stress caused by policies to contain the COVID-19 pandemic, trade and national security policies, and the elevated levels of private and public indebtedness, among others. According to the National Statistics Bureau of the PRC, growth rate of China’s GDP for the year 2022 slowed down to 3.0% on a year-on-year basis compared to the growth rate of approximately 8.4% for the year 2021. In 2023, China’s GDP grew 5.2% while China’s 2024 GDP growth rate was 5%. A prolonged downturn in the PRC economy generally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adversely affect the economy and conditions in such countries include:</w:t>
      </w:r>
    </w:p>
    <w:p>
      <w:pPr>
        <w:pStyle w:val="TextBody"/>
        <w:bidi w:val="0"/>
        <w:spacing w:before="0" w:after="0"/>
        <w:ind w:left="960" w:right="0" w:hanging="48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sz w:val="20"/>
              </w:rPr>
            </w:pPr>
            <w:r>
              <w:rPr>
                <w:sz w:val="20"/>
              </w:rPr>
              <w:t>political instability; </w:t>
            </w:r>
          </w:p>
        </w:tc>
      </w:tr>
    </w:tbl>
    <w:p>
      <w:pPr>
        <w:pStyle w:val="TextBody"/>
        <w:bidi w:val="0"/>
        <w:spacing w:before="0" w:after="0"/>
        <w:ind w:left="960" w:right="0" w:hanging="48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both"/>
              <w:rPr>
                <w:sz w:val="20"/>
              </w:rPr>
            </w:pPr>
            <w:r>
              <w:rPr>
                <w:sz w:val="20"/>
              </w:rPr>
              <w:t>global economic conditions;</w:t>
            </w:r>
          </w:p>
        </w:tc>
      </w:tr>
    </w:tbl>
    <w:p>
      <w:pPr>
        <w:pStyle w:val="TextBody"/>
        <w:bidi w:val="0"/>
        <w:spacing w:before="0" w:after="0"/>
        <w:ind w:left="960" w:right="0" w:hanging="48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sz w:val="20"/>
              </w:rPr>
            </w:pPr>
            <w:r>
              <w:rPr>
                <w:sz w:val="20"/>
              </w:rPr>
              <w:t>exchange rate fluctuations and the exchange control policy of the banks;</w:t>
            </w:r>
          </w:p>
        </w:tc>
      </w:tr>
    </w:tbl>
    <w:p>
      <w:pPr>
        <w:pStyle w:val="TextBody"/>
        <w:bidi w:val="0"/>
        <w:spacing w:before="0" w:after="0"/>
        <w:ind w:left="960" w:right="0" w:hanging="48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a prolonged period of inflation or increase in regional interest rates;</w:t>
            </w:r>
          </w:p>
        </w:tc>
      </w:tr>
    </w:tbl>
    <w:p>
      <w:pPr>
        <w:pStyle w:val="TextBody"/>
        <w:bidi w:val="0"/>
        <w:spacing w:before="0" w:after="0"/>
        <w:ind w:left="960" w:right="0" w:hanging="48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sz w:val="20"/>
              </w:rPr>
            </w:pPr>
            <w:r>
              <w:rPr>
                <w:sz w:val="20"/>
              </w:rPr>
              <w:t>changes in taxation;</w:t>
            </w:r>
          </w:p>
        </w:tc>
      </w:tr>
    </w:tbl>
    <w:p>
      <w:pPr>
        <w:pStyle w:val="TextBody"/>
        <w:bidi w:val="0"/>
        <w:spacing w:before="0" w:after="0"/>
        <w:ind w:left="960" w:right="0" w:hanging="48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sz w:val="20"/>
              </w:rPr>
            </w:pPr>
            <w:r>
              <w:rPr>
                <w:sz w:val="20"/>
              </w:rPr>
              <w:t>changes in government policies affecting import and export volumes;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960" w:right="0" w:hanging="48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sz w:val="20"/>
              </w:rPr>
            </w:pPr>
            <w:r>
              <w:rPr>
                <w:sz w:val="20"/>
              </w:rPr>
              <w:t>decline in tourism;</w:t>
            </w:r>
          </w:p>
        </w:tc>
      </w:tr>
    </w:tbl>
    <w:p>
      <w:pPr>
        <w:pStyle w:val="TextBody"/>
        <w:bidi w:val="0"/>
        <w:spacing w:before="0" w:after="0"/>
        <w:ind w:left="960" w:right="0" w:hanging="48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natural disasters, including tsunamis, earthquakes, fires, floods, drought and similar events;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potential recurrence or outbreak of avian influenza, severe acute respiratory syndrome or other infectious or contagious diseases like COVID-19 in Asian countries, and governmental policies to address such outbreak;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scarcity of credit or other financing, resulting in lower demand for products and services provided by companies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both"/>
              <w:rPr>
                <w:sz w:val="20"/>
              </w:rPr>
            </w:pPr>
            <w:r>
              <w:rPr>
                <w:sz w:val="20"/>
              </w:rPr>
              <w:t>increases in oil prices and other commodity prices;</w:t>
            </w:r>
          </w:p>
        </w:tc>
      </w:tr>
    </w:tbl>
    <w:p>
      <w:pPr>
        <w:pStyle w:val="TextBody"/>
        <w:bidi w:val="0"/>
        <w:spacing w:before="0" w:after="0"/>
        <w:ind w:left="960" w:right="0" w:hanging="48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decreased consumer confidence;</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sz w:val="20"/>
              </w:rPr>
            </w:pPr>
            <w:r>
              <w:rPr>
                <w:sz w:val="20"/>
              </w:rPr>
              <w:t>other external recessions or potential economic downturns in the United States, Asia or other parts of the world; and</w:t>
            </w:r>
          </w:p>
        </w:tc>
      </w:tr>
    </w:tbl>
    <w:p>
      <w:pPr>
        <w:pStyle w:val="TextBody"/>
        <w:bidi w:val="0"/>
        <w:spacing w:before="0" w:after="0"/>
        <w:ind w:left="960" w:right="0" w:hanging="48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other regulatory, political or economic developments in or affecting the countries.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conditions in Thailand, Cambodia, Kyrgyzstan and China are also affected by global economic conditions. The global credit markets have experienced, and may continue to experience, volatility and liquidity disruptions, which have resulted in the consolidation, failure or near failure of a number of institutions in the banking and insurance industries. There remains a concern that a return of the debt crisis in Europe, the political unrest in the Middle East and Eastern Europe as well as rumors or threats or actual terrorist attacks or conflicts in the Middle East, Southeast Asia, Eastern Europe or other regions will impinge upon the health of the global financial system. These or other such events could adversely affect NewGenIvf’s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economies and social conditions of Thailand, Cambodia, Kyrgyzstan and China will meet current projections or improve in the future. Any instability or economic downturn could have a material adverse effect on NewGenIvf’s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terms of future financing arrangements could result in default, which could have an adverse effect on NewGenIvf’s cash flow and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enter into credit facilities and debt financing arrangements containing financial and other covenants that could, among other things, restrict NewGenIvf’s business and operations. If NewGenIvf breaches any of these covenants, including the failure to maintain certain financial ratios, NewGenIvf’s lenders may be entitled to accelerate NewGenIvf’s debt obligations. Any default under the credit facility could result in the repayment of these loans prior to maturity as well as the inability to obtain additional financing, which in turn may have a material adverse effect on NewGenIvf’s cash flow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requires a significant amount of capital to fund its operations and growth. If NewGenIvf cannot obtain sufficient capital on acceptable terms, its business, financial condition,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requires a significant amount of capital and resources for its operations and continued growth. NewGenIvf expects to make significant investments to fund operations, laboratory upgrades, new strategic investments in Solana and residential property development in United Arab Emirates, among other things, which may significantly increase NewGenIvf’s net cash used in operating activities. In addition, NewGenIvf will continue to invest in laboratory and facilities which are fundamental to NewGenIvf’s business operation and future growth. However, NewGenIvf cannot assure you that these investments will generate the optimal returns, if at all. To date, NewGenIvf has historically funded its cash requirements primarily through operational, capital contributions from its shareholders and short-term or long-term borrowings. If these resources are insufficient to satisfy NewGenIvf’s cash requirements, NewGenIvf may seek to raise funds through additional equity offering or debt financing or additional bank facilities. NewGenIvf’s ability to obtain additional capital in the future, however, is subject to a number of uncertainties, including those relating to its future business development, financial condition, and results of operations, general market conditions for financing activities by companies in its industry, and macro-economic and other conditions in Thailand, Cambodia, Kyrgyzstan and globally. If NewGenIvf cannot obtain sufficient capital on acceptable terms to meet its capital needs, NewGenIvf may not be able to execute its growth strategies, and NewGenIvf’s business, financial condition,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proposed Solana digital assets purchase arrangement with White Lion is novel and subject to extreme volatility and regulatory scrutiny.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2025, NewGenIvf announced its entry into a binding term sheet with White Lion Capital LLC to potentially receive up to 600,000 Solana tokens in exchange for shares of the Company. This is a novel financing structure that presents unique risks. The value of our compensation is directly tied to the price of SOL, which has been and is likely to continue to be highly volatile. A decline in the price of SOL could significantly reduce the capital we receive. Furthermore, the regulatory treatment of such a transaction is uncertain and could be challenged by the SEC or other regulators, potentially leading to restrictions, fines, or the invalidation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defects in certain leased property interests and failure to register certain lease agreements may materially and adversely affect NewGenIvf’s business, financial condition, results of operations, and prospects.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leases premises in Thailand, Cambodia and Kyrgyzstan in various locations. With respect to property leased by First Fertility PGS Center in Thailand, the lessors did not have or provide NewGenIvf with property ownership certificates or other documents evidencing their rights to lease such premises to First Fertility PGS Center. Therefore, NewGenIvf cannot assure that it will not be subject to any challenges, lawsuits, or other actions taken against First Fertility PGS Center with respect to its leased premises for which the relevant lessors do not have valid title or right to lease. If First Fertility PGS Center’s lessors’ right to lease premises is successfully challenged by any third party, First Fertility PGS Center’s lease agreements may not be enforceable and NewGenIvf may be forced to vacate the premises and relocate to a different location. Under such circumstances, NewGenIvf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failure of the lessor to provide sufficient legal evidence of its right to lease the premises has prevented First Fertility PGS Center from registering the clinic with the Bangkok Metropolitan Authority (“BMA”) as required under the Public Health Act B.E. 2535 (1992) (the “PHA”). Under Section 71 of the PHA, First Fertility PGS Center and its directors are subject to imprisonment of up to 6 (six) months and a fine of up to THB50,000, or both. The BMA could also order First Fertility PGS Center to stop operating the clinic which would require relocation of the clinic if First Fertility PGS Center could not make the necessary registration. Under such circumstances, First Fertility PGS Center expects to incur relocation costs of up to THB3 million and expects that there would not be material business interruption costs,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of NewGenIvf’s directors or officers, namely Ms. Fong, Hei Yue Tina, is also a director of First Fertility PGS Center. NewGenIvf believes that if First Fertility PGS Center’s directors, including Ms. Fong, are found guilty of the above offence and subject to imprisonment, the resulting impact on NewGenIvf’s business, results of operations and financial conditions would be limited, as Ms. Fong has limited involvement in the day-to-day management of First Fertility PGS Center’s operations and Mr. Siu, Wing Fung Alfred and the other directors and officers of NewGenIvf and its subsidiaries would be able to keep operating the group’s and First Fertility PGS Center’s activities with limited disruptions. Further, a second clinic has been set up in a separate location which will mitigate the risk of interruptions to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currently has no insurance coverage for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are exposed to potential liabilities that are inherent to the provision of services. Medical and other liabilities may not be fully covered by insurance and the medical facilities may face claims in excess of the insurance coverage or claims which are not covered by insurance due to other policy limitations or exclusions or where the medical facilities in NewGenIvf’s network have failed to comply with the terms of the policy. Any uninsured risks may result in substantial costs and the diversion of resources, which could adversely affect its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industries in Thailand, Cambodia and Kyrgyzstan are still at early stages of development, and insurance companies in Thailand, Cambodia and Kyrgyzstan currently offer limited business-related insurance products. NewGenIvf does not currently maintain insurance. NewGenIvf cannot assure you that the medical facilities in its network will be able to obtain and/or maintain medical liability insurance on acceptable terms or without substantial premium increases or at all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NewGenIvf’s business expands, the cost for each medical facility in its network and NewGenIvf to maintain an adequate level of insurance may become increasingly high. NewGenIvf cannot ensure that the medical facilities in its network will be able to locate or purchase appropriate insurance to cover the expanding operations in time, on commercially reasonable terms or at all. Any significant uninsured loss could have material and adverse effects on the financial condition and results of operations of the medical facilities in NewGenIvf’s network, and thus may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NewGenIvf does not currently maintain professional malpractice liability insurance for its physicians and nurses. As a result, NewGenIvf may be subject to medical disputes and claims arising under relevant laws from time to time, which could cause substantial damage to NewGenIvf if not covered by professional malpractice liability insurance. Any dispute with clients, or any legal proceeding involving the physicians of the medical facilities or medical professionals, regardless of its merit or eventual outcome, could result in significant legal costs and financial and/or reputational damages to the medical facilities and NewGenIvf and materially and adversely affect the business, financial condition and results of operations of the medical facilities in NewGenIvf’s network, and further affect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not be successful in adapting to technological developments, which may affect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new technologies could be developed or scientific advances made by NewGenIvf’s competitors, or elsewhere and licensed to NewGenIvf’s competitors, which cannot be replicated by NewGenIvf without significant capital expenditure or at all, or that replace or reduce the requirement for assisted reproductive services, ultrasound or specialized diagnostics. The consequences for NewGenIvf of the development of new technologies could include lower or loss of revenues, loss of market position and reduced prospects of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its computer systems, or those of its providers, specialty pharmacies or other downstream vendors lag, fail or suffer security breaches, NewGenIvf may incur a material disruption of its services, which could materially impact its business and the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businesses in Thailand, Cambodia and Kyrgyzstan are increasingly dependent on critical, complex and interdependent information technology systems to support business processes as well as internal and external communications. NewGenIvf’s success is therefore dependent in part on its ability to secure, integrate, develop, redesign and enhance its (or contract with vendors to provide) technology systems that support its business strategy initiatives and processes in a compliant, secure, and cost and resource efficient manner. If NewGenIvf or its providers, specialty pharmacies or other downstream vendors have an issue with its or their respective technology systems, it may result in a disruption to its operations or downstream disruption to its relationships with its clients or its selective network of high-quality fertility specialists. Additionally, if NewGenIvf chooses to insource any of the services currently handled by a third party, it may result in technological or operational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despite the implementation of security measures, its internal computer systems, and those of its provider clinics, specialty pharmacies or other downstream vendors, are potentially vulnerable to damage from malicious intrusion, malware, computer viruses, unauthorized access, natural disasters, terrorism, war and telecommunication and electrical failures. While NewGenIvf is not aware that it has experienced any such system failure, accident or security breach to date, if such an event were to occur and cause interruptions in its operations, it could result in a material disruption to its ability to operate and deliver its solutions. In addition, to the extent that any disruption or security breach were to result in a loss or inappropriate disclosure of confidential information, NewGenIvf could incur liability. See “— </w:t>
      </w:r>
      <w:r>
        <w:rPr>
          <w:rFonts w:ascii="Times New Roman;Times;Serif" w:hAnsi="Times New Roman;Times;Serif"/>
          <w:b w:val="false"/>
          <w:i/>
          <w:caps w:val="false"/>
          <w:smallCaps w:val="false"/>
          <w:sz w:val="20"/>
        </w:rPr>
        <w:t>Risks Related to Government Regulation — 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 — Data Protection and Breaches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share purchase program may not be fully implemented and may not enhance shareholder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 announced a share repurchase program (“Share Repurchase Program”) under which the Company may repurchase up to US$2 million of its outstanding Class A ordinary shares over the next 24 months. The Share Repurchase Program authorizes the Company to repurchase its shares from time to time through open market purchases, in privately negotiated transactions, or by other means in accordance with applicable securities laws. The timing and actual number of shares repurchased will depend on a variety of factors, including stock price, trading volume, general business and market conditions, and the requirements under Rule 10b-18 and/or Rule 10b5-1 of the Exchange Act. The Board will review the Share Repurchase Program periodically, and may authorize adjustment of its terms and size or suspend or discontinue the program. The repurchase program will be funded using the Company’s existing cash reserves. The execution of this program is discretionary and subject to market conditions, regulatory requirements, and our cash flow needs. We may suspend or terminate the program at any time. There is no guarantee that the program will be fully consummated or that it will lead to an increase in the trading price of our Class A Ordinary Shares. The use of cash for repurchases will also reduce the capital available for other corporate purposes, including funding our new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NewGenIvf’s Relationships with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business depends on its ability to maintain its network of high-quality fertility specialists and other healthcare providers. If NewGenIvf is unable to do so, its future growth would be limited and its business, financial condition and results of operations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performance and success is dependent upon its continued ability to maintain a credentialed network of high-quality fertility specialists, including its senior management team, other key employees, as well as research and development and operation maintenance personnel, many of whom are difficult to replace. Fertility specialists could refuse to contract, demand higher payments or take other actions that could result in higher medical costs, less attractive service for its clients or difficulty meeting regulatory or accreditation requirements. Identifying high-quality fertility specialists, credentialing and negotiating contracts with them and evaluating, monitoring and maintaining its network, requires significant time and resources. Competition in the healthcare industry for qualified employees is intense. NewGenIvf may need to offer higher compensation and other benefits in order to attract and retain key personnel in the future, which could increase NewGenIvf’s compensation expenses, including stock-based compensation. NewGenIvf’s continued ability to compete effectively depends on NewGenIvf’s ability to attract new employees and to retain and motivate NewGenIvf’s existing employees. If NewGenIvf is not successful in maintaining its relationships with top fertility specialists, these fertility specialists may refuse to renew their contracts with it,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its network. Its ability to develop and maintain satisfactory relationships with high-quality fertility specialists also may be negatively impacted by other factors not associated with it,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it and may compete directly with it, which could adversely affect its business, financial condition and results of operations. NewGenIvf intends to grant, and may continue to grant, options and other types of awards, which may result in increased share-based compensation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Share Incentive Award will allow NewGenIvf to enhance its ability to attract and retain exceptionally qualified individuals and agents and to encourage them to acquire a proprietary interest in the company’s growth and performance. Competition for highly skilled personnel and agents is often intense and NewGenIvf may incur significant costs or may not be successful in attracting, integrating, or retaining qualified personnel and agents to fulfill NewGenIvf’s current or future needs. NewGenIvf believes that the granting of share-based awards is of significant importance to NewGenIvf’s ability to attract and retain agents, key personnel and employees, and NewGenIvf will continue to grant share-based awards in the future. In addition, NewGenIvf may, with the approval of its Compensation Committee and the Board, revise the terms of, and increase the size of, its share incentive plan, to ensure that it is able to attract and retain agents, key personnel and employees. On March 31, 2025, NewGenIvf’s Board approved certain amendments to its Share Incentive Plan, including the increase of the size of the share incentive plan to 20% of the outstanding shares of the Company from time to time. On May 27, 2026, NewGenIvf’s Board approved the replenishment of the share incentive award pool to a total of 555,584 ordinary shares in the Company, equivalent to 20% of the total outstanding shares of the Company as on May 26, 2026. As a result, NewGenIvf’s expenses associated with share-based compensation may increase, which may have an adverse effect on NewGenIvf’s results of operations. The amended share incentive plan is available as Exhibit 4.32.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the retirement or loss of certain specialists, scientific staff or other key personnel, the activities of competitors, the introduction of a competing service that is perceived to be superior to the services provided by NewGenIvf, or other events which impact NewGenIvf’s reputation could adversely affect NewGenIvf’s relationships with fertility specialists. For example, one specialist who was previously engaged by NewGenIvf brought a lawsuit against NewGenIvf regarding disputed remuneration, which resulted in a settlement for NewGenIvf to compensate the specialist with a sum of approximately US$98,000. Also, fertility specialists’ relationship with NewGenIvf could affect their behaviors in recommending NewGenIvf’s services or referring patients to NewGenIvf, which could in turn adversely impact the number of patients treated by NewGenIvf and adversely impact on its financial performance, market position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perceived value of NewGenIvf’s solutions and its reputation may be negatively impacted if the services provided by fertility specialists or other healthcare providers are not satisfactory to NewGenIvf’s clients, including as a result of error that could result in litigation. For example, if fertility specialist or other healthcare provider releases sensitive information of its clients, it could incur additional expenses and give rise to litigation against NewGenIvf. Any such issue with one of its providers may expose it to public scrutiny, adversely affect its brand and reputation, expose it to litigation or regulatory action, and otherwise make its operations vulnerable. Further, if its services result in less than favorable outcomes, this could cause it to fail to meet its contractually guaranteed specified service metrics, and NewGenIvf could be obligated to provide the client with a fee reduction or a second chance for free, depending on their contract terms. The failure to maintain its selective network of high-quality fertility specialists or the failure of those specialists to meet and exceed its clients’ expectation, may result in a loss of or inability to grow or maintain its client base, which could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medical facilities and professionals in NewGenIvf’s network could become the subject of litigation, allegations and other claims, and NewGenIvf is not insured against these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relies on the physicians and other medical professionals of the assisted reproductive medical facilities in its network to make proper clinical decisions regarding the diagnosis and treatment of clients. However, NewGenIvf does not have full and direct control over every step of clinical activities undertaken at each of the medical facilities. In addition, physicians and medical professionals outside NewGenIvf’s network may introduce patients to NewGenIvf and conduct medical treatments and/or procedures for such patients in NewGenIvf’s facilities. NewGenIvf enters into independent contractor agreements with such physicians and medical professionals and treats such patients as NewGenIvf’s own patients. As such, NewGenIvf will have to bear any liabilities arising from their medical treatments and/or procedures conducted in NewGenIvf’s facilities. Any incorrect clinical decision or malpractice on the part of physicians and other medical professionals (including those from outside of its network), or any failure by the medical facilities in its network to properly manage their clinical activities may result in unsatisfactory treatment outcomes, patient injury or even death, which could lead to disputes with patients and/or their families or the medical professionals, including those from outside its network. In its experience, moreover, clients of fertility treatments tend to be more demanding on the medical services received. In addition, the relevant laws governing medical disputes and claims grant claimants liberal rights in bringing claims against physicians and other medical professionals practicing in the jurisdiction. As a result, the medical facilities in its network may be subject to medical disputes and claims arising under relevant laws, from time to time, which could generate substantial damages imposed on such facilities if not covered by professional liability insurance. Any dispute with its patients and/or their families or the medical professionals, including those from outside its network, or any legal proceeding involving the physicians of the medical facilities or medical professionals, including those from outside its network, regardless of its merit or eventual outcome, could result in significant legal costs and reputational damage to the medical facilities and materially and adversely affect the business, financial condition and results of operations of the medical facilities in its network, and further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assisted reproductive medical facilities in NewGenIvf’s network have limited control over the quality of the pharmaceuticals, medical equipment, medical consumables and other supplies used in its operations, and cannot guarantee that the products in use are not defective or counterfeit. NewGenIvf also has no control over independent sub-contractors and cannot guarantee the services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assisted reproductive medical facilities in NewGenIvf’s network procure a variety of pharmaceuticals, medical equipment, consumables and other supplies in NewGenIvf’s operations from third-party suppliers. As the medical facilities in NewGenIvf’s network do not engage in the direct manufacture of such supplies, NewGenIvf cannot assure you that such supplies are free of defects and meet relevant quality standards or, in the case of imported supplies, verify the origin of such products. In addition, there may be counterfeit pharmaceutical products manufactured without proper licenses or approvals or fraudulently mislabeled with respect to their content or manufacturer in the pharmaceutical markets. In some cases these products are very similar in appearance to the authentic products. The quality control checks and processes may not be able to identify all counterfeit pharmaceutical products in the inventory. Any sale of such products by the medical facilities in NewGenIvf’s network, regardless of its knowledge as to their authenticity, may subject the medical facilities to administrative sanctions, civil claims, negative publicity or reputational damage. NewGenIvf cannot assure you that the medical facilities in our network will be able to successfully claim full indemnity from such manufacturers of counterfeit pharmaceutical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cannot assure you that the medical facilities in our network will not encounter incidents relating to defective products, or that such incidents will not materially and adversely affect our network of medical facilities. If the products provided by NewGenIvf’s suppliers are defective, of poor quality or are otherwise unsafe or ineffective, the medical facilities in NewGenIvf’s network could be subject to liability claims, complaints or adverse publicity, any of which would materially and adversely affect its results of operations and reputation. NewGenIvf cannot assure you that the medical facilities in NewGenIvf’s network will find suitable replacement suppliers on commercially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are also subject to extensive laws, rules and regulations. If any suppliers violate applicable laws, rules and regulations, NewGenIvf’s reputation or procurement may be materially and adversely affected. In addition, the medical facilities in NewGenIvf’s network may be exposed to reputational damages or even liabilities for defective goods provided by the suppliers or negative publicity associated with any suppliers, and the business and results of operations of the medical facilities in NewGenIvf’s network and NewGenIvf could suffer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sub-contractors and/or agents that work with NewGenIvf are also subject to extensive laws, rules, and regulations. If any sub-contractor and/or agent violates any applicable laws, rules, regulations or breaches any agreements, NewGenIvf’s reputation may be materially and adversely affected and NewGenIvf may be penalized by regulatory or other parties. In addition, NewgenIvf’s clients may engage Newgen’s sub-contractors and/or agents for ongoing services or additional services following the termination of contracts with NewGenIvf. NewGenIvf has no control over the services provided by sub-contractors and cannot assure the quality of such services or ensure compliance with applicable laws, rules and regulations. In addition, the services provided by independent sub-contractors may expose NewGenIvf to public scrutiny, adversely affect its brand and reputation, expose it to litigation or regulatory action, and otherwise make its operations vulnerable if such independent sub-contractors fail to meet their contractual obligations or to comply with applicable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 loses its relationship with one or more key pharmaceutical manufacturers, its business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maintains contractual relationships with select pharmaceutical manufacturers in Thailand, Cambodia and Kyrgyzstan. The consolidation of pharmaceutical manufacturers, the shortages of drugs provided by such manufacturers, the termination or material alteration of its contractual relationships, or its failure to renew such contracts could have a material adverse effect on its business and results of operations. Adoption of new laws, rules or regulations or changes in, or new interpretations of, existing laws, rules or regulations, relating to any of these programs could materially adversely affect its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has engaged in transactions with related parties, and such transactions present potential conflicts of interest that could have an adverse effect on its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entered into a number of transactions with related parties. NewGenIvf may in the future enter into additional transactions with its related parties. Interests of these related parties may not necessarily be aligned with NewGenIvf’s or The Company’s interests and the interests of its other shareholders. For example, conflicts of interest may arise in connection with decisions regarding the transaction arrangements which may be less favorable to NewGenIvf than similar arrangements negotiated with unaffiliated third parties. Conflicts of interest may also arise in connection with the exercise of contractual remedies, such as the treatment of events of default. As a result, those related party transactions, individually or in the aggregate, may have an adverse effect on NewGenIvf’s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may be subject to claims and allegations relating to intellectual property and other causes.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from time to time receive claims that NewGenIvf infringes on the intellectual property rights of others. Moreover, NewGenIvf may be subject to claims by third parties who maintain that NewGenIvf’s service providers’ technology infringes third-party’s intellectual property rights. If NewGenIvf fails to successfully defend against such claim or does not prevail in such litigation, it could be required to modify, redesign or cease operating, pay monetary amounts as damages or enter into royalty or licensing arrangements with the valid intellectual property holders. Any royalty or licensing arrangements that NewGenIvf may seek in such circumstances may not be available to it on commercially reasonable terms or at all. Also, if NewGenIvf acquires technology licenses from third parties, NewGenIvf’s exposure to infringement actions may increase because NewGenIvf must rely upon these third parties to verify the origin and ownership of such technology. This exposure to liability could result in disruptions in NewGenIvf’s business that could materially and adversely affect NewGenIvf’s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NewGenIvf’s employees may previously employed at other companies, including NewGenIvf’s competitors. NewGenIvf may hire additional personnel to expand its development team and technical support team as its business grows. To the extent these employees were involved in the development of content or technology similar to NewGenIvf’s at their former employers, NewGenIvf may become subject to claims that these employees or NewGenIvf has appropriated these employees’ former employers’ proprietary information or intellectual properties. If NewGenIvf fails to successfully defend such claims against itself, NewGenIvf may be exposed to liabilities which could have a material adverse effect on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currently not a party to any material legal or administrative proceedings but may subject to legal or administrative actions for defamation, negligence, copyright and trademark infringement, unfair competition, breach of service terms, or other purported injuries resulting from the content NewGenIvf provides or the nature of NewGenIvf’s services. Such legal and administrative actions, with or without merits, may be expensive and time-consuming and may result in significant diversion of resources and management attention from NewGenIvf’s business operations. Furthermore, such legal or administrative actions may adversely affect NewGenIvf’s brand image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data and information in this prospectus relied on by NewGenIvf were obtained from third-party data and polls. These metrics were not independently verified by NewGenIvf and may not be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numbers and information in this prospectus were obtained and provided from numerous sources including management data, third-party data or numbers generally estimated by calculating infertile couples, fertility tourism number, etc. to generally assess potential customer numbers in Asia-Pacific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metrics were not independently verified. Such databases, third-party information, and calculations may not accurately reflect actual statistics or numbers and NewGenIvf does not have access to specific rating numbers. Similarly, any statistical data in any third-party publications also include projections based on a number of assumptions. If any one or more of the assumptions underlying the market data is later found to be incorrect, actual results may differ from the projections based on these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dependent on a single joint venture partner for our real estate development project in the UAE and are subject to the legal, regulatory, and economic risks of operating in a new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 estate development project in Ras Al Khaimah, UAE, is conducted through a joint venture with BNW Real Estate Development LLC (“BNW”), on whom we are heavily reliant for the financing, construction, management, and marketing of the project. Any failure by BNW to fulfill its obligations, including covering construction costs and achieving sales targets, could jeopardize the project’s success and our anticipated returns. Furthermore, our lack of an established operating history in the UAE makes us vulnerable to unforeseen complexities in the local legal, regulatory, and business environment. This includes potential challenges in navigating local property laws, tax regulations, and commercial practices, as well as exposure to regional geopolitical tensions or economic downturns that could specifically impact the Emirate of Ras Al Khaimah. Disagreements with our joint venture partner, or the termination of our relationship, could result in disputes, delays, financial losses, and a complete failure to realize the projected US$67 million in net returns, which would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operates in a highly regulated industry and must comply with a significant number of complex and evolving requirements. Any lack of requisite approvals, licenses, or permits applicable to NewGenIvf’s business may have a material and adverse impact on NewGenIvf’s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NewGenIvf are subject to various laws, rules and regulations at the national, regional and local levels in Thailand, Cambodia, Kyrgyzstan, Hong Kong, United Arab Emirates, United States of America and other applicable jurisdictions. Such laws and regulations mainly relate to (i) the licensing of local and foreign medical professionals, nursing professionals, medical technology professionals, pharmaceutical professions and other applicable licensing; (ii) the licensing, registration, and accreditation of medical facilities, laboratories, including but not limited to the licensing, registration, and accreditation of persons performing related activities; (iii) the privacy and security of confidential patient medical records; (iv) the corporate practice of medicine; (v) healthcare fraud and abuse laws; (vi) the donation and transplantation of human cells, tissues and organs; (vii) potential prohibition on surrogacy or providing intermediary assistance in surrogacy; and (viii) licensing and approval of the accommodation provided as parts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attempted to structure its operations to comply with laws, regulations and other requirements applicable to it directly and to its clients and vendors, but there can be no assurance that its operations will not be challenged or impacted by regulatory authorities or enforcement initiatives, or that the relevant authorities in each jurisdiction could impose higher standards or requirements, which NewGenIvf may have difficulty to adhere to, e.g. Medical Facilities Act B.E. 2541 (1998) and Protection of a Child Born by Medically Assisted Reproductive Technology Act B.E. 2558 (2015) for Thailand jurisdiction, Law on Reproduction Rights and on Guarantees of Their Realization of July 4, 2015 No. 148, Law on status of medical worker of May 28, 2013 No. 81 and Temporary Regulation on Procedure of Licensing Private Medical Activity approved by the resolution of government of April 4, 2017 No. 203 for Kyrgyz Republic. NewGenIvf in the future may become involved in governmental investigations, audits, reviews and assessments. Any determination by a court or agency that NewGenIvf’s solutions or services violate, or cause its clients to violate, applicable laws, regulations or other requirements could subject it or its clients to civil, criminal, or administrative penalties. Such a determination also could require it to change or terminate portions of its business, disqualify it from serving clients that do business with government entities, or cause it to refund some or all of its service fees or otherwise compensate its clients. In addition, failure to satisfy laws, regulations or other requirements could adversely affect demand for its solutions and could force it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its reputation and could adversely affect its ability to retain and attract clients. If NewGenIvf fails to comply with applicable laws, regulations and other requirements, its business, financial condition and results of operations could be adversely affected. Such non-compliance could also require significant investment to address and may prove costly. There are several additional state statutes, regulations, guidance and contractual provisions related to or impacting the healthcare industry that may apply to its business activities directly or indirectly, including, but not limited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Licensing and Licensed Personnel. </w:t>
            </w:r>
            <w:r>
              <w:rPr>
                <w:sz w:val="20"/>
              </w:rPr>
              <w:t>Many countries have licensure or registration requirements for entities acting as a medical services provider. The scope of these laws differs from country to country, and the application of such laws to the activities of fertility treatment is often unclear. Given the nature and scope of the solutions and services that NewGenIvf provides, it is required to maintain the License to Operate Medical Facility Business (Sor.Por.7), the License to Manage Medical Facility Business (Sor.Por.19), License to Certify the Standard of Service relating to Medically Assisted Reproductive Technology (KorThorPhor.9), and personnel licenses, i.e., license of medical professionals, nursing professionals, medical technology professionals, pharmaceutical professions and other applicable licenses in Thailand, Approval on Opening of Medical Clinic, Approval on Opening of Pharmacy and relevant approvals to conduct IVF, embryo implant and/or transfer activities issued by the Ministry of Health of Cambodia (“Cambodia MOH”) in Cambodia and licenses to carry out private medical activities (including diagnostics and treatment gynecological diseases, supervision of pregnant women before childbirth, IVF in outpatient and day hospital conditions (for four (4) beds)) in Kyrgyzstan, respectively, and to ensure that such licenses and registrations are in good standing on an annual basis. NewGenIvf is licensed, has licensure applications pending before appropriate regulatory bodies, is exempt from licensure or registration, or is otherwise authorized under such laws in those countries in which it provides its services. These licenses require it to comply with the rules and regulations of the governmental bodies that issued such licenses. NewGenIvf’s failure to comply with such rules and regulations could result in criminal and/ or administrative penalties, the suspension of a license, or the loss of a license, all of which could negatively impact its business. First Fertility PGS had provided arrangements of accommodation without additional charges for its patients without a tourism license in Thailand, all of which was subsequently ceased in early 2023. Pursuant to the Tourism Business and Guide Act 2551 (2008) of Thailand, a maximum fine of THB500,000 may be imposed on First Fertility PGS as a result of the above activity without a tourism license in Thailand. NewGenIvf is unable to predict, however, how its services may be viewed by regulators over time, how these laws and regulations will be interpreted, or the full extent of their applicable. If a regulatory authority in any country determines that the nature of its business requires that NewGenIvf be licensed under applicable laws, it may need to restructure its business or it may need to comply with any related requirements, such as obtaining relevant license, paying additional regulatory fees and/or penalties for previous non-compliance with relevant licensing requirements, which could adversely affect its results of operation. Additionally, in extreme case, NewGenIvf may need to cease operations until it is able to obtain appropriate licensure, which may adversely affect its revenue for a period of time that it cannot estimate.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Patients’ Right Protection. </w:t>
            </w:r>
            <w:r>
              <w:rPr>
                <w:sz w:val="20"/>
              </w:rPr>
              <w:t>There has been an increased awareness of patients’ rights in Thailand, Cambodia and Kyrgyzstan, especially with the issuance of the Constitution of the Kingdom of Thailand, the Act on Court Proceedings for Consumer Cases B.E. 2551 (2008) (as amended), National Health Act B.E. 2550 (2007), and other applicable laws in Thailand, the Civil Code dated December 8, 2017 as amended by the Law on Implementation of the Civil Code dated May 31, 2011, Law on Management of Donation and Transplantation of Human Cells, Tissues, and Organs (2016) and Sub-Decree No. 61 on the Code of Medical Ethics (2003) in Cambodia and Constitution of Kyrgyzstan of May 5, 2021, Civil Code, Part I of May 8, 1996 No. 15, Law on Health Protection of Civilians of Kyrgyzstan of January 9, 2005 No. 6, Law on Reproduction Rights and on Guarantees of their Realization of July 4, 2015 No. 148, Law on status of medical worker of May 28, 2013 No. 81 and other relevant applicable laws in Kyrgyzstan, which enables consumers and patients to file suits more easily against healthcare service providers. Furthermore, treatment of more complex medical conditions has no guaranteed positive outcome, which subjects it to an increased likelihood of medical malpractice suits. Such lawsuits could result in hefty compensation payments or damage to NewGenIvf’s reputation, which may have a material adverse effect on its business, financial condition, results of operations and prospects.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Thailand is considering enacting a Patient Protection Bill (the “Bill”). The Bill, if issued, is intended to alleviate disputes between patients and healthcare providers, which have an impact on the healthcare system in Thailand as a whole. The compensation outlined in the Bill will assist patients in claiming damages, thereby fostering a positive relationship between patients and healthcare providers. Consequently, the rate of disputes is expected to decrease. The provisions under the Bill would require healthcare providers to compensate patients in a timely manner, sometimes without requiring proof of wrongdoing. The Bill also contemplates setting up a patient protection fund for damages to patients pursuant to which healthcare providers have to make mandatory contributions according to the rules determined by a patient protection committee. Failure by it to comply with applicable rules and regulations could result in penalties, the loss of regulatory permits and damage to NewGenIvf’s business reputation, each of which could have a material adverse effect on its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Protection of A Child Born By Medically Assisted Reproductive Technology Act B.E. 2558 (2015) of Thailand was promulgated with the intention to appropriately designate the legitimate parenthood status of a child born using medically assisted reproductive technology and regulate any medical scientific research on embryology and medically assisted reproductive technologies to prevent the misuse of medically assisted reproductive technologies. NewGenIvf is therefore under the supervision of a Committee of the Protection for Children Born through Medically Assisted Reproductive Technology, which is a committee established to control, inspect, supervise and formulate various policies relating to such acts. In Cambodia and Kyrgyzstan, all health establishments, including private medical clinics, are under the supervision of the Cambodia MOH and the Ministry of Health of Kyrgyzstan, respectively, which each governs and regulates the operation of medical clinics and activities of medical practitioners in respective countries. In particular, the Medical Council of Cambodia, Cambodian Council of Nurses, Cambodian Midwives Council and The Pharmaceutical Council of Cambodia, all assist the Cambodia MOH to supervise and monitor the practice of health professionals in Cambodia. IVF/embryo implant/transfer activities are subject to an approval by the Cambodia MOH.</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Privacy and Security Requirements. </w:t>
            </w:r>
            <w:r>
              <w:rPr>
                <w:sz w:val="20"/>
              </w:rPr>
              <w:t>There are numerous laws and regulations related to the privacy and security of health information in each country. In particular, regulations promulgated pursuant to the Personal Data Protection Act B.E. 2562 (2019) of Thailand (“PDPA”), Law on Data of Personal Character of April 14, 2008 No. 58 of Kyrgyzstan (“Data Protection Law”), as well as Regulation of Registration of Personal Data Holders (Owners) approved by the Resolution of the Cabinet of Ministers of KR of November 18, 2022, Offences Code No. 128 of October 28, 2021 of Kyrgyzstan establish privacy and security standards in each country that limit the collection, use, and/ or disclosure of certain individually identifiable health information, whether directly or indirectly (excluding the information of the deceased person)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the PDPA and Data Protection Law also provide patients with rights related to understanding and controlling how their protected health information is collected, used and/ or disclosed. As a provider of services to entities subject to the PDPA and Data Protection Law, NewGenIvf is directly subject to certain provisions of the regulations. To the extent permitted by applicable privacy regulations and contracts with its clients, NewGenIvf is permitted to use and disclose protected health information to perform its services and for other limited purposes, but other uses and disclosures, such as marketing communications, require written authorization from the patient or must meet an exception specified under the privacy regulations.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has downstream entities which provide it with services and are also subject to applicable regulations. If NewGenIvf or any of its downstream entities are unable to properly protect the privacy and security of protected health information entrusted to it, it could be found to have breached its contracts with its clients and be subject to investigation by the relevant supervision institution, i.e., the Office of the Personal Data Protection Committee of Thailand (the Government Authority under the PDPA), the Cambodia MOH and the State Data Protection Agency under the Cabinet of Ministers of Kyrgyzstan (the “Agency”). In the event the Office of the Personal Data Protection Committee or the Agency finds that NewGenIvf has failed to comply with applicable privacy and security standards, it could face civil, criminal, and/ or administrative penalties. In addition, the Office of the Personal Data Protection Committee performs compliance audits in order to proactively enforce the privacy and security standards. The Office of the Personal Data Protection Committee has become an increasingly active regulator and has signaled its intention to continue this trend. The Office of the Personal Data Protection Committee has the discretion to impose penalties and may require companies to enter into resolution agreements and corrective action plans which impose ongoing compliance requirements. The Office of the Personal Data Protection Committee’s enforcement activity, or audit related to incident regarding it or its downstream entity, can result in financial liability and reputational harm, and responses to such enforcement activity can consume significant internal resources. Although NewGenIvf has implemented and maintain policies, processes and compliance program infrastructure to assist it in complying with these laws and regulations and its contractual obligations, NewGenIvf cannot provide assurance regarding how these laws and regulations will be interpreted, enforced or applied to its operations. In associated with enforcement activities and potential contractual liabilities, its ongoing efforts to comply with evolving laws and regulations might also require it to make costly system purchases and/or modifications or otherwise divert significant resources to compliance initiatives from time to time.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Other Privacy and Security Requirements. </w:t>
            </w:r>
            <w:r>
              <w:rPr>
                <w:sz w:val="20"/>
              </w:rPr>
              <w:t>In addition, numerous other laws govern the collection, dissemination, use, access to and confidentiality of personal information. For example, the Law on E-Commerce of Cambodia (2019) places an obligation on those who electronically store private information to use all means to ensure that the information is protected by security safeguards in every reasonable circumstance to avoid the loss, access, use, modification, leakage, or disclosure of the information, except with the consent of the data owner or other lawfully authorized party. The Law on E-Commerce also prohibits individuals from dishonestly accessing, downloading, copying, extracting, leaking, deleting, modifying, or otherwise interfering with data stored by other persons. Applicable laws are contributing to increased enforcement activity and may also be subject to interpretation by various courts and other governmental authorities.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NewGenIvf’s solutions and services involve the transmission and storage of client data in various jurisdictions, which subjects the operation of those solutions and services to privacy or data protection laws and regulations in those jurisdictions. While NewGenIvf believes those solutions and services comply with current regulatory and security requirements in the jurisdictions in which it provides these solutions and services, there can be no assurance that such requirements will not change or that it will not otherwise be subject to legal or regulatory actions. The laws and regulations are rapidly evolving and changing, and could have an adverse impact on its operations. These laws and regulations are subject to uncertainty in how they may be interpreted and enforced by government authorities and regulators. The costs of compliance with, and the other burdens imposed by, these and other laws or regulatory actions may increase its operational costs, prevent it from providing its solutions, and/or impact its ability to invest in or jointly develop its solutions. NewGenIvf also may face audits or investigations by one or more government agencies relating to its compliance with these laws and regulations.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outcome under any such investigation or audit could result in fines, penalties, other liability, or could result in adverse publicity or a loss of reputation, and adversely affect NewGenIvf’s business. Any failure or perceived failure by it or by NewGenIvf’s solutions to comply with these laws and regulations may subject it to legal or regulatory actions, damage its reputation or adversely affect its ability to provide its solutions in the jurisdiction that has enacted the applicable law or regulation. Moreover, if these laws and regulations change, or are interpreted and applied in a manner that is inconsistent with its policies and processes or the operation of its solutions NewGenIvf may need to expend resources in order to change its business operations, policies and processes or the manner in which it provides its solutions. This could adversely affect NewGenIvf’s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Data Protection and Breaches. </w:t>
            </w:r>
            <w:r>
              <w:rPr>
                <w:sz w:val="20"/>
              </w:rPr>
              <w:t>In recent years, there have been a number of well-publicized data breaches involving the improper dissemination of personal information of individuals both within and outside of the healthcare industry. Pursuant to the applicable data protection law of Thailand, the PDPA requires businesses to notify the data subjects and/or the government authorities upon the occurrence of a data breach. The laws are not consistent, and compliance in the event of a widespread data breach is costly. Each country also constantly amending existing laws, requiring attention to frequently changing regulatory requirements. Most countries require holders of personal information to maintain safeguards and take certain actions in response to a data breach, such as providing prompt notification of the breach to affected individuals. In some countries, these laws are limited to electronic data, but they increasingly are enacting or considering stricter and broader requirements.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NewGenIvf’s security management efforts with respect to physical and technological safeguards, employee training, vendor (and sub-vendor) controls and contractual relationships, its infrastructure, data or other operation centers and systems used in its business operations, including the internet and related systems of its vendors (including vendors to whom NewGenIvf outsources data hosting, storage and processing functions) are vulnerable to, and may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NewGenIvf might not be able to anticipate these techniques, implement adequate preventive measures, or immediately detect a potential compromise. If its security measures, some of which are managed by third parties, or the security measures of its service providers or vendors, are breached or fail, it is possible that unauthorized or illegal access to or acquisition, disclosure, use or processing of personal information, confidential information, or other sensitive client or employee data, including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 If NewGenIvf’s security measures, or those of its service providers or vendors, were to be breached or fail, its reputation could be severely damaged, adversely affecting client or investor confidence. As a result, clients may curtail their use of or stop using its offering and its business may suffer. In addition, NewGenIvf could face litigation, damages for contract breach, penalties and regulatory actions for violation of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it or its industry or clients, which could cause it to lose clients or partners and adversely affect its operations and future prospects. NewGenIvf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Fraud and Abuse Laws. </w:t>
            </w:r>
            <w:r>
              <w:rPr>
                <w:sz w:val="20"/>
              </w:rPr>
              <w:t>NewGenIvf may be impacted directly and indirectly by certain fraud and abuse laws, including the Act Supplementing the Constitution Relating to the Prevention and Suppression of Corruption B.E. 2561 (2018) of Thailand, the Penal Code of Thailand, the Criminal Code of Cambodia, the Offences Code of October 28, 2021 No. 128 of Kyrgyzstan, the Criminal Code of October 28, 2021, No. 17 of Kyrgyzstan and the Law on prevention of corruption of August 8, 2021 No. 153 of Kyrgyzstan. Because the solutions and services NewGenIvf provides are not reimbursed by government healthcare payors, such fraud and abuse laws generally do not directly apply to its business, however, some laws may be applicable. The laws, regulations and other requirements in this area are both broad and vague and judicial interpretation can also be inconsistent. NewGenIvf reviews its practices with regulatory experts in an effort to comply with all applicable laws, regulatory and other requirements. However, NewGenIvf is unable to predict how these laws, regulations and other requirements will be interpreted or the full extent of their application, particularly to services that are not directly reimbursed by healthcare programs. Any determination by a regulatory authority that any of NewGenIvf’s activities or those of its clients or vendors violate any of these laws or regulations could subject NewGenIvf to civil or criminal penalties, require it to enter into corporate integrity agreements or similar agreements with ongoing compliance obligations, disqualify it from providing services to clients and/or have an adverse impact on its business, financial condition and results of operations. Even an unsuccessful challenge by a regulatory authority of NewGenIvf’s activities could result in adverse publicity and could require a costly response from it.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Consumer Protection Laws. </w:t>
            </w:r>
            <w:r>
              <w:rPr>
                <w:sz w:val="20"/>
              </w:rPr>
              <w:t>Consumer protection laws are being applied increasingly by the Office of the Consumer Protection Board in Thailand and by the Cambodia Ministry of Health to regulate the collection, use, storage and disclosure of personal or health information, through websites or otherwise, and, in Cambodia, by the Consumer Protection Competition and Fraud Repression Directorate-General, to regulate the presentation of website content. Courts may also adopt the standards for fair information practices, which concern consumer notice, choice, security and access.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Restrictions on Communication. </w:t>
            </w:r>
            <w:r>
              <w:rPr>
                <w:sz w:val="20"/>
              </w:rPr>
              <w:t>Communications with NewGenIvf’s clients increasingly may be subject to and restricted by laws and regulations governing communications via telephone, fax, text, and email. NewGenIvf also uses email and social media platforms as marketing tools. For example, NewGenIvf maintains social media accounts. As laws and regulations rapidly evolve to govern the use of these platforms and devices, the failure by it, its employees or third parties acting at its direction to abide by applicable laws and regulations in the use of these platforms and devices could adversely impact its business, financial condition and results of operations or subject it to fines or other penalties.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i/>
                <w:sz w:val="20"/>
              </w:rPr>
              <w:t xml:space="preserve">Advertisement Laws. </w:t>
            </w:r>
            <w:r>
              <w:rPr>
                <w:sz w:val="20"/>
              </w:rPr>
              <w:t>NewGenIvf’s advertisement and announcements, in particular, the messages releasing on the Internet related to medical facilities may subject to the laws and regulations of relevant jurisdictions (and potential prohibition in Cambodia on commercial advertisement of private medical services).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in Thailand, NewGenIvf shall apply for and obtain the approval and/ or pre-approval from the relevant authority for the images, and text used in advertisements or announcements which shall be in accordance with the Medical Facility Act B.E. 2541 (1998) (and its amendments) and the Notification of the Department of Health Services Support on Rules, Procedures, Conditions, and Costs of Advertisements or Announcements of Healthcare Facilities B.E. 2562 (2019) (and its amendments) and the Operational Manual for Approval of Advertisements or Announcements relating to Healthcare Facilities. If such approval was not obtained by NewGenIvf, it could lead to significant liabilities and consequences, which could adversely impact NewGenIvf’s business, financial condition and results of operations or subject its sales and marketing director to personal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Cambodia, Prakas 028 on Advertisement of Private Medical, Paramedical and Medical Aid Practices dated August 23, 2004 issued by the Cambodia MOH prohibits commercial advertising of private medical services. Advertisement of private health care services is only allowed for any advertisements within the professional framework not affecting the ethics of private medical services and such advertisement requires a permit from the Cambodia MOH. In addition, the Royal Government of Cambodia has recently issued Sub-Decree 232 on the Management of Commercial Advertisements of Goods and Services on November 4, 2022 to provide the legal framework for the management of commercial advertising of goods and services for all types, forms and means in Cambodia. In light of this Sub-Decree, in addition to the permit requirement of the Cambodia MOH, a person wishing to advertise their goods and/or services in Cambodia may also apply for a compliance certificate from the Ministry of Commerce, which certifies that advertising text or content complies with the Law on Consumer Protection or other applicable regulations.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Kyrgyzstan, the Law on Advertisements of December 24, 1998, No. 155 requires that if the activities of the advertiser subject to licensing, the advertisement of such advertiser must include the license number and the name of the authority that issued the license, except for radio advertising, where it is sufficient to state “licensed activity” on the territory of Kyrgyzstan. In advertising goods (including works and services), and other objects of advertising, cost indicators must be stated in the national currency. There are also other requirements established in relation to size, frequency, cost and other features of advertisements via different types of media.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and regulations relevant to the fertility services may be introduced in the future, or the current applicable regulations may otherwise be amended or replaced requiring the assisted reproductive medical facilities in its network to conduct business with additional oversight and regulatory compliance. If NewGenIvf fails to obtain the necessary licenses, permits and approvals, NewGenIvf may be subject to fines, confiscation of revenues generated from incompliance operations, or the suspension of relevant operations. NewGenIvf may also experience adverse publicity arising from such non-compliance with government regulations that negatively impacts its brand. NewGenIvf may experience difficulties or failures in obtaining the necessary approvals, licenses, and permits for new spaces or new service offerings. If NewGenIvf fails to obtain the material licenses, NewGenIvf’s business activities could be severely delayed. In addition, there can be no assurance that NewGenIvf will be able to obtain, renew, and/or convert all of the approvals, licenses, and permits required for its existing business operations upon their expiration in a timely manner, in a cost-efficient manner or at all, which could adversely affect NewGenIvf’s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considerable uncertainties exist in relation to the interpretation and implementation of existing and future laws and regulations governing NewGenIvf’s business activities. NewGenIvf could be found not in compliance with any future laws and regulations or of the laws and regulations currently in effect due to changes in the relevant authorities’ interpretation of those laws and regulations. It is possible that different interpretations or enforcement of these regulations could subject the current or past practices to allegations of impropriety or illegality or require the medical facilities in its network to implement changes in the facilities, equipment, personnel or services, or increase capital expenditure and operating expenses. If NewGenIvf fails to complete, obtain, or maintain any of the required licenses or approvals or make the necessary filings, NewGenIvf may be subject to various penalties, such as confiscation of unlawful gains, the imposition of fines, revocation of licenses, and the discontinuation or restriction of NewGenIvf’s operations. Any such penalties or changes in policies, regulations, or enforcement by government authorities may disrupt NewGenIvf’s operations and materially and adversely affect NewGenIvf’s business, financial condition, and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or regulatory restriction, government regulation, industry standards and other requirements create risks and challenges with respect to NewGenIvf’s compliance efforts and its business strategies and could adversely impact NewGenIvf’s business and limited the growth of NewGenIvf’s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In particular, many existing healthcare laws and regulations, when enacted, did not anticipate the solutions and services that NewGenIvf provides, and these laws and regulations may be applied to its solutions and services in ways that NewGenIvf does not anticipate. Efforts to reform or revise aspects of the healthcare industry or to revise or create additional legal or and regulatory requirements could impact its operations, the use of its solutions and services, and its ability to market new solutions and services, or could create unexpected liabilities for it. NewGenIvf also may be impacted by laws, industry standards and other requirements that are not specific to the healthcare industry, such as consumer protection laws and payment card industry standards. These requirements may impact its operations and, if not followed, could result in fines, penalties and other liabilities and adverse publicity and injury to its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existing or future laws may be interpreted in a manner that is not consistent with the healthcare industry’s current practices and could have an adverse effect on NewGenIvf’s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or offering of gender selection services in certain jurisdictions in which NewGenIvf operates could expose the Company and its directors and executive officers to significant legal and regulatory risks, including potential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or provision of gender selection services in certain jurisdictions in which we operate is subject to stringent legal restrictions. In particular, in Hong Kong, under the Human Reproductive Technology Ordinance (Cap. 561 of the Laws of Hong Kong) (“HRTO”), gender selection for non-medical purposes is prohibited. Violation of these provisions may result in criminal liability. Any person found guilty of advertising or offering gender selection services in Hong Kong may, on a first conviction, face a fine of up to HKD 25,000 and imprisonment for up to 6 months. If we, our representatives, or our sub-contractors inadvertently violate, or are alleged to violate, these laws, we could face significant financial penalties, reputational harm, and potential legal proceedings. Even if we do not directly market our gender selection services in Hong Kong, promotional activities conducted by third parties, affiliates, or other associates on our behalf could also expose us to liability under these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Wing Fung Alfred Siu and Hei Yue Tina Fong, and other individuals, were arrested in Hong Kong for allegedly violating certain sections of the HRTO which prohibit using reproductive technologies for sex selection, advertising sex selection services, commercial surrogacy arrangements, and advertising surrogacy arrangements. All persons were released on a bail amount of HKD 3,000 ($390). No further action has been taken by prosecutors against arrested persons, except that on October 26, 2025, Wing Fung Alfred Siu was served a summons for allegedly violating section 17(2) of the HRTO which prohibits commercial surrogacy arrangements and advertising surrogacy arrangements. On November 18, 2025, Wing Fung Alfred Siu was further granted bail on a bail amount of HKD 10,000 ($1,285). If convicted with an offence, he could face a fine of up to HKD 25,000 (approximately $3,200), and imprisonment for up to 6 months. Although we do not expect custodial sentences for him, any custodial sentence given could materially impact our business, financial condition, or results of operations. In addition, although under BVI law, such minor first-time offenses would not automatically disqualify any directors or executives from continuing to act in such positions, any director or executive officer found guilty of such offenses could cause reputational harm to the Company. As we do not advertise or promote surrogacy arrangement or gender selection service in Hong Kong, and all such marketing activities are carried out outside of Hong Kong or by agents outside of Hong Kong, we have not been, nor do we expect to be, materially impacted by any such increased enforcement of the HRTO. Moreover, we do not expect any material impact on our ability to generate revenue from Chinese clients, as our PRC-sourced revenues derived from clients in mainland China and Hong Kong are generated through referrals from PRC agents, with payments being made by the clients directly to the local clinics. However, if the regulatory authorities in Hong Kong deem our determination inconsistent from the HRTO, we may face increased scrutiny or enforcement actions by the Hong Kong authorities, which could result in adverse publicity, increase compliance cost, and significant disruption of our business operations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increased scrutiny or enforcement actions by regulatory authorities in other jurisdictions in which we operate could result in adverse publicity, increased compliance costs, and significant disruption of our business operations. As a result, any failure to comply with applicable laws and regulations related to gender selection services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tariffs or other restrictions imposed on imports by the U.S. and related countermeasures taken by impacted countries could have a material adverse effect on our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significant tariffs or other restrictions are imposed on imports by the U.S. and related countermeasures are taken by foreign countries, our business, including results of operations, cash flows and financial condition, may be adversely affected. In January 2025, during the initial days of U.S. President Trump’s second term, the U.S. announced the imposition of additional substantial tariffs on imports from various countries, including China, Canada and Mexico, and the subject countries have imposed or indicated their intention to impose counter measures. In February 2025, the U.S. imposed tariffs of 10% on all imported goods from China, followed by an additional 10% tariff in March 2025. The U.S. also imposed a 25% tariff on all steel and aluminum imports, beginning in March 2025. On February 13, 2025, President Trump ordered his trade advisers to come up with “reciprocal” tariffs on U.S. trade partners to retaliate against taxes, tariffs, regulations and subsidies and on April 2, 2025, announced new tariffs on many U.S. trading partners, including a universal baseline tariff of 10% on all imported goods, and country specific tariffs such as an additional 34% tax on imports from China (leading to an effective rate of 54% when combined with existing tariffs) and 20% on products from the E.U. Specific products that are being tariffed, such as automobiles, were to be exempted from the new tariffs, and tariffs on products such as pharmaceutical drugs were to be announced at a later date. Following a period of market turbulence, on April 9, 2025, President Trump announced a 90-day pause to the tariffs announced on April 2, 2025 for most countries. Countries subject to the pause on the tariffs are still to be subject to the baseline 10% tariff. This consequently lowers the tariff rate for the E.U., Japan, and South Korea, among other countries. However, U.S. President Trump announced an increased tariff rate against Chinese imports of a minimum 145%. These and other tariffs and countermeasures could increase the cost of equipment necessary for our operations, disrupt global supply chains and create additional operational challenges. Additionally, ongoing trade tensions and uncertainty regarding future trade policies could negatively impact global economic conditions and consumer confidence, further affecting our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litigation against NewGenIvf could be costly and time-consuming to defend and could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in the past and may in the future become subject to regulatory actions, litigation, disputes, or claims of various types, legal proceedings and claims that arise in the ordinary course of business, such as claims brought by its clients or vendors in connection with commercial disputes or employment claims made by its current or former employees, as well as claims brought by relevant regulatory authorities or NewGenIvf’s competitors, patients, employees, or other third parties against NewGenIvf. NewGenIvf is unable to predict the outcome of any of these legal proceedings. Such regulatory actions, disputes, allegations, complaints, or legal proceedings may damage NewGenIvf’s reputation, evolve into litigation, or otherwise have a material adverse impact on NewGenIvf’s reputation and business. Such proceedings might result in substantial costs, regardless of the outcome, and may significantly divert management’s attention and resources from operating NewGenIvf’s business, which might seriously harm its business, financial condition and results of operations. Insurance might not cover such claims, might not provide sufficient payments to cover all the costs to resolve one or more such claims, and might not continue to be available on terms acceptable to it. A claim brought against it that is uninsured or underinsured could result in unanticipated costs, potentially harming its business, financial condition and results of operations. The outcomes of actions NewGenIvf institutes may not be successful or favorable to NewGenIvf. Lawsuits against NewGenIvf may also generate negative publicity that significantly harms NewGenIvf’s reputation, which may adversely affect NewGenIvf’s client base. NewGenIvf may also need to pay damages or settle lawsuits with a substantial amount of cash.</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investments, partnerships, or alliances could be difficult to identify, pose integration challenges, divert the attention of management, disrupt NewGenIvf’s business, dilute stockholder value, and adversely affect its business,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may in the future seek to acquire or invest in businesses, joint ventures, products and services, or technologies that it believes could complement or expand its platform, enhance its technical capabilities, or otherwise offer growth opportunities. Any such acquisition or investment may divert the attention of management and cause NewGenIvf to incur various expenses in identifying, investigating and pursuing suitable opportunities, whether or not the transactions are completed, and may result in unforeseen operating difficulties and expenditures. In particular, NewGenIvf may encounter difficulties assimilating or integrating the businesses, technologies, products and services, personnel or operations of the acquired companies, particularly if the key personnel of the acquired company choose not to work for it, they are operationally difficult to integrate, or NewGenIvf has difficulty retaining the clients of any acquired business due to changes in ownership, management or otherwise. These transactions may also disrupt its business, divert its resources, and require significant management attention that would otherwise be available for development of its existing business and may not benefit NewGenIvf’s business strategy, may not generate sufficient revenues to offset the associated acquisition costs or may not otherwise result in the intended benefits. Any such transactions that NewGenIvf is able to complete may not result in any synergies or other benefits it had expected to achieve, which could result in impairment charges that could be substantial. In addition, NewGenIvf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its results of operations.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Even when NewGenIvf identifies an appropriate acquisition or investment target, it may not be able to negotiate the terms of the acquisition or investment successfully, obtain financing for the proposed transaction, or integrate the relevant businesses into its existing business and operations. Strategic investments or acquisitions will involve risks commonly encountered in business relationships,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difficulties in assimilating and integrating the operations, personnel, systems, data, technologies, products and services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inability of the acquired technologies, products or businesses to achieve expected levels of revenue, profitability, productivity or other benefits;</w:t>
            </w:r>
          </w:p>
        </w:tc>
      </w:tr>
    </w:tbl>
    <w:p>
      <w:pPr>
        <w:pStyle w:val="TextBody"/>
        <w:bidi w:val="0"/>
        <w:spacing w:before="0" w:after="0"/>
        <w:ind w:left="720" w:right="0" w:hanging="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sz w:val="20"/>
              </w:rPr>
            </w:pPr>
            <w:r>
              <w:rPr>
                <w:sz w:val="20"/>
              </w:rPr>
              <w:t>difficulties in retaining, training, motivating and integrating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sz w:val="20"/>
              </w:rPr>
            </w:pPr>
            <w:r>
              <w:rPr>
                <w:sz w:val="20"/>
              </w:rPr>
              <w:t>diversion of management’s time and resources from NewGenIvf’s normal daily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sz w:val="20"/>
              </w:rPr>
            </w:pPr>
            <w:r>
              <w:rPr>
                <w:sz w:val="20"/>
              </w:rPr>
              <w:t>difficulties in maintaining uniform standards, controls, procedures and policies within the combined organizations;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sz w:val="20"/>
              </w:rPr>
            </w:pPr>
            <w:r>
              <w:rPr>
                <w:sz w:val="20"/>
              </w:rPr>
              <w:t>difficulties in retaining relationships with customers, employees and suppliers of the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risks of entering markets in which NewGenIvf have limited or no prior experience;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regulatory risks, including remaining in good standing with existing regulatory bodies or receiving any necessary pre-closing or post-closing approvals, as well as being subject to new regulators with oversight over an acquired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assumption of contractual obligations that contain terms that are not beneficial to NewGenIvf, require it to license or waive intellectual property rights or increase its risk for liability;</w:t>
            </w:r>
          </w:p>
        </w:tc>
      </w:tr>
    </w:tbl>
    <w:p>
      <w:pPr>
        <w:pStyle w:val="TextBody"/>
        <w:bidi w:val="0"/>
        <w:spacing w:before="0" w:after="0"/>
        <w:ind w:left="720" w:right="0" w:hanging="36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sz w:val="20"/>
              </w:rPr>
            </w:pPr>
            <w:r>
              <w:rPr>
                <w:sz w:val="20"/>
              </w:rPr>
              <w:t>failure to further successfully develop the acquired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liability for activities of the acquired business before the acquisition, including intellectual property infringement claims, violations of laws, commercial disputes, tax liabilities and other known and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sz w:val="20"/>
              </w:rPr>
            </w:pPr>
            <w:r>
              <w:rPr>
                <w:sz w:val="20"/>
              </w:rPr>
              <w:t>potential disruptions to NewGenIvf’s ongoing businesses; and</w:t>
            </w:r>
          </w:p>
        </w:tc>
      </w:tr>
    </w:tbl>
    <w:p>
      <w:pPr>
        <w:pStyle w:val="TextBody"/>
        <w:bidi w:val="0"/>
        <w:spacing w:before="0" w:after="0"/>
        <w:ind w:left="720" w:right="0" w:hanging="36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sz w:val="20"/>
              </w:rPr>
            </w:pPr>
            <w:r>
              <w:rPr>
                <w:sz w:val="20"/>
              </w:rPr>
              <w:t>unexpected costs and unknown risks and liabilities associated with strategic investments or acquisitions.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is consummated, NewGenIvf may only have limited control over the companies in which it only has minority stake, it cannot ensure that these companies will always comply with applicable laws and regulations in their business operations. Non-compliance of regulatory requirements by NewGenIvf’s investees may cause substantial harm to NewGenIvf’s reputations and the value of NewGenIvf’s investment. In addition, if the resulting business from such a transaction fails to meet NewGenIvf’s expectations, or it fails to successfully integrate such businesses into its own, its business, financial condition and results of operations may be adversely affected or it may be exposed to unknown risks or liabilities. If NewGenIvf is unable to effectively address these challenges, its ability to execute acquisitions as a component of its long-term strategy will be impaired, which could have an adverse effect on its growth. As a result of the above, NewGenIvf’s strategies may not be successfully implemented beyond the current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might not achieve the synergies, operational or financial benefits it expects and may adversely impact NewGenIvf’s operating results. In addition, NewGenIvf cannot assure you that any future investment in or acquisition of new businesses or technology will lead to the successful development of new or enhanced products and services or that any new or enhanced products and services, if developed, will achieve market acceptance, or prove to be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NewGenIvf’s effective tax rate or tax liability may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effective tax rate could increase due to several factors, including, but not limited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in the relative amounts of income before taxes in the various jurisdictions in which NewGenIvf operates that have differing statutory tax rates;</w:t>
            </w:r>
          </w:p>
        </w:tc>
      </w:tr>
    </w:tbl>
    <w:p>
      <w:pPr>
        <w:pStyle w:val="TextBody"/>
        <w:bidi w:val="0"/>
        <w:spacing w:before="0" w:after="0"/>
        <w:ind w:left="720" w:right="0" w:hanging="36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changes in tax laws, tax treaties, and regulations or the interpretation of them;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changes to its assessment about its ability to realize its deferred tax assets that are based on estimates of its future results, the prudence and feasibility of possible tax planning strategies, and the economic and political environments in which NewGenIvf does business;</w:t>
            </w:r>
          </w:p>
        </w:tc>
      </w:tr>
    </w:tbl>
    <w:p>
      <w:pPr>
        <w:pStyle w:val="TextBody"/>
        <w:bidi w:val="0"/>
        <w:spacing w:before="0" w:after="0"/>
        <w:ind w:left="720" w:right="0" w:hanging="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sz w:val="20"/>
              </w:rPr>
            </w:pPr>
            <w:r>
              <w:rPr>
                <w:sz w:val="20"/>
              </w:rPr>
              <w:t>the outcome of future tax audits, examinations, or administrative appeals; and</w:t>
            </w:r>
          </w:p>
        </w:tc>
      </w:tr>
    </w:tbl>
    <w:p>
      <w:pPr>
        <w:pStyle w:val="TextBody"/>
        <w:bidi w:val="0"/>
        <w:spacing w:before="0" w:after="0"/>
        <w:ind w:left="720" w:right="0" w:hanging="36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70"/>
        <w:gridCol w:w="7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both"/>
              <w:rPr>
                <w:sz w:val="20"/>
              </w:rPr>
            </w:pPr>
            <w:r>
              <w:rPr>
                <w:sz w:val="20"/>
              </w:rPr>
              <w:t>limitations or adverse findings regarding its ability to do business in some jurisdictions.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developments could have an adverse effect on its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reported financial results may be adversely affected by changes in accounting principles generally accepted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U.S. accounting principles could have a significant effect on NewGenIvf’s reported results of operations and could affect the reporting of transactions already completed before the announcement of a change.The adoption of new or revised accounting principles may require it to make changes to its systems, processes and control, which could have a significant effect on its reported financial results, cause unexpected financial reporting fluctuations, retroactively affect previously reported results or require it to make costly changes to its operational processes and accounting systems upon or following the adoption of these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NewGenIvf’s estimates or judgments relating to its critical accounting policies prove to be incorrect, its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reported in NewGenIvf’s consolidated financial statements and accompanying notes appearing elsewhere in this prospectus. NewGenIvf bases its estimates on historical experience and on various other assumptions that it believes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 of NewGenIvf — Critical Accounting Policies, Judgments and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liabilities and equity, and the amount of revenue and expenses that are not readily apparent from other sources. Significant estimates and judgments used in preparing NewGenIvf’s consolidated financial statements include those related to the determination of fair value of its Class A Ordinary Shares and Warrants and revenue recognition relating to services rendered but for which no claim has yet been reported, among other things. NewGenIvf’s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market price of its Class A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 is subject to anti-corruption, anti-bribery, anti-money laundering, and similar laws, and non-compliance with such laws can subject it to criminal or civil liability and harm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the Anti-Money Laundering Act B.E. 2542 (1999) of Thailand, the Act Supplementing the Constitution Relating to the Prevention and Suppression of Corruption B.E. 2561 (2018) of Thailand, and the Penal Code of Thailand, domestic bribery laws, and other anticorruption and anti-money laundering laws in the countries in which it conducts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NewGenIvf expands its business and sales and to the public sector, it may engage with business partners and third-party intermediaries to market its services and to obtain for it the necessary permits, licenses, and other regulatory approvals. In addition, NewGenIvf or its third-party intermediaries may have direct or indirect interactions with officials and employees of government agencies or state-owned or affiliated entities. NewGenIvf can be held liable for the corrupt or other illegal activities of these third-party intermediaries, its employees, representatives, contractors, partners and agents, even if it does not explicitly authorize such activities. 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it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NewGenIvf does not prevail in any possible civil or criminal proceeding, its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its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NewGenIvf’s digital strategy is subject to financial, operational and regulatory risks on investing in Solana.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Acquiring Solana (SOL) exposes the company to financial, operational, and regulatory risks, including extreme price volatility, potential technological failures (such as network outages or security exploits), uncertain and evolving global regulations that may classify SOL as a security or restrict its use, counterparty risks if held through exchanges or custodians, liquidity constraints during market stress, and the inherent challenges of securely managing digital assets, any of which could result in substantial or total loss of the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NewGenIvf’s investment in residential market of United Arab Emirates is exposed to significant market risks.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 residential property development business in the United Arab Emirates carries significant risks, primarily driven by market volatility and potential oversupply, particularly in the area of Ras Al Khaimah’s Beach District. Property values and rental yields are highly sensitive to fluctuations in oil prices, global economic conditions, and regional geopolitics, leading to sharp boom-bust cycles. Intense competition from new developments can rapidly saturate specific submarkets, driving down rents and occupancy rates, while regulatory changes (such as adjustments to rental increase caps, visa rules, or ownership laws) can unexpectedly impact profitability and operational models. Furthermore, reliance on expatriate tenants creates vulnerability to shifts in population demographics, employment trends, and government policies affecting residency, alongside inherent operational challenges including management costs, tenant defaults, and maintaining asset quality in a competitive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our SEC filings, please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this Offering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Class A Ordinary Shares may not be maintained and the trading price for the Class A Ordinary Shares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 liquid public market for the Class A Ordinary Shares will be maintained. If an active public market for the Class A Ordinary Shares is not maintained, the market price and liquidity of the Class A Ordinary Shares may be materially and adversely affected. We can provide no assurance that the trading price of the Class A Ordinary Shares after this offering will not decline below the public offering price. As a result, investors in Class A Ordinary Shares may experience a significant decrease in the value of their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shares of the Class A Ordinary Shares has been and is likely to continue to be highly volatile, and may decline regardless of our operating performance. You may not be able to resell your shares at or above the public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 price has been and will likely continue to be volatile for the foreseeable future. The stock market in general and the market for companies similarly situated like us in particular have experienced extreme volatility that has often been unrelated to or disproportionate to the operating performance of particular companies. As a result of this volatility, investors may not be able to sell their Class A Ordinary Shares at or above the price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public offering price for our ordinary shares will be determined through negotiations between the placement agent and us and may vary from the market price of our ordinary shares following our public offering. If you purchase our ordinary shares in our public offering, you may not be able to resell those Shares at or above the public offering price. We cannot assure you that the public offering price of our ordinary shares, or the market price following our public offering, will equal or exceed prices in privately negotiated transactions of our shares that have occurred from time to time prior to our public offering. The market price of our ordinary shares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pPr>
            <w:r>
              <w:rPr/>
              <w:t>Actual or anticipated fluctuations in our revenue and other operating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financial projections we may provide to the public, any changes in these projections or our failure to meet these projections;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actions of securities analysts who initiate or maintain coverage of us, changes in financial estimates by any securities analysts who follow our company, or our failure to meet these estimates or the expectations of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announcements by us or our competitors of significant products or features, technical innovations, acquisitions, strategic partnerships, joint ventures,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price and volume fluctuations in the overall stock market, including as a result of trends in the economy as a whole;</w:t>
            </w:r>
          </w:p>
        </w:tc>
      </w:tr>
    </w:tbl>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pPr>
            <w:r>
              <w:rPr/>
              <w:t>lawsuits threatened or filed against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is a best-efforts offering, no minimum amount of securities is required to be sold and we may not raise the amount of capital we believe is required for our business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agreed to use its reasonable best efforts to solicit offers to purchase the securities being offered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fund for our operations as described in the “Use of Proceeds” section herein. Thus, we may not raise the amount of capital we believe is required for our operations in the short-term and even if we raise the maximum offering amount in this public offering, we will need to raise additional funds in the future, which may not be available or available on terms acceptable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use the proceeds of this offering in ways with which you may not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the Class A Ordinary Shares nor that these net proceeds will be placed only in investments that generate income or appreciate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halt trading in our Class A Ordinary Shares on Nasdaq or delist our Class A Ordinary Shares for public interest concerns as a result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highly dilutive nature of this offering, Nasdaq may halt trading in our Class A Ordinary Shares on Nasdaq or delist our Class A Ordinary Shares for public interest concerns or because our Class A Ordinary Shares continue to trade below Nasdaq’s minimum bid price as a result of this offering, even if we are otherwise able to regain compliance for continued listing on Nasdaq. A number of Nasdaq-listed companies have filed public disclosures regarding the receipt of notification letters indicating that Nasdaq made the determination to halt and/or delist such companies as a result of public interest concerns arising from the issuance of warrants with similar terms to, and similar potential dilutive impact as, the Common Warrants in this offering. Additionally, warrants with similar terms issued by other Nasdaq-listed companies have caused such Nasdaq-listed companies’ stock prices to drop below Nasdaq’s minimum bid price or made it more difficult for these companies to cause their stock prices to regain compliance with Nasdaq’s minimum bid price. Therefore, even if we consummate this offering at a price above Nasdaq’s minimum bid price, there can be no assurance that our Class A Ordinary Shares will not again drop below such price, which may cause Nasdaq to delist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its listing standards, and we are not able to list such securities on another national securities exchange, then our Class A Ordinary Shares could be quoted on an over-the-counter market. If this were to occur, we and our shareholders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a limited availability of market quotations for our securities;</w:t>
            </w: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reduced liquidity for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determination that the Class A Ordinary Shares are a “penny stock,” which will require brokers trading the Class A Ordinary Shares to adhere to more stringent rules, possibly resulting in a reduced level of trading activity in the secondary trading market for our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limited amount of news and analyst coverage;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decreased ability for us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k_00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made under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developments and business decisions to differ materially from those anticipated in these forward-looking statements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planned level of revenues and capital expenditures;</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our ability to market and sell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sz w:val="20"/>
              </w:rPr>
            </w:pPr>
            <w:r>
              <w:rPr>
                <w:sz w:val="20"/>
              </w:rPr>
              <w:t>our plans to continue to invest in research and development to develop technology for both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maintain our relationships with suppliers, manufacturers and other partners;</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our ability to maintain or protect the validity of our intellectual property and know-how;</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sz w:val="20"/>
              </w:rPr>
            </w:pPr>
            <w:r>
              <w:rPr>
                <w:sz w:val="20"/>
              </w:rPr>
              <w:t>our ability to retain key executive members;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sz w:val="20"/>
              </w:rPr>
            </w:pPr>
            <w:r>
              <w:rPr>
                <w:sz w:val="20"/>
              </w:rPr>
              <w:t>our ability to internally develop and protect new inventions and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our ability to expose and educate the industry about the use of our services and products;</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sz w:val="20"/>
              </w:rPr>
            </w:pPr>
            <w:r>
              <w:rPr>
                <w:sz w:val="20"/>
              </w:rPr>
              <w:t>our expectations regarding our tax classifications; and</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interpretations of current laws and the passages of future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elsewhere in this prospectus. You should not rely upon forward-looking statements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k_006"/>
      <w:bookmarkEnd w:id="7"/>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the date of this prospectus. </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shd w:fill="FFFFFF" w:val="clear"/>
        <w:tblLayout w:type="fixed"/>
        <w:tblCellMar>
          <w:top w:w="0" w:type="dxa"/>
          <w:left w:w="0" w:type="dxa"/>
          <w:bottom w:w="28" w:type="dxa"/>
          <w:right w:w="0" w:type="dxa"/>
        </w:tblCellMar>
      </w:tblPr>
      <w:tblGrid>
        <w:gridCol w:w="2450"/>
        <w:gridCol w:w="60"/>
        <w:gridCol w:w="350"/>
        <w:gridCol w:w="60"/>
        <w:gridCol w:w="4880"/>
      </w:tblGrid>
      <w:tr>
        <w:trPr/>
        <w:tc>
          <w:tcPr>
            <w:tcW w:w="2450" w:type="dxa"/>
            <w:tcBorders>
              <w:bottom w:val="single" w:sz="12" w:space="0" w:color="000000"/>
            </w:tcBorders>
            <w:shd w:fill="FFFFFF" w:val="clear"/>
            <w:vAlign w:val="center"/>
          </w:tcPr>
          <w:p>
            <w:pPr>
              <w:pStyle w:val="TableContents"/>
              <w:bidi w:val="0"/>
              <w:spacing w:before="0" w:after="283"/>
              <w:jc w:val="left"/>
              <w:rPr>
                <w:b/>
                <w:sz w:val="20"/>
              </w:rPr>
            </w:pPr>
            <w:r>
              <w:rPr>
                <w:b/>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shd w:fill="FFFFFF" w:val="clear"/>
            <w:vAlign w:val="center"/>
          </w:tcPr>
          <w:p>
            <w:pPr>
              <w:pStyle w:val="TableContents"/>
              <w:bidi w:val="0"/>
              <w:spacing w:before="0" w:after="283"/>
              <w:jc w:val="center"/>
              <w:rPr>
                <w:b/>
                <w:sz w:val="20"/>
              </w:rPr>
            </w:pPr>
            <w:r>
              <w:rPr>
                <w:b/>
                <w:sz w:val="20"/>
              </w:rPr>
              <w:t>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Chairman of the Board of Directors, Chief Executive Officer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Director, Chief Marketing Officer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Hok Man Jefferson Au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Florianna Ann Chi Wan Chan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Chun Wa Tam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Lee Sze Mun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Kong Yiu Cheung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Lam Chun Tung Patrick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CCEEFF" w:val="clear"/>
            <w:tcMar>
              <w:bottom w:w="0" w:type="dxa"/>
            </w:tcMar>
            <w:vAlign w:val="center"/>
          </w:tcPr>
          <w:p>
            <w:pPr>
              <w:pStyle w:val="TableContents"/>
              <w:bidi w:val="0"/>
              <w:spacing w:before="0" w:after="283"/>
              <w:jc w:val="left"/>
              <w:rPr>
                <w:sz w:val="20"/>
              </w:rPr>
            </w:pPr>
            <w:r>
              <w:rPr>
                <w:sz w:val="20"/>
              </w:rPr>
              <w:t>Lau Tsz Hin Vincent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80"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r>
        <w:trPr/>
        <w:tc>
          <w:tcPr>
            <w:tcW w:w="2450" w:type="dxa"/>
            <w:tcBorders/>
            <w:shd w:fill="FFFFFF" w:val="clear"/>
            <w:tcMar>
              <w:bottom w:w="0" w:type="dxa"/>
            </w:tcMar>
            <w:vAlign w:val="center"/>
          </w:tcPr>
          <w:p>
            <w:pPr>
              <w:pStyle w:val="TableContents"/>
              <w:bidi w:val="0"/>
              <w:spacing w:before="0" w:after="283"/>
              <w:jc w:val="left"/>
              <w:rPr>
                <w:sz w:val="20"/>
              </w:rPr>
            </w:pPr>
            <w:r>
              <w:rPr>
                <w:sz w:val="20"/>
              </w:rPr>
              <w:t>Ho Fai Chung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sz w:val="20"/>
              </w:rPr>
            </w:pPr>
            <w:r>
              <w:rPr>
                <w:sz w:val="20"/>
              </w:rPr>
              <w:t>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80" w:type="dxa"/>
            <w:tcBorders/>
            <w:shd w:fill="FFFFFF" w:val="clear"/>
            <w:tcMar>
              <w:bottom w:w="0" w:type="dxa"/>
            </w:tcMar>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Wing Fung Alfred Siu</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NewGenIvf’s co-founder, Mr. Wing Fung Alfred Siu, has served as the Chairman of the Board and the Chief Executive Officer of NewGenIvf (before the Closing, Legacy NewGenIvf) since 2019. Prior to establishing Legacy NewGenIvf in 2019, Mr. Siu served as a director of First Fertility PGS Center Co., Ltd. since 2014. Mr. Siu received his master’s degree in science and bachelor’s degree in science from Stanford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Hei Yue Tina Fong. </w:t>
      </w:r>
      <w:r>
        <w:rPr>
          <w:rFonts w:ascii="Times New Roman;Times;Serif" w:hAnsi="Times New Roman;Times;Serif"/>
          <w:b w:val="false"/>
          <w:i w:val="false"/>
          <w:caps w:val="false"/>
          <w:smallCaps w:val="false"/>
          <w:sz w:val="20"/>
        </w:rPr>
        <w:t>Ms. Fong has served as a Director and the Chief Marketing Officer of NewGenIvf (before the Closing, Legacy NewGenIvf) since 2019. Prior to establishing NewGenIvf in 2019, Ms. Fong served as a director of First Fertility PGS Center Co., Ltd. since 2014. Ms. Fong received her bachelor’s degree in marketing from Indiana University.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 Fai Chung</w:t>
      </w:r>
      <w:r>
        <w:rPr>
          <w:rFonts w:ascii="Times New Roman;Times;Serif" w:hAnsi="Times New Roman;Times;Serif"/>
          <w:b w:val="false"/>
          <w:i w:val="false"/>
          <w:caps w:val="false"/>
          <w:smallCaps w:val="false"/>
          <w:sz w:val="20"/>
        </w:rPr>
        <w:t>. Mr. Chung has served as NewGenIvf’s Chief Financial Officer since October 10, 2024. Mr. Chung has over 30 years of working experience in Asia. He is a certified public accountant in the U.S. Born in Hong Kong, Mr. Chung holds a Bachelor of Law degree from University of London and a Master’s degree in Accounting and Finance from Lancaster University (UK). Mr. Chung also holds a Master’s degree in International and Public Affairs from Hong Kong University. He started his career with Price Waterhouse (“PwC”) in Hong Kong and then joined a number of companies to take up financial control as well as general management jobs in industries including fashion, office products, telecommunications/internet and advertising. He had worked and based in China, Taiwan, Singapore and Malaysia before and had extensive regional financial controlling exposure in Asia.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Hok Man Jefferson Au</w:t>
      </w:r>
      <w:r>
        <w:rPr>
          <w:rFonts w:ascii="Times New Roman;Times;Serif" w:hAnsi="Times New Roman;Times;Serif"/>
          <w:b w:val="false"/>
          <w:i w:val="false"/>
          <w:caps w:val="false"/>
          <w:smallCaps w:val="false"/>
          <w:sz w:val="20"/>
        </w:rPr>
        <w:t>. Mr. Au has served as NewGenIvf’s independent director since April 3, 2024. Mr. Au has served as the Assistant Financial Controller and the Company Secretary at Coolpoint Innonism Holding Limited since May 2017 and a director of JWMG CPA Limited, Certified Public Accountants since August 2014. He previously worked as the audit supervisor at Clement C.W. Chan &amp; Co., Certified Public Accountants from September 2010 to March 2014. Mr. Au obtained his honours diploma in accounting from Hong Kong Shue Yan University (formerly known as Hong Kong Shue Yan College) and received his Master of Science in professional accountancy from the University of London. Mr. Au is a member of the Hong Kong Institute of Certified Public Accountants and an associate of the Association of Chartered Certified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Florianna Ann Chi Wan Chan</w:t>
      </w:r>
      <w:r>
        <w:rPr>
          <w:rFonts w:ascii="Times New Roman;Times;Serif" w:hAnsi="Times New Roman;Times;Serif"/>
          <w:b w:val="false"/>
          <w:i w:val="false"/>
          <w:caps w:val="false"/>
          <w:smallCaps w:val="false"/>
          <w:sz w:val="20"/>
        </w:rPr>
        <w:t xml:space="preserve"> has served as NewGenIVF’s independent director since April 15, 2025. Ms Chan has over 20 years of experience in project management, real estate development, and luxury hospitality, she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Tam Chun Wa</w:t>
      </w:r>
      <w:r>
        <w:rPr>
          <w:rFonts w:ascii="Times New Roman;Times;Serif" w:hAnsi="Times New Roman;Times;Serif"/>
          <w:b w:val="false"/>
          <w:i w:val="false"/>
          <w:caps w:val="false"/>
          <w:smallCaps w:val="false"/>
          <w:sz w:val="20"/>
        </w:rPr>
        <w:t>. Mr. Tam has served as NewGenIvf’s independent director since November 29, 2024. Mr. Tam is currently the chief financial officer, the company secretary, and the authorised representative of China Asia Valley Group Limited since December 2023. Mr. Tam was appointed as an independent non-executive director of Green Energy Group Limited on 24 August 2011. Mr. Tam was also the chief financial officer, the company secretary and the authorised representative of Perfect Group International Holdings Limited from February 2017 to November 2023. The shares of these three companies are listed on the Main Board of the Stock Exchange with stock codes 63, 979 and 3326 respectively. He was the executive director of Chinasing Investment Holdings Limited from February 2009 to August 2015, a company whose shares were listed on the Main Board of Singapore Exchange Limited. Mr. Tam obtained a Master degree of Business Administration from the University of Sydney. Mr. Tam is also a member of Hong Kong Institute of Certified Public Accountants, CPA (Australia) and Institute of Singapore Chartered Accountants. Mr. Tam has more than 30 years in the areas of auditing, accounting, tax, investment banking and company secretarial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Lee Sze Mun. </w:t>
      </w:r>
      <w:r>
        <w:rPr>
          <w:rFonts w:ascii="Times New Roman;Times;Serif" w:hAnsi="Times New Roman;Times;Serif"/>
          <w:b w:val="false"/>
          <w:i w:val="false"/>
          <w:caps w:val="false"/>
          <w:smallCaps w:val="false"/>
          <w:sz w:val="20"/>
        </w:rPr>
        <w:t>Ms. Lee has served as an independent director of NewGenIvf since June 1, 2026. With over 22 years of experience in financial accounting, taxation, and group consolidation, she is a Fellow Member of ACCA (FCCA) and holds a BA (Hons) in Accounting and Finance from Leeds Beckett University (formerly Leeds Metropolitan University). Ms. Lee currently serves as Assistant Manager (Finance Control) at a statutory body responsible for regulating and overseeing retirement schemes. Her previous experience includes senior finance roles at a construction company that primarily undertakes government projects, as well as at a German-based multinational shipowner. She also brings audit assurance experience gained from working at a registered CPA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 Tsz Hin Vincent. </w:t>
      </w:r>
      <w:r>
        <w:rPr>
          <w:rFonts w:ascii="Times New Roman;Times;Serif" w:hAnsi="Times New Roman;Times;Serif"/>
          <w:b w:val="false"/>
          <w:i w:val="false"/>
          <w:caps w:val="false"/>
          <w:smallCaps w:val="false"/>
          <w:sz w:val="20"/>
        </w:rPr>
        <w:t>Mr. Lau has served as NewGenIvf’s independent director since June 8, 2026. Since 2025, he has served as Co-Founder and Chief Operating Officer of K25.ai. From 2024 to 2025, he served as Vice President, Business Strategy Office at OSL Group. From 2019 to 2023, he served at OKEx, Bitfinex and Digital Vision Brands. Mr. Lau holds a Bachelor of Business Administration.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Lam Chun Tung Patrick. </w:t>
      </w:r>
      <w:r>
        <w:rPr>
          <w:rFonts w:ascii="Times New Roman;Times;Serif" w:hAnsi="Times New Roman;Times;Serif"/>
          <w:b w:val="false"/>
          <w:i w:val="false"/>
          <w:caps w:val="false"/>
          <w:smallCaps w:val="false"/>
          <w:sz w:val="20"/>
        </w:rPr>
        <w:t>Mr. Lam has served as NewGenIvf’s independent director since June 8, 2026. Since 2025, he has served as Co-Founder and Chief Strategy Officer of K25.ai. From 2023 to 2025, he served as a Quantitative Trader at Keyrock S.A. From 2020 to 2022, he served at HKEX across listed issuer regulation, strategy and data governance. Mr. Lam holds a Bachelor of Science in Risk Management and Business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Andy Cheung (Cheung Kong Yiu).</w:t>
      </w:r>
      <w:r>
        <w:rPr>
          <w:rFonts w:ascii="Times New Roman;Times;Serif" w:hAnsi="Times New Roman;Times;Serif"/>
          <w:b w:val="false"/>
          <w:i w:val="false"/>
          <w:caps w:val="false"/>
          <w:smallCaps w:val="false"/>
          <w:sz w:val="20"/>
        </w:rPr>
        <w:t> Mr. Cheung has served as NewGenIvf’s independent director since June 8, 2026. Since 2024, he has served as Founder and Chief Executive Officer of K25.ai. From 2025 to 2026, he served as a Board Member of Prenetics Global Limited. From 2017 to 2020, he served as Chief Operating Officer of OKEx. Earlier in his career, he held senior leadership roles at iClick Interactive and Groupon. Mr. Cheung holds a Bachelor of Information Technology.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and serve at the discretion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Wing Fung Alfred Siu and Ms. Hei Yue Tina Fong are husband and wife. Other than as disclosed in this prospectus, none of the directors or executive officers has a family relationship as defined in Item 401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none of our directors or executive officers has, during the past ten years, been involved in any legal proceedings described in subparagraph (f) of Item 401 of Regulation S-K. Our directors and officers have not been involved in any transactions with us or any of our affiliates or associates which are required to be disclosed pursuant to the rules and regulations of the SEC.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compensation, including base salary, discretionary bonus, equity compensation, contractual benefits and contributions to defined contribution plans, which was paid, earned and/or accrued during the fiscal years ended December 31, 2024 and 2023, for each of the officers and directors.</w:t>
      </w:r>
    </w:p>
    <w:p>
      <w:pPr>
        <w:pStyle w:val="TextBody"/>
        <w:bidi w:val="0"/>
        <w:spacing w:before="0" w:after="0"/>
        <w:ind w:left="0" w:right="0" w:hanging="0"/>
        <w:jc w:val="left"/>
        <w:rPr>
          <w:caps w:val="false"/>
          <w:smallCaps w:val="false"/>
        </w:rPr>
      </w:pPr>
      <w:r>
        <w:rPr>
          <w:caps w:val="false"/>
          <w:smallCaps w:val="false"/>
        </w:rPr>
        <w:t> </w:t>
      </w:r>
    </w:p>
    <w:tbl>
      <w:tblPr>
        <w:tblW w:w="5400" w:type="dxa"/>
        <w:jc w:val="left"/>
        <w:tblInd w:w="0" w:type="dxa"/>
        <w:tblLayout w:type="fixed"/>
        <w:tblCellMar>
          <w:top w:w="0" w:type="dxa"/>
          <w:left w:w="0" w:type="dxa"/>
          <w:bottom w:w="28" w:type="dxa"/>
          <w:right w:w="0" w:type="dxa"/>
        </w:tblCellMar>
      </w:tblPr>
      <w:tblGrid>
        <w:gridCol w:w="2165"/>
        <w:gridCol w:w="60"/>
        <w:gridCol w:w="221"/>
        <w:gridCol w:w="1269"/>
        <w:gridCol w:w="60"/>
        <w:gridCol w:w="60"/>
        <w:gridCol w:w="221"/>
        <w:gridCol w:w="1269"/>
        <w:gridCol w:w="75"/>
      </w:tblGrid>
      <w:tr>
        <w:trPr/>
        <w:tc>
          <w:tcPr>
            <w:tcW w:w="216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2024</w:t>
              <w:br/>
              <w:t>Compensation</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2025</w:t>
              <w:br/>
              <w:t>Compensation</w:t>
              <w:br/>
              <w:t>US$</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Directors and Officers</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Wing Fung Alfred Siu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325,000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left"/>
              <w:rPr/>
            </w:pPr>
            <w:r>
              <w:rPr/>
              <w:t>Hei Yue Tina Fong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shd w:fill="FFFFFF" w:val="clear"/>
            <w:vAlign w:val="center"/>
          </w:tcPr>
          <w:p>
            <w:pPr>
              <w:pStyle w:val="TableContents"/>
              <w:bidi w:val="0"/>
              <w:spacing w:before="0" w:after="283"/>
              <w:jc w:val="left"/>
              <w:rPr/>
            </w:pPr>
            <w:r>
              <w:rPr/>
              <w:t> </w:t>
            </w:r>
          </w:p>
        </w:tc>
        <w:tc>
          <w:tcPr>
            <w:tcW w:w="1269" w:type="dxa"/>
            <w:tcBorders>
              <w:bottom w:val="single" w:sz="12" w:space="0" w:color="000000"/>
            </w:tcBorders>
            <w:shd w:fill="FFFFFF" w:val="clear"/>
            <w:vAlign w:val="center"/>
          </w:tcPr>
          <w:p>
            <w:pPr>
              <w:pStyle w:val="TableContents"/>
              <w:bidi w:val="0"/>
              <w:spacing w:before="0" w:after="283"/>
              <w:jc w:val="right"/>
              <w:rPr/>
            </w:pPr>
            <w:r>
              <w:rPr/>
              <w:t>190,000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shd w:fill="FFFFFF" w:val="clear"/>
            <w:vAlign w:val="center"/>
          </w:tcPr>
          <w:p>
            <w:pPr>
              <w:pStyle w:val="TableContents"/>
              <w:bidi w:val="0"/>
              <w:spacing w:before="0" w:after="283"/>
              <w:jc w:val="left"/>
              <w:rPr/>
            </w:pPr>
            <w:r>
              <w:rPr/>
              <w:t> </w:t>
            </w:r>
          </w:p>
        </w:tc>
        <w:tc>
          <w:tcPr>
            <w:tcW w:w="1269" w:type="dxa"/>
            <w:tcBorders>
              <w:bottom w:val="single" w:sz="12" w:space="0" w:color="000000"/>
            </w:tcBorders>
            <w:shd w:fill="FFFFFF" w:val="clear"/>
            <w:vAlign w:val="center"/>
          </w:tcPr>
          <w:p>
            <w:pPr>
              <w:pStyle w:val="TableContents"/>
              <w:bidi w:val="0"/>
              <w:spacing w:before="0" w:after="283"/>
              <w:jc w:val="right"/>
              <w:rPr/>
            </w:pPr>
            <w:r>
              <w:rPr/>
              <w:t>325,000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69" w:type="dxa"/>
            <w:tcBorders>
              <w:bottom w:val="double" w:sz="10" w:space="0" w:color="000000"/>
            </w:tcBorders>
            <w:shd w:fill="CCEEFF" w:val="clear"/>
            <w:vAlign w:val="center"/>
          </w:tcPr>
          <w:p>
            <w:pPr>
              <w:pStyle w:val="TableContents"/>
              <w:bidi w:val="0"/>
              <w:spacing w:before="0" w:after="283"/>
              <w:jc w:val="right"/>
              <w:rPr>
                <w:b/>
              </w:rPr>
            </w:pPr>
            <w:r>
              <w:rPr>
                <w:b/>
              </w:rPr>
              <w:t>380,000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69" w:type="dxa"/>
            <w:tcBorders>
              <w:bottom w:val="double" w:sz="10" w:space="0" w:color="000000"/>
            </w:tcBorders>
            <w:shd w:fill="CCEEFF" w:val="clear"/>
            <w:vAlign w:val="center"/>
          </w:tcPr>
          <w:p>
            <w:pPr>
              <w:pStyle w:val="TableContents"/>
              <w:bidi w:val="0"/>
              <w:spacing w:before="0" w:after="283"/>
              <w:jc w:val="right"/>
              <w:rPr>
                <w:b/>
              </w:rPr>
            </w:pPr>
            <w:r>
              <w:rPr>
                <w:b/>
              </w:rPr>
              <w:t>650,000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Board: an audit committee (“Audit Committee”), a Compensation Committee (“Compensation Committee”) and a nominating and corporate governance committee (“Nominating and Corporate Governance Committee). We have adopted a charter for each of the three committees. Each committee’s members and functions are described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Mr. Hok Man Jefferson Au (Chairman of Audit Committee), Ms, Florianna Ann Chi Wan Chan, and Mr. Tam Chun Wa. We have determined that all of these individuals satisfy the “independence” requirements of NASDAQ Rule 5605 and Rule 10A-3 under the Exchange Act. Our Board has determined that Mr. Hok Man Jefferson Au qualifies as an audit committee financial expert and has the accounting or financial management expertise as required under Item 407(d)(5)(ii) and (iii) of Regulation S-K. The audit committee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establishing clear hiring policies for employees or former employees of the independent auditors;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to the Board for approval, the appointment, reappointment or removal of the independent auditor, after considering its annual performance evaluation of the independent auditor;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approving the remuneration and terms of engagement of the independent auditor and pre-approving all auditing and non-auditing services permitted to be performed by the Company’s independent auditors at least annually;</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obtaining a written report from the Company’s independent auditor describing matters relating to its independence and quality control procedures;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with the independent registered public accounting firm any audit problems or difficulties and management’s response;</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with the Company’s independent auditor, among other things, the audits of the financial statements, including whether any material information should be disclosed, in addition to issues regarding accounting and auditing principles and practices;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approving all proposed related party transactions, as defined in Item 404 of Regulation S-K under the Securities Act;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and recommending the financial statements for inclusion within the Company’s quarterly earnings releases and to the Board for inclusion in its annual reports;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discussing the annual audited financial statements with management and the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reviewing policies with respect to risk assessment and risk management;</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the adequacy and effectiveness of the Company’s accounting and internal control policies and procedures and any special steps taken to monitor and control major financial risk exposures;</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periodically reviewing and reassessing the adequacy of the committee charter;</w:t>
            </w:r>
          </w:p>
        </w:tc>
      </w:tr>
    </w:tbl>
    <w:p>
      <w:pPr>
        <w:pStyle w:val="TextBody"/>
        <w:shd w:fill="FFFFFF" w:val="clear"/>
        <w:bidi w:val="0"/>
        <w:spacing w:before="0" w:after="0"/>
        <w:ind w:left="960" w:right="0" w:hanging="48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70"/>
        <w:gridCol w:w="9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sz w:val="20"/>
              </w:rPr>
            </w:pPr>
            <w:r>
              <w:rPr>
                <w:sz w:val="20"/>
              </w:rPr>
              <w:t>approving annual audit plans, and undertaking an annual performance evaluation of the internal audit function;</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sz w:val="20"/>
              </w:rPr>
            </w:pPr>
            <w:r>
              <w:rPr>
                <w:sz w:val="20"/>
              </w:rPr>
              <w:t>establishing and overseeing procedures for the handling of complaints and whistleblowing;</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meeting separately and periodically with management, the internal auditors and the independent registered public accounting firm;</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monitoring compliance with the Company’s code of business conduct and ethics, including reviewing the adequacy and effectiveness of its procedures to ensure proper compliance;</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such other matters that are specifically delegated to the Company’s Audit Committee by the Board from time to time.</w:t>
            </w:r>
          </w:p>
        </w:tc>
      </w:tr>
    </w:tbl>
    <w:p>
      <w:pPr>
        <w:pStyle w:val="TextBody"/>
        <w:shd w:fill="FFFFFF" w:val="clear"/>
        <w:bidi w:val="0"/>
        <w:spacing w:before="0" w:after="0"/>
        <w:ind w:left="9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audit committee’s current charter is available at our corporate website at www.newgenivf.com. </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(“Compensation Committee”) consists of Mr. Wing Fung Alfred Siu, Ms. Hei Yue Tina Fong, and Ms Florianna Ann Chi Wan Chan. The Chairman of the Compensation Committee is Mr. Siu. The Company has determined that Ms. Chan satisfies the “independence” requirements of Rule 5605(c)(2) of the Nasdaq Stock Market Listing Rules. The Compensation Committee assists the Board in reviewing and approving compensation structure, including all forms of compensation relating to the Company’s directors and executive officers. The Company’s Chief Executive Officer may not be present at any committee meeting during which their compensation is deliberated upon. The Compensation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reviewing and evaluating the Company’s executive compensation and benefits policies generally;</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sz w:val="20"/>
              </w:rPr>
            </w:pPr>
            <w:r>
              <w:rPr>
                <w:sz w:val="20"/>
              </w:rPr>
              <w:t>reviewing and recommending any incentive compensation or equity plans, programs or other similar arrangements;</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sz w:val="20"/>
              </w:rPr>
            </w:pPr>
            <w:r>
              <w:rPr>
                <w:sz w:val="20"/>
              </w:rPr>
              <w:t>periodically reviewing and reassessing the adequacy of the Compensation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sz w:val="20"/>
              </w:rPr>
            </w:pPr>
            <w:r>
              <w:rPr>
                <w:sz w:val="20"/>
              </w:rPr>
              <w:t>reporting periodically to the Board;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such other matters that are specifically delegated to the Compensation Committee by the Board from time to time.</w:t>
            </w:r>
          </w:p>
        </w:tc>
      </w:tr>
    </w:tbl>
    <w:p>
      <w:pPr>
        <w:pStyle w:val="TextBody"/>
        <w:shd w:fill="FFFFFF" w:val="clear"/>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Compensation Committee’s current charter is available at our corporate website at: www.newgenivf.com.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The Company’s Nominating and Corporate Governance Committee consist of Mr. Wing Fung Alfred Siu, Ms. Hei Yue Tina Fong, and Mr. Hok Man Jefferson Au. The Chairman of the Nominating and Corporate Governance Committee is Mr. Siu. The Company has determined that Mr. Au satisfies the “independence” requirements of Rule 5605(c)(2) of the Nasdaq Stock Market Listing Rules. The Nominating and Corporate Governance Committee assists the Board of Directors in selecting individuals qualified to become the Company’s directors and in determining the composition of the Board of Directors and its committees. The Nominating and Corporate Governance Committee is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nominees to the Board for election or re-election to the Board, or for appointment to fill any vacancy or newly created directorships on the Board;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reviewing periodically with the Board the current composition of the Board with regards to characteristics such as judgment, experience, expertise, diversity and background;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of criteria with respect to nomination or appointment of members of its Board of Directors and chairs and members of its committees or other corporate governance matters as may be required pursuant to any SEC or Nasdaq Stock Market Listing Rules, or otherwise considered desirable and appropriate;</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recommending to the Board the names of directors to serve as members of the Audit Committee and the Compensation Committee, as well as of the Nominating and Corporate Governance Committee itself;</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sz w:val="20"/>
              </w:rPr>
            </w:pPr>
            <w:r>
              <w:rPr>
                <w:sz w:val="20"/>
              </w:rPr>
              <w:t>periodically and reassessing the adequacy of the committee charter;</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sz w:val="20"/>
              </w:rPr>
            </w:pPr>
            <w:r>
              <w:rPr>
                <w:sz w:val="20"/>
              </w:rPr>
              <w:t>overseeing compliance with the corporate governance guidelines and code of business conduct and ethics;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sz w:val="20"/>
              </w:rPr>
            </w:pPr>
            <w:r>
              <w:rPr>
                <w:sz w:val="20"/>
              </w:rPr>
              <w:t>overseeing and leading the self-evaluation of the Board in its performance and</w:t>
            </w:r>
          </w:p>
        </w:tc>
      </w:tr>
    </w:tbl>
    <w:p>
      <w:pPr>
        <w:pStyle w:val="TextBody"/>
        <w:shd w:fill="FFFFFF" w:val="clear"/>
        <w:bidi w:val="0"/>
        <w:spacing w:before="0" w:after="0"/>
        <w:ind w:left="960" w:right="0" w:hanging="36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70"/>
        <w:gridCol w:w="2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sz w:val="20"/>
              </w:rPr>
            </w:pPr>
            <w:r>
              <w:rPr>
                <w:sz w:val="20"/>
              </w:rPr>
              <w:t>effectiveness as a whole.</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Nominating and Corporate Governance Committee’s current charter is available at our corporate website at www.newgenivf.com.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Duties and Functions of Directors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British Virgin Islands, the Company’s directors owe fiduciary duties to the Company, including duty to act honestly and in good faith in what the directors believe to be in the best interests of the company, duty to exercise powers for a proper purpose and directors shall not act, or agree to act, in a matter that contravenes the BVI Act or the Memorandum and Articles of Association, duty to exercise the care, diligence and skill that a reasonable director would exercise in the circumstances, and duty to avoid conflicts of interest. In fulfilling their duty of care to the Company, the Company’s directors must ensure compliance with the Company’s Memorandum and Articles of Association, as amended and restated from time to time. The Company has the right to seek damages if a duty owed by its directors is breached. In limited exceptional circumstances, a shareholder may have the right to seek damages in the Company’s name if a duty owed by the Company’s directors is breached. The functions and powers of the Board include, among other things, (i) convening shareholder meetings at such times and in such manner and places as the director considers necessary or desirable, (ii) declaring dividends, (iii) appointing directors or officers and determining their terms of offices and responsibilities, and (iv) approving the transfer of shares of the Company, including the registering of such shares in the Company’s share register.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are elected by and serve at the discretion of the Board. Each director holds office for the term fixed by the resolution of shareholders or the resolution of directors appointing him until such time as his successor takes office or until the earlier of his death, resignation or removal from office by resolution of directors with or without cause or be removed by the shareholders for cause only by a resolution approved at a duly convened and constituted meeting of the shareholders of the Company by the affirmative vote of not less than 75% of the votes of the shares entitled to vote thereon which were present at the meeting and were voted. The directors may at any time appoint any person to be a director either to fill a vacancy or as an addition to the existing directors. Where the directors appoint a person as director to fill a vacancy, the term shall not exceed the term that remained when the person who has ceased to be a director ceased to hold office. A vacancy in relation to directors occurs if a director dies or otherwise ceases to hold office prior to the expiration of his term of office.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requirements for Audit Committee approval under applicable laws or applicable Nasdaq Stock Market Listing Rules, vote on a matter relating to the transaction in which he or she is interested, provided that the interest of any directors in such transaction is disclosed by him or her to all other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Agreements </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director agreements with our directors, which require us to maintain director and officer liability insurance for our directors, provide reimbursements for business related travel and accommodation and other reasonable expenses, and an annual remuneration of between $20,000 to $25,000 for our independent directors, and a total of $380,000 and $1.76m for both of our executive directors in the years of 2024 and 2025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87 full-time employees as of December 31, 2025, of which 72 are based in Thailand, Cambodia and Kyrgyzstan. NewGenIvf aims to attract and retain employees with the skills, and experience necessary to implement its growth strategy. The following table sets forth the number of its employees in Thailand, Cambodia and Kyrgyzstan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4254" w:type="dxa"/>
        <w:jc w:val="left"/>
        <w:tblInd w:w="0" w:type="dxa"/>
        <w:tblLayout w:type="fixed"/>
        <w:tblCellMar>
          <w:top w:w="0" w:type="dxa"/>
          <w:left w:w="0" w:type="dxa"/>
          <w:bottom w:w="28" w:type="dxa"/>
          <w:right w:w="0" w:type="dxa"/>
        </w:tblCellMar>
      </w:tblPr>
      <w:tblGrid>
        <w:gridCol w:w="2930"/>
        <w:gridCol w:w="60"/>
        <w:gridCol w:w="222"/>
        <w:gridCol w:w="967"/>
        <w:gridCol w:w="75"/>
      </w:tblGrid>
      <w:tr>
        <w:trPr/>
        <w:tc>
          <w:tcPr>
            <w:tcW w:w="2930" w:type="dxa"/>
            <w:tcBorders>
              <w:bottom w:val="single" w:sz="12" w:space="0" w:color="000000"/>
            </w:tcBorders>
            <w:vAlign w:val="center"/>
          </w:tcPr>
          <w:p>
            <w:pPr>
              <w:pStyle w:val="TableContents"/>
              <w:bidi w:val="0"/>
              <w:spacing w:before="0" w:after="283"/>
              <w:jc w:val="both"/>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employees</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tcMar>
              <w:bottom w:w="0" w:type="dxa"/>
            </w:tcMar>
            <w:vAlign w:val="center"/>
          </w:tcPr>
          <w:p>
            <w:pPr>
              <w:pStyle w:val="TableContents"/>
              <w:bidi w:val="0"/>
              <w:spacing w:before="0" w:after="283"/>
              <w:jc w:val="both"/>
              <w:rPr>
                <w:b/>
              </w:rPr>
            </w:pPr>
            <w:r>
              <w:rPr>
                <w:b/>
              </w:rPr>
              <w:t>Thailand</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Medical professionals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pPr>
            <w:r>
              <w:rPr/>
              <w:t>Administrative staff and others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FFFFFF" w:val="clear"/>
            <w:vAlign w:val="center"/>
          </w:tcPr>
          <w:p>
            <w:pPr>
              <w:pStyle w:val="TableContents"/>
              <w:bidi w:val="0"/>
              <w:spacing w:before="0" w:after="283"/>
              <w:jc w:val="left"/>
              <w:rPr/>
            </w:pPr>
            <w:r>
              <w:rPr/>
              <w:t> </w:t>
            </w:r>
          </w:p>
        </w:tc>
        <w:tc>
          <w:tcPr>
            <w:tcW w:w="967" w:type="dxa"/>
            <w:tcBorders>
              <w:bottom w:val="single" w:sz="12" w:space="0" w:color="000000"/>
            </w:tcBorders>
            <w:shd w:fill="FFFFFF" w:val="clear"/>
            <w:vAlign w:val="center"/>
          </w:tcPr>
          <w:p>
            <w:pPr>
              <w:pStyle w:val="TableContents"/>
              <w:bidi w:val="0"/>
              <w:spacing w:before="0" w:after="283"/>
              <w:jc w:val="right"/>
              <w:rPr/>
            </w:pPr>
            <w:r>
              <w:rPr/>
              <w:t>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Sub-total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pPr>
            <w:r>
              <w:rPr/>
              <w:t>Administrative staff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CCEEFF" w:val="clear"/>
            <w:vAlign w:val="center"/>
          </w:tcPr>
          <w:p>
            <w:pPr>
              <w:pStyle w:val="TableContents"/>
              <w:bidi w:val="0"/>
              <w:spacing w:before="0" w:after="283"/>
              <w:jc w:val="left"/>
              <w:rPr/>
            </w:pPr>
            <w:r>
              <w:rPr/>
              <w:t> </w:t>
            </w:r>
          </w:p>
        </w:tc>
        <w:tc>
          <w:tcPr>
            <w:tcW w:w="967" w:type="dxa"/>
            <w:tcBorders>
              <w:bottom w:val="single" w:sz="12" w:space="0" w:color="000000"/>
            </w:tcBorders>
            <w:shd w:fill="CCEEFF" w:val="clear"/>
            <w:vAlign w:val="center"/>
          </w:tcPr>
          <w:p>
            <w:pPr>
              <w:pStyle w:val="TableContents"/>
              <w:bidi w:val="0"/>
              <w:spacing w:before="0" w:after="283"/>
              <w:jc w:val="right"/>
              <w:rPr/>
            </w:pPr>
            <w:r>
              <w:rPr/>
              <w:t>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double" w:sz="10" w:space="0" w:color="000000"/>
            </w:tcBorders>
            <w:shd w:fill="FFFFFF" w:val="clear"/>
            <w:vAlign w:val="center"/>
          </w:tcPr>
          <w:p>
            <w:pPr>
              <w:pStyle w:val="TableContents"/>
              <w:bidi w:val="0"/>
              <w:spacing w:before="0" w:after="283"/>
              <w:jc w:val="left"/>
              <w:rPr/>
            </w:pPr>
            <w:r>
              <w:rPr/>
              <w:t> </w:t>
            </w:r>
          </w:p>
        </w:tc>
        <w:tc>
          <w:tcPr>
            <w:tcW w:w="967" w:type="dxa"/>
            <w:tcBorders>
              <w:bottom w:val="double" w:sz="10" w:space="0" w:color="000000"/>
            </w:tcBorders>
            <w:shd w:fill="FFFFFF" w:val="clear"/>
            <w:vAlign w:val="center"/>
          </w:tcPr>
          <w:p>
            <w:pPr>
              <w:pStyle w:val="TableContents"/>
              <w:bidi w:val="0"/>
              <w:spacing w:before="0" w:after="283"/>
              <w:jc w:val="right"/>
              <w:rPr>
                <w:b/>
              </w:rPr>
            </w:pPr>
            <w:r>
              <w:rPr>
                <w:b/>
              </w:rPr>
              <w:t>87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maintain a good working relationship with our employees and we have not experienced any significant labor disputes.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_007"/>
      <w:bookmarkEnd w:id="8"/>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related parties of the Company is as follows:</w:t>
      </w:r>
    </w:p>
    <w:p>
      <w:pPr>
        <w:pStyle w:val="TextBody"/>
        <w:bidi w:val="0"/>
        <w:spacing w:before="0" w:after="0"/>
        <w:ind w:left="0" w:right="0" w:firstLine="72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4625"/>
        <w:gridCol w:w="60"/>
        <w:gridCol w:w="218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Relationship</w:t>
            </w:r>
          </w:p>
        </w:tc>
      </w:tr>
      <w:tr>
        <w:trPr/>
        <w:tc>
          <w:tcPr>
            <w:tcW w:w="4625" w:type="dxa"/>
            <w:tcBorders/>
            <w:shd w:fill="CCEEFF" w:val="clear"/>
            <w:vAlign w:val="center"/>
          </w:tcPr>
          <w:p>
            <w:pPr>
              <w:pStyle w:val="TableContents"/>
              <w:bidi w:val="0"/>
              <w:spacing w:before="0" w:after="283"/>
              <w:jc w:val="left"/>
              <w:rPr>
                <w:sz w:val="20"/>
              </w:rPr>
            </w:pPr>
            <w:r>
              <w:rPr>
                <w:sz w:val="20"/>
              </w:rPr>
              <w:t>Mr. Siu, Wing Fung Alfred and Ms. Fong, Hei Yue Tina*</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left"/>
              <w:rPr>
                <w:sz w:val="20"/>
              </w:rPr>
            </w:pPr>
            <w:r>
              <w:rPr>
                <w:sz w:val="20"/>
              </w:rPr>
              <w:t>Shareholders and directors</w:t>
            </w:r>
          </w:p>
        </w:tc>
      </w:tr>
      <w:tr>
        <w:trPr/>
        <w:tc>
          <w:tcPr>
            <w:tcW w:w="4625" w:type="dxa"/>
            <w:tcBorders/>
            <w:shd w:fill="FFFFFF" w:val="clear"/>
            <w:vAlign w:val="center"/>
          </w:tcPr>
          <w:p>
            <w:pPr>
              <w:pStyle w:val="TableContents"/>
              <w:bidi w:val="0"/>
              <w:spacing w:before="0" w:after="283"/>
              <w:jc w:val="left"/>
              <w:rPr>
                <w:sz w:val="20"/>
              </w:rPr>
            </w:pPr>
            <w:r>
              <w:rPr>
                <w:sz w:val="20"/>
              </w:rPr>
              <w:t>Harcourt Limited  </w:t>
            </w:r>
          </w:p>
        </w:tc>
        <w:tc>
          <w:tcPr>
            <w:tcW w:w="60" w:type="dxa"/>
            <w:tcBorders/>
            <w:shd w:fill="FFFFFF" w:val="clear"/>
            <w:vAlign w:val="center"/>
          </w:tcPr>
          <w:p>
            <w:pPr>
              <w:pStyle w:val="TableContents"/>
              <w:bidi w:val="0"/>
              <w:spacing w:before="0" w:after="283"/>
              <w:jc w:val="left"/>
              <w:rPr/>
            </w:pPr>
            <w:r>
              <w:rPr/>
              <w:t> </w:t>
            </w:r>
          </w:p>
        </w:tc>
        <w:tc>
          <w:tcPr>
            <w:tcW w:w="2180" w:type="dxa"/>
            <w:tcBorders/>
            <w:shd w:fill="FFFFFF" w:val="clear"/>
            <w:vAlign w:val="center"/>
          </w:tcPr>
          <w:p>
            <w:pPr>
              <w:pStyle w:val="TableContents"/>
              <w:bidi w:val="0"/>
              <w:spacing w:before="0" w:after="283"/>
              <w:jc w:val="left"/>
              <w:rPr>
                <w:sz w:val="20"/>
              </w:rPr>
            </w:pPr>
            <w:r>
              <w:rPr>
                <w:sz w:val="20"/>
              </w:rPr>
              <w:t>Controlled by Mr. Siu</w:t>
            </w:r>
          </w:p>
        </w:tc>
      </w:tr>
      <w:tr>
        <w:trPr/>
        <w:tc>
          <w:tcPr>
            <w:tcW w:w="4625" w:type="dxa"/>
            <w:tcBorders/>
            <w:shd w:fill="CCEEFF" w:val="clear"/>
            <w:vAlign w:val="center"/>
          </w:tcPr>
          <w:p>
            <w:pPr>
              <w:pStyle w:val="TableContents"/>
              <w:bidi w:val="0"/>
              <w:spacing w:before="0" w:after="283"/>
              <w:jc w:val="left"/>
              <w:rPr>
                <w:sz w:val="20"/>
              </w:rPr>
            </w:pPr>
            <w:r>
              <w:rPr>
                <w:sz w:val="20"/>
              </w:rPr>
              <w:t>Mr. Daniel Wai To Siu</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left"/>
              <w:rPr>
                <w:sz w:val="20"/>
              </w:rPr>
            </w:pPr>
            <w:r>
              <w:rPr>
                <w:sz w:val="20"/>
              </w:rPr>
              <w:t>Mr. Siu’s son</w:t>
            </w:r>
          </w:p>
        </w:tc>
      </w:tr>
      <w:tr>
        <w:trPr/>
        <w:tc>
          <w:tcPr>
            <w:tcW w:w="4625" w:type="dxa"/>
            <w:tcBorders/>
            <w:shd w:fill="FFFFFF" w:val="clear"/>
            <w:vAlign w:val="center"/>
          </w:tcPr>
          <w:p>
            <w:pPr>
              <w:pStyle w:val="TableContents"/>
              <w:bidi w:val="0"/>
              <w:spacing w:before="0" w:after="283"/>
              <w:jc w:val="left"/>
              <w:rPr>
                <w:sz w:val="20"/>
              </w:rPr>
            </w:pPr>
            <w:r>
              <w:rPr>
                <w:sz w:val="20"/>
              </w:rPr>
              <w:t>Mr. Jaspar Siu</w:t>
            </w:r>
          </w:p>
        </w:tc>
        <w:tc>
          <w:tcPr>
            <w:tcW w:w="60" w:type="dxa"/>
            <w:tcBorders/>
            <w:shd w:fill="FFFFFF" w:val="clear"/>
            <w:vAlign w:val="center"/>
          </w:tcPr>
          <w:p>
            <w:pPr>
              <w:pStyle w:val="TableContents"/>
              <w:bidi w:val="0"/>
              <w:spacing w:before="0" w:after="283"/>
              <w:jc w:val="left"/>
              <w:rPr/>
            </w:pPr>
            <w:r>
              <w:rPr/>
              <w:t> </w:t>
            </w:r>
          </w:p>
        </w:tc>
        <w:tc>
          <w:tcPr>
            <w:tcW w:w="2180" w:type="dxa"/>
            <w:tcBorders/>
            <w:shd w:fill="FFFFFF" w:val="clear"/>
            <w:vAlign w:val="center"/>
          </w:tcPr>
          <w:p>
            <w:pPr>
              <w:pStyle w:val="TableContents"/>
              <w:bidi w:val="0"/>
              <w:spacing w:before="0" w:after="283"/>
              <w:jc w:val="left"/>
              <w:rPr>
                <w:sz w:val="20"/>
              </w:rPr>
            </w:pPr>
            <w:r>
              <w:rPr>
                <w:sz w:val="20"/>
              </w:rPr>
              <w:t>Mr. Siu’s son</w:t>
            </w:r>
          </w:p>
        </w:tc>
      </w:tr>
    </w:tbl>
    <w:p>
      <w:pPr>
        <w:pStyle w:val="TextBody"/>
        <w:bidi w:val="0"/>
        <w:spacing w:before="0" w:after="0"/>
        <w:ind w:left="0" w:right="0" w:firstLine="72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283"/>
              <w:jc w:val="left"/>
              <w:rPr>
                <w:sz w:val="20"/>
              </w:rPr>
            </w:pPr>
            <w:r>
              <w:rPr>
                <w:sz w:val="20"/>
              </w:rPr>
              <w:t>*</w:t>
            </w:r>
          </w:p>
        </w:tc>
        <w:tc>
          <w:tcPr>
            <w:tcW w:w="2735" w:type="dxa"/>
            <w:tcBorders/>
            <w:vAlign w:val="center"/>
          </w:tcPr>
          <w:p>
            <w:pPr>
              <w:pStyle w:val="TableContents"/>
              <w:bidi w:val="0"/>
              <w:spacing w:before="0" w:after="283"/>
              <w:jc w:val="both"/>
              <w:rPr>
                <w:sz w:val="20"/>
              </w:rPr>
            </w:pPr>
            <w:r>
              <w:rPr>
                <w:sz w:val="20"/>
              </w:rPr>
              <w:t>Ms. Fong is the spouse of Mr. Siu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Wing Fung Alfred Siu and Ms. Hei Yue Tina Fong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recorded remuneration to its directors, Mr. Siu and Ms. Fong. The total remuneration to Mr. Siu, Wing Fung Alfred and Ms Hei Yue Tina Fong was US$380,000 and US$1.76m (including a one-time bonus of $750,000 for maintaining Nasdaq listing status and achieving targeted share capitalization level and benefits paid) during the year ended December 31, 2024 and 2025, respectively. The remuneration during the years ended December 31, 2024 and 2025 was all in the nature of the fair value of the services provided by Mr. Siu and Ms. Fong.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Harcourt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NewGenIvf entered into a service agreement with Harcourt Limited, which is controlled by Mr Siu and Ms Fong, and paid a total of $230,772 as administrative support fee. This service agreement was duly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with Mr. Daniel Siu and Mr. Jaspar Siu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Mr. Daniel Siu and Mr. Jaspar Siu provided consulting services for NewGenIvf with respect to fund raising and other capital activities, and received a total of $219,045 and $65,000 respectively.</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_008"/>
      <w:bookmarkEnd w:id="9"/>
      <w:r>
        <w:rPr>
          <w:rFonts w:ascii="Times New Roman;Times;Serif" w:hAnsi="Times New Roman;Times;Serif"/>
          <w:b/>
          <w:i w:val="false"/>
          <w:caps w:val="false"/>
          <w:smallCaps w:val="false"/>
          <w:sz w:val="20"/>
        </w:rPr>
        <w:t>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currently trade on Nasdaq under the symbol “NIVF.” As of the date of this prospectus, our only listed class of securities are our Class A Ordinary Shares. All of our Class A Ordinary Shares, including those to be offered in the Best Efforts Offering pursuant to this prospectus, have the same rights and privileges. For more information, see “</w:t>
      </w:r>
      <w:r>
        <w:rPr>
          <w:rFonts w:ascii="Times New Roman;Times;Serif" w:hAnsi="Times New Roman;Times;Serif"/>
          <w:b w:val="false"/>
          <w:i/>
          <w:caps w:val="false"/>
          <w:smallCaps w:val="false"/>
          <w:sz w:val="20"/>
        </w:rPr>
        <w:t>Description of Share Capital—Ordinary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k_009"/>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 assumed offering price of $[●] per Unit (the last reported sale price rounded to the nearest whole cent of our ordinary shares as reported on the Nasdaq Capital Market on [●], 2026), we estimate that we will receive gross proceeds from this offering of approximately $[●], and net proceeds of approximately $[●], after deducting placement agent fees and estimated offering expenses of approximately $[●] payable by us. However, because this is a best-efforts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investment in K25.ai, restructuring of debt securities, working capital, including manufacturing and deployment of Nodexus machines in cell sorting business, and other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must rely on the judgment of our management, who will have broad discretion regarding the application of the remaining net proceeds of this offering after repayment of our outstanding debt obligations. The amounts and timing of our actual expenditures will depend upon numerous factors, including market conditions, cash generated by our operations (if any), business developments and the rate of our growth. We may find it necessary or advisable to use portions of the proceeds of this offering for other purposes. Pending these uses, we intend to invest the net proceeds of this offering in a money market or other interest-bearing account.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k_010"/>
      <w:bookmarkEnd w:id="11"/>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or paid any cash dividend on our Class A Ordinary Shares as of the date of this prospectus. We currently intend to retain any future earnings and do not expect to pay any dividends in the near future. Any further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k_011"/>
      <w:bookmarkEnd w:id="12"/>
      <w:r>
        <w:rPr>
          <w:rFonts w:ascii="Times New Roman;Times;Serif" w:hAnsi="Times New Roman;Times;Serif"/>
          <w:b/>
          <w:i w:val="false"/>
          <w:caps w:val="false"/>
          <w:smallCaps w:val="false"/>
          <w:sz w:val="20"/>
        </w:rPr>
        <w:t>CAPITALIZATION AND INDEBTEDNESS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Company’s capitalization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2585"/>
        <w:gridCol w:w="60"/>
        <w:gridCol w:w="60"/>
        <w:gridCol w:w="110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758,621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17,881,176</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8,105,517</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25,986,693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indebtedness as of December 31, 2025</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575"/>
        <w:gridCol w:w="60"/>
        <w:gridCol w:w="60"/>
        <w:gridCol w:w="980"/>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Account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779,280</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711,892</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111,981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238,105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256,056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262,616</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2,366,351</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Lease liabilities,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272,359</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4,369,725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Total Indebtedness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6,736,076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&amp; EARNING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presented as of December 31, 2025:</w:t>
      </w:r>
    </w:p>
    <w:p>
      <w:pPr>
        <w:pStyle w:val="TextBody"/>
        <w:bidi w:val="0"/>
        <w:spacing w:before="0" w:after="0"/>
        <w:ind w:left="72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235"/>
        <w:gridCol w:w="60"/>
        <w:gridCol w:w="154"/>
        <w:gridCol w:w="1081"/>
        <w:gridCol w:w="75"/>
      </w:tblGrid>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Existing</w:t>
              <w:br/>
              <w:t>shareholder</w:t>
            </w:r>
          </w:p>
        </w:tc>
        <w:tc>
          <w:tcPr>
            <w:tcW w:w="75" w:type="dxa"/>
            <w:tcBorders/>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31/12/2025</w:t>
            </w:r>
          </w:p>
        </w:tc>
        <w:tc>
          <w:tcPr>
            <w:tcW w:w="75"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Total comprehensive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081" w:type="dxa"/>
            <w:tcBorders/>
            <w:shd w:fill="CCEEFF" w:val="clear"/>
            <w:vAlign w:val="center"/>
          </w:tcPr>
          <w:p>
            <w:pPr>
              <w:pStyle w:val="TableContents"/>
              <w:bidi w:val="0"/>
              <w:spacing w:before="0" w:after="283"/>
              <w:jc w:val="right"/>
              <w:rPr/>
            </w:pPr>
            <w:r>
              <w:rPr/>
              <w:t>9,717,462</w:t>
            </w:r>
          </w:p>
        </w:tc>
        <w:tc>
          <w:tcPr>
            <w:tcW w:w="7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Earning per share – 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644.20</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7235" w:type="dxa"/>
            <w:tcBorders/>
            <w:shd w:fill="CCEEFF" w:val="clear"/>
            <w:vAlign w:val="center"/>
          </w:tcPr>
          <w:p>
            <w:pPr>
              <w:pStyle w:val="TableContents"/>
              <w:bidi w:val="0"/>
              <w:spacing w:before="0" w:after="283"/>
              <w:jc w:val="left"/>
              <w:rPr/>
            </w:pPr>
            <w:r>
              <w:rPr/>
              <w:t>-</w:t>
              <w:tab/>
              <w:t>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9.12</w:t>
            </w:r>
          </w:p>
        </w:tc>
        <w:tc>
          <w:tcPr>
            <w:tcW w:w="75"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15,336</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7235" w:type="dxa"/>
            <w:tcBorders/>
            <w:shd w:fill="CCEEFF" w:val="clear"/>
            <w:vAlign w:val="center"/>
          </w:tcPr>
          <w:p>
            <w:pPr>
              <w:pStyle w:val="TableContents"/>
              <w:bidi w:val="0"/>
              <w:spacing w:before="0" w:after="283"/>
              <w:jc w:val="left"/>
              <w:rPr/>
            </w:pPr>
            <w:r>
              <w:rPr/>
              <w:t>-</w:t>
              <w:tab/>
              <w:t>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1,083,340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00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in March 2026 of 1 share for every 4 shares issued and in July 2026 of 1 share for every 3 shares issued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k_012"/>
      <w:bookmarkEnd w:id="13"/>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results of operations and financial condition should be read together with our consolidated financial statements and the notes thereto and other financial information, which are included elsewhere in this registration statement. Our financial statements have been prepared in accordance with U.S. generally accepted accounting principles (“U.S. GAAP”). In addition, our financial statements and the financial information included in this registration statement reflect our organizational transactions and have been prepared as if our current corporate structure had been in place throughout the relevant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contains forward-looking statements. These forward-looking statements are subject to various factors, risks and uncertainties that could cause actual results to differ materially from those reflected in these forward-looking statements. Further, as a result of these factors, risks and uncertainties, the forward-looking events may not occur. Relevant factors, risks and uncertainties include, but are not limited to, those discussed in the section entitled “Business,” “Risk Factors” and elsewhere in this registration statement. Readers are cautioned not to place undue reliance on forward-looking statements, which reflect management’s beliefs and opinions as of the date of this registration statement. We are not obligated to publicly update or revise any forward -looking statements, whether as a result of new information, future events or otherwise. See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an assisted reproductive services (“ARS”) provider in Asia Pacific. Since the establishment of its first clinic in Thailand in 2014, it has established itself as a long-standing ARS provider in the region. NewGenIvf’s mission is to assist couples and individuals across Asia Pacific, regardless of fertility challenges that they may face, to fulfil their dreams of building families and to increase their access to fertility treatments. Its strategic presence in Thailand, Cambodia, and Kyrgyzstan positions the company to take advantage of opportunities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still in the early stage of materializing its long-term objective of building a comprehensive, sophisticated and high-end ARS platform for its clients and providing personalized solutions based on NewGenIvf’s brands and client-generated services. NewGenIvf plans to offer full fertility services for fertility tourists across Asia Pacific, continue to invest in laboratories and facilities updates, increase its brand awareness and market share, as well as expand service reach through acquisitions and partnerships, which NewGenIvf believes will help expand its client base and enhance expertise attraction, and in turn strengthen NewGenIvf’s monetization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NewGenIvf’s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results of operation are principally affected by the following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ARS market in Asia-Pacific region is highly regulated. The implementation and enforcement of laws, regulations and government policies in Thailand, Cambodia, Kyrgyzstan and other applicable jurisdictions significantly impact the design, pricing and sale of fertility services and cost of compliance for clinics across Asia Pacific. Medical facilities providing fertility services generally must be filed and registered with the relevant supervision institutions and such filing and registration must be renewed periodically. Any change in laws, regulations or policies in relation to such filing or registration could affect NewGenIvf’s ability and plans to launch new services and renew registration for existing services. The regulatory framework for medical facilities and services, especially those involving ARS, is, and will continue, evolving. Any changes in the applicable regulatory frameworks in the jurisdictions where NewGenIvf operates may materially affect its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and competitive landscape of Asia Pacific’s ARS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has historically been primarily derived from clients in Asia Pacific. As such, NewGenIvf’s financial performance and future growth depend primarily on the demand for ARS, as well as changes in its competitive landscape, in Asia Pacific. Population growth, infertility rates, and demand for facility treatments in the region will ultimately determine the demand for NewGenIvf’s services. According to CIC, infertility is increasingly becoming prevalent globally, primarily driven by increasing average age of first birth, as well as various lifestyle and environmental factors. Driven by an increased infertility rate and growing demand for children without birth defects, resulting from improving living standards and improved awareness about birth defects and prevention, the global ARS market is expected to continue to grow. Furthermore, according to CIC, a growing number of governments around the world has granted legal recognition to same-sex marriages, which brings more desires for having children to form a complete family. According to CIC, because of the fertility rate and recent government incentive policies, such as the Three-child Policy of China in 2021, the ARS market increased significantly in Asia Pacific. Leveraging its status as a long-standing ARS provider in Asia Pacific, NewGenIvf expects to continue to be well positioned to capture the expected growth in the demand for ARS in the area.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NewGenIvf owns and uses MicroSort technology in Thailand and Cambodia, which is a form of pre-conception gender selection technology for humans. While NewGenIvf expects to benefit from first-mover advantages for this technology in the two regions, market entry by potential competitors or faster-than-expected development of potential competitors may affect its market position and demand for its services and cause downward pricing pressure on its treatments, which may in turn materially and adversely affect its results of operations. Meanwhile, ARS market could also be affected by the macroeconomic environment and geopolitical events. Uncertainty in the macroeconomic environment and the outbreak of US and Israel war with Iran in March 2026, resulting from a range of events and trends, including the rise in global inflation and interest rates, supply chain disruptions, geopolitical pressures, including the unknown impact of current and future trade regulations, changes in Asian-Pacific relations, fluctuation in foreign exchange rates, and associated global economic conditions may result in volatility in ARS market and NewGenIvf’s operating performance. For example, NewGenIvf derives a substantial portion of its revenue from Chinese clients and as such, its failure to maintain PRC-sourced revenues and access to new and existing clients from the PRC could materially and adversely affect its results of operations and competitive position. However, the near-term growth prospects of the PRC economy are unclear due to the uncertain effects of ongoing economic stress caused by trade and national security policies, and the elevated levels of private and public indebtedness, among others. A prolonged downturn or slow-growth in the PRC economy generally could materially and adversely affect NewGenIvf’s results of operations and there is a significant likelihood that NewGenIvf’s actual results over the time periods and under the scenarios covered by the projections would be different.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 of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costs primarily include clinic costs, cost of goods sold, selling and marketing expenses and general and administrative expenses, details of which are set out below.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Clinic costs. </w:t>
            </w:r>
            <w:r>
              <w:rPr>
                <w:sz w:val="20"/>
              </w:rPr>
              <w:t>NewGenIvf’s clinic costs primarily consisted of sub-contracting charges, office supplies and staff salaries and bonus, most of which are recognized during the provision of IVF services. Its clinic costs represented approximately 54.8% and 66.6% of its revenue for the years ended December 31, 2024 and 2025, respectively. As NewGenIvf gradually expands the scale of its operation and presence in Asia Pacific, its clinic costs is expected to increase in the foreseeable future, which will affect its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Cost of goods sold. </w:t>
            </w:r>
            <w:r>
              <w:rPr>
                <w:sz w:val="20"/>
              </w:rPr>
              <w:t>NewGenIvf’s cost of goods sold primarily consisted of purchase and direct cost for IVF treatment services and surrogacy and ancillary caring services, most of which are recognized during the provision of IVF treatment services. Its cost of goods sold represented approximately 11.6% and 13.2% of the revenue for the years ended December 31, 2024 and 2025, respectively. NewGenIvf expects its cost of goods sold to increase in the foreseeable future as it gradually grows its revenues and expand its sales network.</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Selling and marketing expenses. </w:t>
            </w:r>
            <w:r>
              <w:rPr>
                <w:sz w:val="20"/>
              </w:rPr>
              <w:t>NewGenIvf’s selling and marketing expenses primarily consisted of social media expense. Its selling and marketing expenses represented approximately 3.8% and 25.2% of its revenue for the years ended December 31, 2024 and 2025, respectively. NewGenIvf expects its selling and marketing expenses to increase as it plans to expand its sales and scale its operation in Asia-Pacific.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i/>
                <w:sz w:val="20"/>
              </w:rPr>
              <w:t>General and administrative expenses. </w:t>
            </w:r>
            <w:r>
              <w:rPr>
                <w:sz w:val="20"/>
              </w:rPr>
              <w:t>NewGenIvf’s general and administrative expenses primarily consisted of write-off of agency deposit, legal and professional fees, depreciation in operating lease right-of-use (“ROU”) assets, staff salaries and director fees. Its general and administrative expenses represented approximately 51.2% and 222.01% of its revenue for the years ended December 31, 2024 and 2025, respectively. NewGenIvf expects its general and administrative expenses to increase in line with its expansion plan.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its cost structure to evolve as it develops and expands its business. As NewGenIvf continues to develop new services and technologies, NewGenIvf expects to incur additional costs in relation to its raw materials procurement, production and sales and marketing, among other things. Moreover, to support NewGenIvf’s business growth, it expects to increase its headcount, particularly for its lab and nurse team, and incur higher staff costs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maintain trust of clients and reputation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NewGenIvf’s business will depend to a large extent on its ability to gain broad acceptance of its services from clients. Reputation is crucial in keeping existing clients and attracting new clients. NewGenIvf’s reputation depends on a number of factors, including for example the success, effectiveness, quality and pricing of its services, service offerings of its competitors, the effectiveness of its marketing efforts to drive awareness and the demand for fertility services, which eventually will affect its ability to maintain clients and attract new clients. Therefore, NewGenIvf’s success will depend to a large extent on its ability to maintain its reputation in the industry and its clients’ trust, which would affect the number of its clients and treatment cycles that will in turn affect its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medical facilities in its network are increasingly recognized among clients, for their service quality, technological expertise and patient experience. NewGenIvf also hopes to keep its clients by providing discounts in treatment services and via the “success guarantee” program for egg donation services in Cambodia and surrogacy services in Kyrgyzstan, which provides treatments to clients until a success is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increasingly recognized reputation, NewGenIvf believes that there is substantial opportunity to continue to grow its revenue through attracting new clients. NewGenIvf’s addressable market is couples who want to have children, egg freezing patients, LGBT groups and couples with genetic abnormalities, particularly those in Asia Pacific. NewGenIvf believes that its current client base represents a small percentage of its total market opportunity. NewGenIvf intends to attract new clients by, among other things, making significant investments in sales and marketing to engage, educate and drive awareness of the unmet need of fertility treatment among its potential clients and by its customer-reference discounts mechanism. Additionally, NewGenIvf believes that its expanding presence has resulted in a heightened awareness of the need to offer fertility services and the value it provides to its clients, which it believes will help facilitate its growth. In addition, NewGenIvf is continuously utilizing its established client relationships to evaluate other potential services that could benefit its clients and simultaneously drive its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traveling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revenue from international clients is a critical component of NewGenIvf’s revenue. International traveling to Thailand, Cambodia and Kyrgyzstan may be affected by a number of factors, including local and global political, economic and cultural conditions. Furthermore, an outbreak, or threatened outbreak, of any severe contagious disease may also in turn significantly reduce the demand of traveling. For example, the COVID-19 pandemic has had resulted in a number of countries declaring a state of emergency and a number of countries, including the countries in Asian Pacific, imposing extensive travel restrictions. NewGenIvf’s revenue in the year 2021 was significantly adversely affected due to the impact from COVID-19 travel restrictions. In addition, a Chinese crime thriller, </w:t>
      </w:r>
      <w:r>
        <w:rPr>
          <w:rFonts w:ascii="Times New Roman;Times;Serif" w:hAnsi="Times New Roman;Times;Serif"/>
          <w:b w:val="false"/>
          <w:i/>
          <w:caps w:val="false"/>
          <w:smallCaps w:val="false"/>
          <w:sz w:val="20"/>
        </w:rPr>
        <w:t>No More Bets</w:t>
      </w:r>
      <w:r>
        <w:rPr>
          <w:rFonts w:ascii="Times New Roman;Times;Serif" w:hAnsi="Times New Roman;Times;Serif"/>
          <w:b w:val="false"/>
          <w:i w:val="false"/>
          <w:caps w:val="false"/>
          <w:smallCaps w:val="false"/>
          <w:sz w:val="20"/>
        </w:rPr>
        <w:t>, which has grossed more than $500 million at the international box office since its August 2023 release and which tells the harrowing story of characters being lured and kidnapped into a violent scam ring in an unnamed Southeast Asian country after accepting lucrative overseas job offers, and the continuing social media coverage may have brought fears and safety concerns to Chinese tourists of being scammed and kidnapped in Thailand and Cambodia. In addition, in October 2023, a 14-year-old with a gun opened fire in a luxury shopping mall in downtown Bangkok, killing two people and injuring five in one of Thailand’s most popular tourist destinations. These conditions may cause NewGenIvf difficulty in attracting clients from the PRC to travel to Thailand, Cambodia and Kyrgyzstan for NewGenIvf’s services, which could materially and adversely affect NewGenIvf’s operations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uncertainty of the local and global conditions and the countries’ future policy regarding international traveling, all of which are beyond NewGenIvf’s control, NewGenIvf’s results of operation may be materially and adversely affected by any changes in international travelling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revenues were derived from two types of services: IVF treatment services and surrogacy and ancillary caring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revenue by the types of services,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315"/>
        <w:gridCol w:w="60"/>
        <w:gridCol w:w="60"/>
        <w:gridCol w:w="980"/>
        <w:gridCol w:w="60"/>
        <w:gridCol w:w="60"/>
        <w:gridCol w:w="60"/>
        <w:gridCol w:w="560"/>
        <w:gridCol w:w="60"/>
        <w:gridCol w:w="60"/>
        <w:gridCol w:w="60"/>
        <w:gridCol w:w="980"/>
        <w:gridCol w:w="60"/>
        <w:gridCol w:w="60"/>
        <w:gridCol w:w="60"/>
        <w:gridCol w:w="560"/>
        <w:gridCol w:w="75"/>
      </w:tblGrid>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sz w:val="20"/>
              </w:rPr>
            </w:pPr>
            <w:r>
              <w:rPr>
                <w:sz w:val="20"/>
              </w:rPr>
              <w:t>IVF treatment services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(1)</w:t>
            </w:r>
          </w:p>
        </w:tc>
        <w:tc>
          <w:tcPr>
            <w:tcW w:w="9974" w:type="dxa"/>
            <w:tcBorders/>
            <w:vAlign w:val="center"/>
          </w:tcPr>
          <w:p>
            <w:pPr>
              <w:pStyle w:val="TableContents"/>
              <w:bidi w:val="0"/>
              <w:spacing w:before="0" w:after="283"/>
              <w:jc w:val="both"/>
              <w:rPr>
                <w:sz w:val="20"/>
              </w:rPr>
            </w:pPr>
            <w:r>
              <w:rPr>
                <w:sz w:val="20"/>
              </w:rPr>
              <w:t>Include an insignificant amount of revenue derived from consultation customers who used NewGenIvf’s non-IVF treatment and insignificant services, such as check-ups services, blood test services and other minor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facilities located in various geographic regions. The following table sets forth a breakdown of NewGenIvf’s revenue based on the locations where the revenue originated, in absolute amounts and as percentages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565"/>
        <w:gridCol w:w="60"/>
        <w:gridCol w:w="60"/>
        <w:gridCol w:w="980"/>
        <w:gridCol w:w="60"/>
        <w:gridCol w:w="60"/>
        <w:gridCol w:w="60"/>
        <w:gridCol w:w="560"/>
        <w:gridCol w:w="60"/>
        <w:gridCol w:w="60"/>
        <w:gridCol w:w="60"/>
        <w:gridCol w:w="980"/>
        <w:gridCol w:w="60"/>
        <w:gridCol w:w="60"/>
        <w:gridCol w:w="60"/>
        <w:gridCol w:w="680"/>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China/HK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2,312,348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48.9</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U.S.A.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pPr>
            <w:r>
              <w:rPr/>
              <w:t>Cambodia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601,526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635,188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Thailand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2,175,253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1,691,862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35.8</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results are affected by, among others, changes in sales price and the fluctuation of foreign currency rates with US dollars. Based on the breakdown of the revenue contribution in terms of currencies used by customers for 2025, a 10% change in foreign currency rates with US dollars would cause approximately 9.99% change in NewGenIvf’s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revenue from IVF treatment services provided at facilities that NewGenIvf operated in Thailand and Cambodia. In addition, NewGenIvf’s revenue from IVF treatment service amounted to US$5,433,375 and US$3,905,863, representing approximately 100% and 82.6% of its total revenues in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 involves the performance of a series of medical treatment and procedures and eventually brings benefits to clients when embryo is successfully implanted. Revenue from IVF treatment is recognized at a point in time when different treatment and/or procedure completed in clinic. The completion of the respective treatments and/or procedures are evidenced by treatment cards and reports maintained in the patient files indicating successful completion of respective promised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of US$820,570 from fertility referral services, approximately 17.4% of its total revenue in 2025. Fertility referral service revenue is recognized at a point in time when the customers are referred to our agents and commission is received from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NewGenIvf’s cost of revenue by the nature of the cost, in absolute amounts and as percentages of total cost of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240"/>
        <w:gridCol w:w="60"/>
        <w:gridCol w:w="60"/>
        <w:gridCol w:w="980"/>
        <w:gridCol w:w="60"/>
        <w:gridCol w:w="60"/>
        <w:gridCol w:w="60"/>
        <w:gridCol w:w="560"/>
        <w:gridCol w:w="60"/>
        <w:gridCol w:w="60"/>
        <w:gridCol w:w="60"/>
        <w:gridCol w:w="980"/>
        <w:gridCol w:w="60"/>
        <w:gridCol w:w="60"/>
        <w:gridCol w:w="60"/>
        <w:gridCol w:w="560"/>
        <w:gridCol w:w="75"/>
      </w:tblGrid>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b/>
              </w:rPr>
            </w:pPr>
            <w:r>
              <w:rPr>
                <w:b/>
              </w:rPr>
              <w:t>Cost of revenues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622,386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Clinic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2,976,861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3,148,201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83.5</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3,606,481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3,770,587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Cost of goods sold. </w:t>
      </w:r>
      <w:r>
        <w:rPr>
          <w:rFonts w:ascii="Times New Roman;Times;Serif" w:hAnsi="Times New Roman;Times;Serif"/>
          <w:b w:val="false"/>
          <w:i w:val="false"/>
          <w:caps w:val="false"/>
          <w:smallCaps w:val="false"/>
          <w:sz w:val="20"/>
        </w:rPr>
        <w:t>Cost of goods sold primarily consisted of purchase and direct cost for IVF treatment services and ancillary caring services. NewGenIvf’s cost of goods was mostly recognized during the provision of 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Clinic costs. </w:t>
      </w:r>
      <w:r>
        <w:rPr>
          <w:rFonts w:ascii="Times New Roman;Times;Serif" w:hAnsi="Times New Roman;Times;Serif"/>
          <w:b w:val="false"/>
          <w:i w:val="false"/>
          <w:caps w:val="false"/>
          <w:smallCaps w:val="false"/>
          <w:sz w:val="20"/>
        </w:rPr>
        <w:t>Clinic costs primarily consisted of sub-contracting charges, office supplies and staff salaries and bonus of NewGenIvf’s clinics. Sub-contracting charges represented fees paid to agents who supervised and managed the whole IVF services for customers who utilized third party independent clinics, recruited surrogate mothers and assisted in the documentation, consulting and medical treatment arrangement throughout treatment procedure of surrogacy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gross profit in absolute amounts and its gross margin as percentages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757" w:type="dxa"/>
        <w:jc w:val="left"/>
        <w:tblInd w:w="0" w:type="dxa"/>
        <w:tblLayout w:type="fixed"/>
        <w:tblCellMar>
          <w:top w:w="0" w:type="dxa"/>
          <w:left w:w="0" w:type="dxa"/>
          <w:bottom w:w="0" w:type="dxa"/>
          <w:right w:w="0" w:type="dxa"/>
        </w:tblCellMar>
      </w:tblPr>
      <w:tblGrid>
        <w:gridCol w:w="1160"/>
        <w:gridCol w:w="60"/>
        <w:gridCol w:w="60"/>
        <w:gridCol w:w="988"/>
        <w:gridCol w:w="60"/>
        <w:gridCol w:w="60"/>
        <w:gridCol w:w="60"/>
        <w:gridCol w:w="443"/>
        <w:gridCol w:w="60"/>
        <w:gridCol w:w="60"/>
        <w:gridCol w:w="60"/>
        <w:gridCol w:w="988"/>
        <w:gridCol w:w="60"/>
        <w:gridCol w:w="60"/>
        <w:gridCol w:w="60"/>
        <w:gridCol w:w="443"/>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1,826,894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955,846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20.2</w:t>
            </w:r>
          </w:p>
        </w:tc>
        <w:tc>
          <w:tcPr>
            <w:tcW w:w="75"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expects that gross profit and gross margin will continue to be affected by various factors including the geographic locations where treatments are performed, as well as the pricing with its clients, agent subcontracting charges and the costs of the supplies provided by major pharmaceutical companies, all of which are negotiated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consist of selling and marketing expenses and general and administrative expenses. NewGenIvf’s selling and marketing expenses are primarily social media expenses. NewGenIvf’s general and administrative expenses mainly include depreciation in operating lease ROU assets, consultant and legal fees, embedded derivative fair value expense, write off of certain receivables and staff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consists primarily of bargain purchase gain on acquisition of the MicroSort and Nodexus businesses, offset partially by the losses arising from investment in digital assets and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interest expense is incurred mainly in relation to its interest-bearing 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incorporated in the British Virgin Islands and is not subject to tax on income or capital gains under current British Virgin Islands law. In addition, upon payment of dividends to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Hong Kong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outside of Thailand is taxed on its profits arising from or in consequence of the business carried on in Thailand. The Thailand corporate income tax rate is 20%. A foreign company not carrying on business in Thailand is subject to a final withholding tax on certain types of assessable income (e.g., interest, dividends, royalties, rentals, and service fees) paid from or in Thailand. The rate of tax is generally 15%, except for dividends, which is 10%, while other rates may apply under the provisions of a double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for companies and permanent establishments in Cambodia who are classified as medium and large taxpayers is 20%. For companies and permanent establishments who are classified as small taxpayers, the corporate income tax rates are progressive rates from 0% to 20%. In view of the annual turnover of the company, which ranges from KHR1 billion to KHR6 billion for service and commercial sectors, the company is considered a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Non-resident legal entities carrying out business activities through a permanent establishment in Kyrgyzstan are subject to profit tax on the income attributed to the activities of that permanent establishments. Profit tax is calculated at a rate of 10% of aggregate annual income less allowed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U.S.A</w:t>
      </w:r>
      <w:r>
        <w:rPr>
          <w:rFonts w:ascii="Times New Roman;Times;Serif" w:hAnsi="Times New Roman;Times;Serif"/>
          <w:b w:val="false"/>
          <w:i w:val="false"/>
          <w:caps w:val="false"/>
          <w:smallCaps w:val="false"/>
          <w:sz w:val="20"/>
        </w:rPr>
        <w:t>.</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1"/>
        <w:gridCol w:w="60"/>
        <w:gridCol w:w="60"/>
        <w:gridCol w:w="1055"/>
        <w:gridCol w:w="95"/>
        <w:gridCol w:w="60"/>
        <w:gridCol w:w="60"/>
        <w:gridCol w:w="1175"/>
        <w:gridCol w:w="109"/>
      </w:tblGrid>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jc w:val="left"/>
              <w:rPr/>
            </w:pPr>
            <w:r>
              <w:rPr/>
              <w:t> </w:t>
            </w:r>
          </w:p>
        </w:tc>
      </w:tr>
      <w:tr>
        <w:trPr/>
        <w:tc>
          <w:tcPr>
            <w:tcW w:w="7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09" w:type="dxa"/>
            <w:tcBorders/>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4,726,433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(3,770,587</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955,846</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(10,493,596</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(2,987,389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(11,682,306</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(1,160,495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(10,726,461</w:t>
            </w:r>
          </w:p>
        </w:tc>
        <w:tc>
          <w:tcPr>
            <w:tcW w:w="109" w:type="dxa"/>
            <w:tcBorders/>
            <w:shd w:fill="CCEEFF" w:val="clear"/>
            <w:vAlign w:val="center"/>
          </w:tcPr>
          <w:p>
            <w:pPr>
              <w:pStyle w:val="TableContents"/>
              <w:bidi w:val="0"/>
              <w:spacing w:before="0" w:after="283"/>
              <w:ind w:left="0" w:right="0" w:hanging="180"/>
              <w:jc w:val="left"/>
              <w:rPr>
                <w:b/>
              </w:rPr>
            </w:pPr>
            <w:r>
              <w:rPr>
                <w:b/>
              </w:rPr>
              <w:t>)</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20,455,184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(Loss) Income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(960,807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(474,101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9,728,723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(150,685</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531" w:type="dxa"/>
            <w:tcBorders/>
            <w:shd w:fill="CCEEFF" w:val="clear"/>
            <w:vAlign w:val="center"/>
          </w:tcPr>
          <w:p>
            <w:pPr>
              <w:pStyle w:val="TableContents"/>
              <w:bidi w:val="0"/>
              <w:spacing w:before="0" w:after="283"/>
              <w:jc w:val="left"/>
              <w:rPr>
                <w:b/>
              </w:rPr>
            </w:pPr>
            <w:r>
              <w:rPr>
                <w:b/>
              </w:rPr>
              <w:t>Net (loss) income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(524,643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9,879,408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(222,944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(441,572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9,505,779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Less: Total comprehensive income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(211,683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531" w:type="dxa"/>
            <w:tcBorders/>
            <w:shd w:fill="FFFFFF" w:val="clear"/>
            <w:vAlign w:val="center"/>
          </w:tcPr>
          <w:p>
            <w:pPr>
              <w:pStyle w:val="TableContents"/>
              <w:bidi w:val="0"/>
              <w:spacing w:before="0" w:after="283"/>
              <w:jc w:val="left"/>
              <w:rPr/>
            </w:pPr>
            <w:r>
              <w:rPr/>
              <w:t>Total comprehensive (loss) income attributable to the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9,717,462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Earnings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(13,116.08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644.20</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(13,116.08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9.12</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531" w:type="dxa"/>
            <w:tcBorders/>
            <w:shd w:fill="FFFFFF" w:val="clear"/>
            <w:vAlign w:val="center"/>
          </w:tcPr>
          <w:p>
            <w:pPr>
              <w:pStyle w:val="TableContents"/>
              <w:bidi w:val="0"/>
              <w:spacing w:before="0" w:after="283"/>
              <w:jc w:val="left"/>
              <w:rPr/>
            </w:pPr>
            <w:r>
              <w:rPr/>
              <w:t>Weighted average shares outstanding *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15,336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531" w:type="dxa"/>
            <w:tcBorders/>
            <w:shd w:fill="CCEEFF" w:val="clear"/>
            <w:vAlign w:val="center"/>
          </w:tcPr>
          <w:p>
            <w:pPr>
              <w:pStyle w:val="TableContents"/>
              <w:bidi w:val="0"/>
              <w:spacing w:before="0" w:after="283"/>
              <w:jc w:val="left"/>
              <w:rPr/>
            </w:pPr>
            <w:r>
              <w:rPr/>
              <w:t>-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1,083,340</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2024 year end, the Company carried out a 1-for-20 reverse stock split, a 1-for-10 reverse stock split, a 1-for-5 reverse stock split, a 1-for-5 reverse stock split, a 1-for-3 reverse stock split, a 1-for-4 reverse stock split and a 1-for-3 reverse stock split of its issued and unissued shares which was effected on February 11, 2025, May 5, 2025, August 4, 2025, December 1, 2025, January 26, 2026, March 16, 2026 and July 6, 2026 respectively. The shares above have been adjusted retrospectively for these reverse stock splits.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with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revenue decreased by approximately 13.01% from US$5,433,375 in 2024 to US$4,726,433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IVF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IVF treatment service revenue decreased by approximately 28.11% from US$5,433,375 in 2024 to US$3,905,863 in 2025. This decrease was primarily the result of change of management in Thailand clinic and new clinic set-up in Kyrgyzstan focusing on IVF services in late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NewGenIvf’s derived fertility referral services of US$820,570 revenue from referring customers to outside agents for IVF and surrogacy services while no such revenue was recorded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revenue increased by approximately 4.55% from US$3,606,481 in 2024 to US$3,770,587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cost of goods sold decreased by approximately 1.15% from US$629,620 in 2024 to US$622,386 in 2025, primarily attributed to the decrease on procurement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clinic costs increased by approximately 5.76% from US$2,976,861 in 2024 to US$3,148,201 in 2025, primarily due to clinic staff turnover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profit decreased by approximately 47.68% from US$1,826,894 in 2024 to US$955,846 in 2025, primarily attributable to a reorganizing of our cooperation model with subcontractors and the decreased efficiency of our marketing services, resulting in a increase in unit service costs per customer, directly leading to decreases in gross profit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gross margin decreased from 33.6% in 2024 to 20.2% in 2025. This is primarily due to the drop of sales revenue while the overhead costs of clinic was not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operating expenses increased by approximately 291.05% from US$2,987,389 in 2024 to US$11,682,307 in 2025, primarily attributable to (i) professional fees of US$1,861,572 incurred in 2025 being related to real estate development project in United Arab of Emirates, valuation fees on acquisition of Nodexus (ii) staff and director salary and personnel cost of US$2,910,173 in 2025 due to enlargement of sales/marketing force and administrative staff to implement our business expansion pan and bonus related to maintaining listing status in Nasdaq and increasing share capitalization; and (iii) write-off of certain agency deposit and artwork of US$1,105,370.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other income increased from US$971,391 in 2024 to US$21,069,356 in 2025, primarily attributable to a non-cash, bargain purchase gain recognized on the acquisition of Nodexus and Microsort businesses of $21,653,835, gain on embedded derivative of $456,731, loss on investment in digital assets, net of $332,480 and loss on investment on financial assets, net of $700,631.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finance costs decreased by approximately 20.84% from US$778,656 in 2024 to US$616,423 in 2025 as a result of securing a lower interest rate on convertible notes issued during the year and some convertible notes being issued second half of 2025 for financing new business initiatives including real estate development project in United Arab of Emirates, supplement business and tokenization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income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made no provision for income taxes in 2024 and 2025. There was no assessable income generated from Hong Kong, Thailand and 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excess provision of US$486,706 was reversed as they are no longer deemed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generated a net income of US$9,728,723 in 2025 while there was a net loss of US$(474,101)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principal sources of liquidity have been cash flows generated from its business operations and external financing via various instruments. As of December 31, 2024 and 2025, NewGenIvf had US$457,740 and US$758,621, respectively, in cash and cash equivalents. NewGenIvf had working capital (defined as total current assets deducted by total current liabilities) of a surplus of $452,391 and US$5,017,221 respectively, as of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owed US$6,421 to related parties. Nevertheless, NewGenIvf is able to generate sufficient cash flow from its business operations and financing activities to operate and grow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continually seeks to monetize from positive cash flow contracts and increase revenue from its operating activities. NewGenIvf monitors its current and expected liquidity requirements to help ensure that it maintains sufficient cash balances to meet its existing and reasonably likely long-term liquidity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finance its future working capital requirements and capital expenditures from cash generated from operating activities, in addition to funds raised from financing activities. NewGenIvf may, however, require additional cash due to changing business conditions or other future developments, including any investments or acquisitions it may decide to pursue. If its existing cash is insufficient to meet its requirements, NewGenIvf may seek to issue debt or equity securities or obtain additional credit facilities. Financing may be unavailable in the amounts NewGenIvf needs or on terms acceptable to it, if at all. Issuance of additional equity securities, including convertible debt securities, would dilute NewGenIvf’s earnings per share. The incurrence of debt would divert cash for working capital and capital expenditures to service debt obligations and could result in operating and financial covenants that restrict NewGenIvf’s operations and its ability to pay dividends to its shareholders. If NewGenIvf is unable to obtain additional equity or debt financing as required, its business operations and prospects may suffer. Please see “</w:t>
      </w:r>
      <w:r>
        <w:rPr>
          <w:rFonts w:ascii="Times New Roman;Times;Serif" w:hAnsi="Times New Roman;Times;Serif"/>
          <w:b w:val="false"/>
          <w:i/>
          <w:caps w:val="false"/>
          <w:smallCaps w:val="false"/>
          <w:sz w:val="20"/>
        </w:rPr>
        <w:t>Risk Factors — Risks Relating to NewGenIvf’s Business and Industry — NewGenIvf requires a significant amount of capital to fund its operations and growth. If NewGenIvf cannot obtain sufficient capital on acceptable terms, its business, financial condition, and prospects may be materially and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NewGenIvf’s selected consolidated cash flow data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305"/>
        <w:gridCol w:w="60"/>
        <w:gridCol w:w="60"/>
        <w:gridCol w:w="1055"/>
        <w:gridCol w:w="95"/>
        <w:gridCol w:w="60"/>
        <w:gridCol w:w="60"/>
        <w:gridCol w:w="1175"/>
        <w:gridCol w:w="110"/>
      </w:tblGrid>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05" w:type="dxa"/>
            <w:gridSpan w:val="6"/>
            <w:tcBorders>
              <w:bottom w:val="single" w:sz="12" w:space="0" w:color="000000"/>
            </w:tcBorders>
            <w:tcMar>
              <w:bottom w:w="28" w:type="dxa"/>
            </w:tcMar>
            <w:vAlign w:val="center"/>
          </w:tcPr>
          <w:p>
            <w:pPr>
              <w:pStyle w:val="TableContents"/>
              <w:bidi w:val="0"/>
              <w:spacing w:before="0" w:after="283"/>
              <w:jc w:val="center"/>
              <w:rPr>
                <w:b/>
                <w:i/>
              </w:rPr>
            </w:pPr>
            <w:r>
              <w:rPr>
                <w:b/>
                <w:i/>
              </w:rPr>
              <w:t>US$</w:t>
            </w:r>
          </w:p>
        </w:tc>
        <w:tc>
          <w:tcPr>
            <w:tcW w:w="11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(10,926,056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(7,559,774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18,992,758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457,740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758,621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US$10,926,056 for the year ended December 31, 2025. The difference between NewGenIvf’s net profit of US$9,728,723 for the year ended December 31, 2025 and the net cash used in operating activities was primarily attributable to bargain purchase gain of US$21.7m on acquisition of Nodexus and Microsort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US$8,264,074 for the year ended December 31, 2024. The difference between NewGenIvf’s net loss of US$474,101 for the year ended December 31, 2024 and the net cash used in operating activities was primarily attributable to (i) an increase of agent’s receivable of US$1,191,795, (ii) a cash deposit of US$1,000,000 with a digital trading platform and settlement of charges in relation to the de-spac and business reorganisation.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2025 was US$7,559,774, primarily representing reservation money of US$4.6m paid for the real estate development project in United Arab of Emirates, as well as cash paid for investment in digital assets of $1,000,000, amounts held in custody for investments of $760,000 and cash paid for acquisition of businesses in 2025 of $1,050,000.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2024 was US$53,045, primarily representing purchase of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2025 was US$18,992,758, primarily representing issuance of share capital of US$12.6m utilizing equity line of credit, convertible note issuance of US$6.8m and settlement of $500,000 for a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2024 was US$8,675,790, primarily representing issuance of share capital utilizing equity line of credit, convertible note issuance and proceeds from issuance of promissory notes all totaling to an amount of $8,583,597.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NewGenIvf’s main contractual obligations and commitments as of December 31, 2024 and December 31, 2025.</w:t>
      </w:r>
    </w:p>
    <w:p>
      <w:pPr>
        <w:pStyle w:val="TextBody"/>
        <w:bidi w:val="0"/>
        <w:spacing w:before="0" w:after="0"/>
        <w:ind w:left="0" w:right="0" w:firstLine="720"/>
        <w:jc w:val="both"/>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525"/>
        <w:gridCol w:w="60"/>
        <w:gridCol w:w="60"/>
        <w:gridCol w:w="980"/>
        <w:gridCol w:w="60"/>
        <w:gridCol w:w="60"/>
        <w:gridCol w:w="60"/>
        <w:gridCol w:w="98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US$</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less than 1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262,244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1 – 2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184,041</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Payable 2.- 5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118,800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565,085</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bonds-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3,269,625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1,475,000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5,289,000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have the option of being converted to Class A ordinary shares at the discretion of the holder, any time after issuance. The conversion, however, is subject to certain terms and conditions, including the requirement of the shareholdings not to exceed 4.99 % or 9.99% of the Company’s shares based on the noteholder. As of December 31, 2025, this criterion has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not entered into any financial guarantees or other commitments to guarantee the payment obligations of any third parties, nor any derivative contracts that are indexed to its shares and classified as shareholder’s equity or that are not reflected in its consolidated financial statements. Furthermore, NewGenIvf does not have any retained or contingent interest in assets transferred to an unconsolidated entity that serves as credit, liquidity or market risk support to such entity. NewGenIvf does not have any variable interest in any unconsolidated entity that provides financing, liquidity, market risk or credit support to it or engages in leasing, hedging or product development services with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a holding company with no material operations of its own. NewGenIvf Group Limited conducts all of its operations through its subsidiaries. As a result, NewGenIvf Group Limited’s ability to pay dividends depends upon dividends paid by its subsidiaries. If our subsidiaries or any newly formed subsidiaries incur debt on their own behalf in the future, the instruments governing their debt may restrict their ability to pay dividends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permitted under BVI law to provide funding to its subsidiaries in Hong Kong, Thailand, Cambodia and Kyrgyzstan through loans or capital contributions without restrictions on the amount of the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subsidiaries are currently permitted to pay dividends to the Company in accordance with relevant laws and regulations. Payment of dividends requirements in a company incorporated under the laws of Thailand is governed by the Civil and Commercial Code of Thailand. For example, the company may not declare dividends if the company has incurred losses, the company must appropriate to a reserved fund at each dividend contribution of dividend of at least one-twentieth of the profits until the fund reaches one-tenth of the capital, or the dividends payment must be made to the shareholders within one (1) month from the dividend declaration date. On the capital remittance or payment of dividends to the shareholders from outside of Thailand, it is regulated by the regulations issued by the Bank of Thailand, including the Exchange Control Act B.E. 2485 (1942). The fund remittance from Thailand to a foreign jurisdiction may require an approval from the Bank of Thailand or require notifying the Bank of Thailand for such transfer, depending on the types of the remittance transactions, through the commercial bank in the country. For a company incorporated under the laws of Kyrgyzstan, under Kyrgyz regulations of dividends (net profit), the dividends can be paid once a year depending on the results of the financial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concentration of credit risk on liquid funds which are deposited with several banks with high credit ratings. The credit risk on liquid funds is limited because the counterparties are banks with high credit ratings assigned by international credit-rating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cash flow interest rate risk through the changes in interest rates related mainly to its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currently does not have any interest rate hedging policy in relation to fair value interest rate risk and cash flow interest rate risk. The directors monitor NewGenIvf’s exposures on an ongoing basis and will consider hedging the interest rate should the need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NewGenIvf’s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market liquidity risk with respect to certain assets held on our balance sheet. Market liquidity risk is the risk that we cannot realize the fair value of our assets when needed due to insufficient market depth, disruption, or the absence of willing buyers. As of December 31, 2025, we held Solana as treasury investment. These assets trade in markets that may experience periods of reduced liquidity, particularly during periods of economic stress or market disruption.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are mainly conducted in Thailand, Cambodia and Kyrgyzstan. Accordingly, NewGenIvf’s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operations in Thailand, Cambodia and Kyrgyzstan are subject to special considerations and significant risks not typically associated with companies in North America and Western Europe. These include risks associated with, among other things, the political, economic and legal environment and foreign currency exchange. NewGenIvf’s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Travel restriction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clients contribute a large portion of NewGenIvf’s revenue. International clients need to travel to Thailand, Cambodia and Kyrgyzstan for treatment services, where NewGenIvf’s operations are mainly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traveling to Thailand, Cambodia and Kyrgyzstan may be affected by a number of factors, including local and global political and economic conditions. Furthermore, an outbreak, or threatened outbreak, of any severe contagious disease may also in turn significantly reduce the demand of traveling or cause extensive travel restrictions. NewGenIvf’s results may be materially and adversely affected if travel restriction was imposed or difficulties in cross-border flow arose.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Judgments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prepares its financial statements in conformity with U.S. GAAP, which requires NewGenIvf to make judgments, estimates and assumptions. NewGenIvf continually evaluates these estimates and assumptions based on the most recently available information, its historical experience and various other assumptions that NewGenIvf’s management believes to be reasonable under the circumstances. Since the use of estimates is an integral component of the financial reporting process, actual results could differ from its expectations as a result of changes in NewGenIvf’s estimates. Some of NewGenIvf’s accounting policies require a higher degree of judgment than others in their application and require NewGenIvf to make significant accounting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policies, the judgments and other uncertainties affecting application of those policies and the sensitivity of reported results to changes in conditions and assumptions are factors that should be considered when reviewing NewGenIvf’s financial statements. NewGenIvf’s management believes the following accounting policies involve the most significant judgments and estimates used in the preparation of their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going concern assumption is a fundamental principle in the preparation of financial statements, and it is management’s responsibility to evaluate whether there are any conditions or events that raise substantial doubt about the Company’s ability to continue operating for the foreseeable future. Management’s assessment of the Company’s ability to continue as a going concern for the financial year ending 2024 has been addressed in the foregoing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always closely monitoring the market for opportunities and has also been carrying out various fundraising projects to improve the Company’s cash flow position. As of March 30, 2026, convertible promissory notes of $5,266,000 remain outstanding. Moreover, the Company has access to an equity line of credit facility of up to US$100,000,000 from White Lion Capital, of which approximately US$15.55 million has been drawn and become equity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do not reflect adjustments that would be necessary if the going concern basis was not appropriate. If the going concern basis was not appropriate for these consolidated financial statements, then adjustments would be necessary in the carrying value of the assets and liabilities, the reported revenues and expenses, and the balance sheet classifications used. These adjustments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Equity Line of Credit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equity line of credit agreement with White Lion Capital in November 2024. As part of the agreement, the Company is required to pay a commitment fee of 700,000 shares to the White Lion Capital (equivalent to 4 Class A Ordinary Shares adjusted for Reverse Stock Splits). The commitment fee is a cost incurred to secure the equity line of credit. The relevant US GAAP guidance for this treatment can be found in ASC 340-10-S99-1, which states that costs incurred to raise capital should be recorded as a reduction of Additional Paid in Capital (“APIC”) and shall be excluded from the determination of net income or the results of operations under all circumstances. The commitment fee of 700,000 shares was directly offset against APIC. The financing arrangement resulting from the commitment fee is that of equity financing and not debt financing in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fee paid in the form of shares, are recorded at fair value of the shares issued, determined based on the market price of the shares at the date of issuance. The fair market value of the shares is recorded as APICs (since we do not have par value), and APIC – deferred cost of financing, both of which are presented in the Statement of Equity. The APIC – deferred financing cost is amortised over the term of the facility and credited into APIC. There is no impact nevertheless on the total equity of the Company and for purposes of presentation in the Statement of Equity, APIC and APIC – deferred financing cost are not segregated.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Principles of consolidation and basis of preparation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accounts of the Company and all of its subsidiaries in which a controlling interest is maintained.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transaction between Legacy NewGenIvf and SPAC I was accounted for as a reverse recapitalization under ASC 805, Business Combinations, with NewGenIvf Group Limited, and deemed to be the accounting acquirer. As SPAC I did not meet the definition of a business under ASC 805, the transaction was not treated as a business combination. Instead, it was accounted for as a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of the accounting acquirer will become the historical financial statements of the Company, and the accounting acquirer’s assets, liabilities and results of operations will be consolidated with the Company beginning on the acquisition date. The Legacy NewGenIvf was the legal acquiree but deemed to be the accounting acquirer. The Company was the legal acquirer but deemed to be the accounting acquiree in the reverse merger. The historical financial statements prior to the acquisition are those of the accounting acquirer (Legacy NewGenivf). After completion of the Share Exchange Transaction, the Company’s consolidated financial statements include the assets and liabilities, the operations and cash flow of the accounting acquirer. Any excess of the value of shares issued by the Company over the net book value of the accounting acquirer will be recognized as a reduction to equity (APIC).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Topic 606, Revenue from Contracts with Customers, and all subsequent ASUs that modified ASC 606 on April 1, 2017 using the full retrospective method which requires the Company to present the financial statements for all periods as if Topic 606 had been applied to all prior periods. The Company derives revenue principally from provision of In vitro fertilization (“IVF”) treatment and surrogacy and ancillary caring services. Revenue from contracts with customers is recognized using the following five steps:</w:t>
      </w:r>
    </w:p>
    <w:p>
      <w:pPr>
        <w:pStyle w:val="TextBody"/>
        <w:bidi w:val="0"/>
        <w:spacing w:before="0" w:after="0"/>
        <w:ind w:left="964" w:right="0" w:hanging="48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(1)</w:t>
            </w:r>
          </w:p>
        </w:tc>
        <w:tc>
          <w:tcPr>
            <w:tcW w:w="9918" w:type="dxa"/>
            <w:tcBorders/>
            <w:vAlign w:val="center"/>
          </w:tcPr>
          <w:p>
            <w:pPr>
              <w:pStyle w:val="TableContents"/>
              <w:bidi w:val="0"/>
              <w:spacing w:before="0" w:after="283"/>
              <w:jc w:val="both"/>
              <w:rPr>
                <w:sz w:val="20"/>
              </w:rPr>
            </w:pPr>
            <w:r>
              <w:rPr>
                <w:sz w:val="20"/>
              </w:rPr>
              <w:t>identify its contracts with customers;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(2)</w:t>
            </w:r>
          </w:p>
        </w:tc>
        <w:tc>
          <w:tcPr>
            <w:tcW w:w="9918" w:type="dxa"/>
            <w:tcBorders/>
            <w:vAlign w:val="center"/>
          </w:tcPr>
          <w:p>
            <w:pPr>
              <w:pStyle w:val="TableContents"/>
              <w:bidi w:val="0"/>
              <w:spacing w:before="0" w:after="283"/>
              <w:jc w:val="both"/>
              <w:rPr>
                <w:sz w:val="20"/>
              </w:rPr>
            </w:pPr>
            <w:r>
              <w:rPr>
                <w:sz w:val="20"/>
              </w:rPr>
              <w:t>identify its performance obligations under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(3)</w:t>
            </w:r>
          </w:p>
        </w:tc>
        <w:tc>
          <w:tcPr>
            <w:tcW w:w="9918" w:type="dxa"/>
            <w:tcBorders/>
            <w:vAlign w:val="center"/>
          </w:tcPr>
          <w:p>
            <w:pPr>
              <w:pStyle w:val="TableContents"/>
              <w:bidi w:val="0"/>
              <w:spacing w:before="0" w:after="283"/>
              <w:jc w:val="both"/>
              <w:rPr>
                <w:sz w:val="20"/>
              </w:rPr>
            </w:pPr>
            <w:r>
              <w:rPr>
                <w:sz w:val="20"/>
              </w:rPr>
              <w:t>determine the transaction prices of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(4)</w:t>
            </w:r>
          </w:p>
        </w:tc>
        <w:tc>
          <w:tcPr>
            <w:tcW w:w="9918" w:type="dxa"/>
            <w:tcBorders/>
            <w:vAlign w:val="center"/>
          </w:tcPr>
          <w:p>
            <w:pPr>
              <w:pStyle w:val="TableContents"/>
              <w:bidi w:val="0"/>
              <w:spacing w:before="0" w:after="283"/>
              <w:jc w:val="both"/>
              <w:rPr>
                <w:sz w:val="20"/>
              </w:rPr>
            </w:pPr>
            <w:r>
              <w:rPr>
                <w:sz w:val="20"/>
              </w:rPr>
              <w:t>allocate the transaction prices to its performance obligations in those contracts;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(5)</w:t>
            </w:r>
          </w:p>
        </w:tc>
        <w:tc>
          <w:tcPr>
            <w:tcW w:w="9918" w:type="dxa"/>
            <w:tcBorders/>
            <w:vAlign w:val="center"/>
          </w:tcPr>
          <w:p>
            <w:pPr>
              <w:pStyle w:val="TableContents"/>
              <w:bidi w:val="0"/>
              <w:spacing w:before="0" w:after="283"/>
              <w:jc w:val="both"/>
              <w:rPr>
                <w:sz w:val="20"/>
              </w:rPr>
            </w:pPr>
            <w:r>
              <w:rPr>
                <w:sz w:val="20"/>
              </w:rPr>
              <w:t>recognize revenue when each performance obligation under those contracts is satisfied. Revenue is recognized when promised services are transferred to the client in an amount that reflects the consideration expected in exchange for those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verbal agreements with its customers that outline the rights, responsibilities, and obligations of each party. The agreements also identify the scope of services, service fees, and payment terms. Agreements are acknowledged and consent forms are signed by the customers prior to each promised service or bundle of services are inter dependent. All the contracts have commercial substance, and it is probable that the Company will collect considerations from its customers for service component as settlement is predominantly required prior to performance of the promised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two sources: (1) revenue from IVF treatment, and (2) 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fertilization (“IVF”) treatment is an assisted reproductive technique where eggs and sperm are collected and fertilized in laboratory to become embryo. Fertilized embryo is then implanted to the customer or a surrogate mother. IVF treatment involves the performance of a series of medical treatment as well as procedures and brings benefits to clients as the service of bundles service is completed. Revenue from IVF treatment is recognized at a point in time when different treatment and/or procedure or bundles thereof, are completed in clinic. The full completion of the various procedures and treatments are evidenced by treatment cards and reports included within the patient files indicating successful completion of the service. Collections from customer who are individuals are received in advance of the service, whereas for entities, a credit term of 30 days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arranges fertility referral services for customers seeking IVF and/or surrogacy services and earns referral fee income. Upon a customer inquiry, the Company evaluates the customer’s needs and, if appropriate, refers them to independent third-party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arrangements, the Company’s performance obligation is satisfied upon the successful referral of the customer to the independent agent. Referral fee revenue is recognized when the Company transfers control of the service by completing the referral, as this represents the point at which the Company’s obligation is fulfilled and the customer (the agent) simultaneously receives and consumes the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consists of a referral fee, which is negotiated with the agent on a case-by-case basis. As the referral fee is contingent upon the agent’s acceptance of the referral and subsequent income received from the agent, revenue is constrained until it is probable that a significant reversal will not occur. Accordingly, revenue is recognized at the point in time when the referral fee is received from the agent, as this is when the uncertainty surrounding the consideration is resolved and the Company’s right to consideration becomes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egg freezing and storage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access the facility to its customers. Upon request for the service, which is agreed verbally and followed by signed consent form from the customer, the Company makes available access to the facility with no further substantial involvement. Revenue is recognized at a point in time when the facility is made available to the customer at the agreed consideration by the provision of specific address within the facility as maintained in the patient file. The receipt of consideration is assured as payment is required upfront.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Principal versus agency considerations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provided in ASC 606, Revenue from Contracts with Customers, for determining whether the Company is the principal or an agent in arrangements with customers that involve another party that contributes to the provision of services to a customer. In these instances, the Company determines whether it has promised to provide the service itself (as principal) or to arrange for the specified service to be provided by another party (as an agent). This determination is a matter of judgment that depends on the facts and circumstances of each arrangement. The Company recognizes revenue from the performance of the procedures and treatment on a gross basis as the Company is responsible for the fulfillment, controls the delivery of the promised service, and has full discretion in establishing prices and therefore is the principal in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adopted ASU 2016-02, “Leases” (Topic 842). Lease terms used to calculate the present value of lease payments generally do not include any options to extend, renew, or terminate the lease, as NewGenIvf does not have reasonable certainty at lease inception that these options will be exercised. NewGenIvf generally considers the economic life of its operating lease ROU assets to be comparable to the useful life of similar owned assets. NewGenIvf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Financial instruments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financial instruments, including cash and cash equivalents, accounts and other receivables, accounts and other payables, accrued liabilities and amounts due from (to) shareholders, have carrying amounts that approximate their fair values due to their short maturities. ASC Topic 820, “Fair Value Measurements and Disclosures” requires disclosing the fair value of financial instruments held by NewGenIvf. ASC Topic 825, “Financial Instruments” defines fair value and establishes a three-level valuation hierarchy for disclosures of fair value measurement that enhances disclosure requirements for fair value measures. The carrying amounts reported in the consolidated balance sheets for cash and cash equivalents, accounts and other receivables, accounts and other payables, accrued liabilities and amounts due from (to) shareholders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pStyle w:val="TextBody"/>
        <w:bidi w:val="0"/>
        <w:spacing w:before="0" w:after="0"/>
        <w:ind w:left="960" w:right="0" w:hanging="48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30" w:type="dxa"/>
            <w:tcBorders/>
            <w:vAlign w:val="center"/>
          </w:tcPr>
          <w:p>
            <w:pPr>
              <w:pStyle w:val="TableContents"/>
              <w:bidi w:val="0"/>
              <w:spacing w:before="0" w:after="283"/>
              <w:jc w:val="both"/>
              <w:rPr>
                <w:sz w:val="20"/>
              </w:rPr>
            </w:pPr>
            <w:r>
              <w:rPr>
                <w:sz w:val="20"/>
              </w:rPr>
              <w:t>Level 1 — inputs to the valuation methodology used quoted prices for identical assets or liabilities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tc>
      </w:tr>
    </w:tbl>
    <w:p>
      <w:pPr>
        <w:pStyle w:val="TextBody"/>
        <w:bidi w:val="0"/>
        <w:spacing w:before="0" w:after="0"/>
        <w:ind w:left="960" w:right="0" w:hanging="48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080" w:type="dxa"/>
            <w:tcBorders/>
            <w:vAlign w:val="center"/>
          </w:tcPr>
          <w:p>
            <w:pPr>
              <w:pStyle w:val="TableContents"/>
              <w:bidi w:val="0"/>
              <w:spacing w:before="0" w:after="283"/>
              <w:jc w:val="both"/>
              <w:rPr>
                <w:sz w:val="20"/>
              </w:rPr>
            </w:pPr>
            <w:r>
              <w:rPr>
                <w:sz w:val="20"/>
              </w:rPr>
              <w:t>Level 3 — inputs to the valuation methodology are unobservable and significant to the fair value measurement.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all financial instruments with features of both liabilities and equity under ASC 480, “Distinguishing Liabilities from Equity” and ASC 815.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FASB issued ASU 2025-02, Liabilities (Topic 405): Amendments to SEC Paragraphs Pursuant to SEC Staff Accounting Bulletin No. 122. (“ASU 2025-02”) which amends the Accounting Standards Codification to remove the text of SEC Staff Accounting Bulletin (“SAB”) 121 “Accounting for Obligations to Safeguard Crypto-Assets an Entity Holds for its Platform Users” as it has been rescinded by the issuance of SAB 122. ASU 2025-02 is effective immediately and on a fully retrospective basis to annual periods beginning after December 15, 2024. It is not expected to have an impact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k_013"/>
      <w:bookmarkEnd w:id="14"/>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assisted reproductive services (“ARS”) provider in Asia-Pacific. Since the opening of our first clinic in Thailand in 2014, we have established ourself as a long-standing ARS provider in this region. Our strategic presence in Thailand, Cambodia, and Kyrgyzstan positions us to take advantage of opportunities across Asia-Pacific. According to China Insights Consultancy (“CIC”), from 2014 to 2022, there was a rising number of women in the key ARS-targeted age group (ages 15 to 49) in Asia Pacific and a growing trend towards later maternal age. The number of married women of reproductive age in Asia Pacific has risen from 816.4 million in 2014 to 833.2 million in 2022. Additionally, according to CIC, there was increasing social acceptance of ARS use in Asia Pacific countries such as China, India, and Thailand during the same period. For example, the number of ARS users in China has risen from 136.8 thousand in 2017 to 184.9 thousand in 2022 approximately and that in Japan has risen from 98.0 thousand in 2017 to 128.5 thousand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the prevalence of infertility in Asia-Pacific developing countries is substantial. For example, the infertility rate in Thailand, India and China was about 15.4%, 13.8% and 17.8%, respectively, in 2022. In India, the infertility rate in 2020 was approximately 13.1%, representing an annual growth of 2.6%. The infertility rate in China was around 17.6% in 2020, representing an annual growth of 0.6%. Infertility is increasingly gaining society’s attention as individuals are more openly discussing their struggles. Despite the prevalence of infertility, access to treatment is often limited in the Asia Pacific region. According to CIC, financial challenges, costs of treatment, and limited availability or capacity of fertility medical care are some of the main challenges in the fertility marketplace in Asia-Pacific region. Religious, social and cultural roadblocks can also prevent hopeful couples from realizing their dream to have children. We believe that we can help address some of these key challenges of Asia-Pacific fertility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the dreams of building families, NewGenIvf mainly offers two services, namely: (i) in vitro fertilization (“IVF”) treatment service, comprising traditional IVF and egg donation; and (ii) fertility referral services. Currently, we have three clinics: one clinic in Thailand, one clinic in Cambodia, and one clinic in Kyrgyzstan.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IVF treatment service: </w:t>
            </w:r>
            <w:r>
              <w:rPr>
                <w:sz w:val="20"/>
              </w:rPr>
              <w:t>For the years ended December 31, 2025 and 2024, we generated approximately 100% and 100% respectively of our revenue from IVF treatments. We primarily provide our clients with conventional IVF/intracytoplasmic sperm injection (“ICSI”) and embryo transfer services. As technology has progressively advanced, we have been able to, through technologies and facilities provided by MicroSort technology, help fulfill the family-balancing dreams of its clients and avoiding certain gender-related hereditary diseases. IVF treatment involves the performance of a series of medical treatment and procedures that are not separately distinct and only brings benefits to clients when embryo is successfully implanted, therefore revenue from IVF treatment is recognized at a point in time when it is completed in clinic. The completion of this treatment is evidenced by a written IVF report indicating successful embryo implantation.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b/>
                <w:sz w:val="20"/>
              </w:rPr>
              <w:t xml:space="preserve">Fertility referral services: </w:t>
            </w:r>
            <w:r>
              <w:rPr>
                <w:sz w:val="20"/>
              </w:rPr>
              <w:t>We also generate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NewGenIvf’s revenue was US$5,433,375 and US$4,726,433, and its net income/(loss) was US$9,728,723 and US($474,101),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CIC, NewGenIvf’s core market for fertility services is substantial and growing rapidly, driven by, among other things, societal and cultural shifts, such as people starting families later in life and other health-related challenges which could impact couples’ and individuals’ ability to have children. In addition, NewGenIvf believes that continued overall de-stigmatization of infertility will help drive better access to, and stronger demand for, fertility treatment services, thereby further enabling the expansion of NewGenIvf’s addressable market. According to CIC, the market size of fertility treatments in Asia Pacific was increasing steadily and the potential size of the Asia fertility market is expected to reach US$37.4 billion by 2030. NewGenIvf believes its market opportunity is substantial and is continuing to grow as a result of the rising demand for fertility services, the lack of adequate offerings in the market and the increasing awareness of the challenges of infertility.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the following competitive strengths have positioned it to meet growing opportunities in the fertility market across Asia-Pacific, and have differentiated it from its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Broad-range ARS Provider Offering Comprehensive Fertility Treatment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almost a decade of experience in the fertility market, NewGenIvf has built a reputation in the IVF industry in Asia-Pacific. NewGenIvf has reinforced its long-standing position through expanding its service offerings and locations to address the evolving clients’ needs or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comprehensive fertility treatment offerings in Thailand, Cambodia, and Kyrgyzstan, primarily including IVF, egg donation (in Cambodia) and surrogacy services (in Kyrgyzstan), make it convenient for clients in Asia-Pacific market to have access to various fertility services but with a relatively low cost, as compared with the US market. Meanwhile, the average cost per IVF cycle by NewGenIvf is around US$7,000 (excluding medication). Each of NewGenIvf’s clinics in Thailand, Cambodia, and Kyrgyzstan has its own specialty, and together, NewGenIvf is able to provide more flexibility and options to its patients. For example, NewGenIvf’s Thailand clinic focus on IVF and related ancillary services including HIV sperm washing, egg freezing, and chromosome screening. The clinic in Cambodia specializes in providing both IVF services and egg donation services. NewGenIvf opened the clinic in Kyrgyzstan in 2019, which broadened NewGenIvf’s services by being legally qualified/received approval letter from The Ministry of Health of Kyrgyzstan to offer surrogacy services. As of December 31, 2024, NewGenIvf was the one of the few ARS providers in Kyrgyzstan and one of the few companies in Kyrgyzstan that is licensed to offer surrogacy services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attributes its track record of success to its experienced physicians and its ability to provide comprehensive ARS services, allowing it to meet patients’ increasing demand for advanced, high-end, and sophisticated ARS, a higher standard and a wider range of advanced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extensive experience serving Asia-Pacific patients and a deep understanding of their general profiles. In particular, NewGenIvf has personnel speaking multiple languages, including nurses, facilitators, and translators, who are familiar with the health condition and culture of Asia-Pacific patients from different countries in the region. NewGenIvf believes that it is therefore well-positioned to benefit from market growth driven by Asia-Pacific patients travelling to its clinics for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Attractive Market with Significant Demand and Fast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operates in the ARS market in Asia Pacific, positioning it to leverage on an attractive market with compelling underlying growth potential.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Built on years of experience, NewGenIvf has established a strong reputation in its industry, which in turn attracted potential business partners to approach NewGenIvf to negotiate cooperations and referrals. Over the years, NewGenIvf sends representatives to medical expos mostly held in the PRC to approach potential business partners and establish new partnerships by entering into agency agreements with each agent. NewGenIvf has become a significant partner with approximately 90 fertility service agents in China as well as in India. Normally, each agency agreement has a maximum term of one year, which is renewable upon mutual agreement. Agents typically market and promote NewGenIvf’s services by word-to-mouth referrals and other measures and NewGenIvf pays the agents commission at a range of 10% to 25% of the treatment fees upon the completion of client’s treatment. Normally, agents provide potential clients’ contact information to the sales team of NewGenIvf, who then approach potential clients and provide consultation on services. With its partnerships in various countries, NewGenIvf believes it is able to better benefit from the growing market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Well Established Brand with Reliable Reputation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founders of NewGenIvf entered the fertility market as agents in 2011 by introducing patients in need to a Thailand clinic for fertility treatments. The founders of NewGenIvf started to operate their own clinic in Thailand in 2014 and subsequently added clinics in Cambodia and Kyrgyzstan. Since then, NewGenIvf has attracted clients from countries throughout Asia-Pacific, including Mainland China, Hong Kong, India, Thailand, Australia and Taiwan.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developed a relatively replicable and scalable operating model that supports high productivity at its assisted reproductive medical facilities in Asia. Under this model, NewGenIvf’s medical facilities have established standardized operating procedures to select the treatment process according to each patient’s profile. NewGenIvf’s medical and operational personnel are organized into specialized teams according to the different stages of the treatment process and different patient profiles. When patients are initially admitted or would like to seek additional medical services later on, they are assigned to one of the optimal medical teams, which NewGenIvf believes is better suited after taking into account the patient’s diagnosis and preferences. NewGenIvf believes that this model allows each team to improve its efficiency and arrange suitable physicians for patients.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physicians of NewGenIvf have also developed and employed an operating model that seeks to increase the effectiveness of physicians by utilizing standardized workflows and operating procedures with teams of supporting nurses and medical assistants. This helps to increase the number of IVF treatment cycles that physicians can perform while providing treatment customized based on patient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its established client service history, accumulated experience as well as its continuous upgrades and development of treatment models, NewGenIvf believes that it will be able to better monetize its brands through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NewGenIvf management team has considerable experience in the ARS market and the broader healthcare industry. A considerable number of NewGenIvf’s management are physicians or laboratory technicians who possess extensive experience in the ARS industry and are experts in their respective fields. NewGenIvf’s Chief Executive Officer, Mr. Alfred Siu, has more than 13 years of experience in the fertility service market. Dr. Wiphawee Luangtangvarodom had over 8 years of experience as an obstetrician and gynecologist. NewGenIvf’s two lab supervisors, Ms. Anussara Phinyong, and Ms. Araya Boonchaisitthipong, each had over eight years of experience in the embryologist field. These individuals have extensive experience in managing assisted reproductive medical facilities. NewGenIvf is also led by other members of the professional management team, who are intimately involved in the operational and financial management of NewGenIvf’s Group. Leveraging their experience, NewGenIvf believes that it is well positioned to expand its network and aims to become a leader in the Asia Pacific ARS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vision is to provide tailored ARS solutions to fulfil patients’ dreams of becoming a parent. To realize this vision, NewGenIvf plans to adopt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Offer Broad Fertility Services for Fertility Tourists across Asia Pacific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provide broad fertility services for fertility tourists seeking high quality, cost effective and comprehensive fertility solutions. According to CIC, the demand for fertility tourism is driven by a variety of factors including the prevalence of infertility, the introduction of the Three-Child policy in China, the improved understanding of assisted reproductive technology and increased affordability of ARS. To address these needs, NewGenIvf plans to offer its customers a “hassle-free”, seamless and integrated ARS and hospitality arrangement experience. To complement its fertility services, NewGenIvf intends to integrate its offerings with additional services for traveling patients, most of whom are first-time fertility tourists, such as translation service, hotel arrangement and airport pickup services. NewGenIvf plans to enhance its customers’ experience by entering into exclusive cooperation arrangements with local premium hospitality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 to Invest in Laboratories and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laboratories and treatment facilities are critical to supporting its future research, development and clients experience. NewGenIvf currently operates two laboratories that offer IVF services, one in Thailand and one in Cambodia, and plans to continue to scale up its existing laboratories. NewGenIvf plans to continue to invest in upgrading its laboratories and facilities to complement its growth and expansion, which it believes will help NewGenIvf maintain an edge over its competitors with regard to technology, operational efficiency, scalability, and client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develop advanced facilities for its existing laboratories, which will be conducting research on ARS related basic science and experiments relating to emerging technologies to improve ARS success rates and lower costs. NewGenIvf also plans to correlate its data on patient treatment protocols to the embryo physiologic data and the pregnancy success rate-related data to identify better treatment protocols to increase ARS success rates. NewGenIvf intends to continue to actively promote technological cooperation with tertiary institutions to discover ways to improve its IVF success rates. Furthermore, NewGenIvf seeks to actively deploy the technology that it possesses to expand the services it provides.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accumulated experience in treating patients over 40 years old with premature ovarian failure and patients who have had recurrent ARS implementation failure, by, for the example, injecting platelet rich plasma into the ovaries to stimulate and support growth of the follicles. NewGenIvf is also implementing certain technological advancements relevant to the ARS industry, including microfluidics, automated sperm analysers, time lapsed incubators, non-invasive preimplantation genetic testing (“PGT”) of cell-free DNA in spent media, automated systems for oocyte/embryo vitrification to reduce reagent consumption and decrease labor intensity, mitochondria replacement therapy to reconstruct oocytes by nuclear transfer of polar body genome from an MII oocyte into an enucleated donor MII cytoplasm, to increase the number of oocytes available for the treatment of infertile women, preimplantation methylome screening. There are also breakthrough developments in science including organ culture systems, induced pluripotent stem cells, embryonic stem cells, spermatogonial stem cells for creation of functional gametes, but these techniques are not yet ready for human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intends to develop clinically customised interior design concepts for its medical facilities, including improved service rooms, consultation rooms, reception areas, nutrition food areas, and traditional Chinese medicine (such as acupuncture)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Brand Awareness and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intends to maintain and strengthen its brand awareness and market share in Asia Pacific. In order to expand its reach and increase patient numbers, NewGenIvf plans to collaborate with local hospitals, companies, premium hospitality providers and other key players in the ARS industry in Asia Pacific. Additionally, NewGenIvf intends to increase brand awareness through social media promotions and marketing initiatives, and establishing its business development team with the goal of attracting new patients and partners across Asia Pacific. Meanwhile, NewGenIvf intends to provide innovative treatment services to attract more clients. For example, NewGenIvf plans to introduce IVF mental health services, which allows clients who fail in IVF treatments to access online consultation for further treatment plans such as egg donation and surrogacy. These new treatments services aim to enable NewGenIvf to attract potential clients. By adopting a comprehensive strategy to expand its market share, NewGenIvf aims to strengthen its reputation as a long-standing ARS provider and capture additional market share of the growingly ARS market in Asia-Pacific.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Expand Service Reach Through Acquisitions and Partnerships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reputation and footprint in its current markets, NewGenIvf intends to expand its reach, services offering and client base through strategic acquisitions and/or partnerships in Asia Pacific. Acquisitions of or by companies offering similar services could not only allow NewGenIvf to diversify its client base, but also allow it to benefit from potential economies of scale and increasing efficiency through consolidation. NewGenIvf could also leverage the acquired or acquiring company’s customer base, reputation and expertise to further improve its offerings and operations. NewGenIvf intends to focus on ARS providers in Asia Pacific which possess all conventional licenses and locally recognized brands. For the global market beyond Asia Pacific, NewGenIvf intends to expand its footprint through partnerships with other IVF clinics.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NewGenIvf plans to explore expanding its client base by offering its fertility services as part of corporate benefit programs in Asia. NewGenIvf believes that there is potential in Asia in offering fertility treatments as a benefit for employees, particularly in companies with a large number of female employees of childbearing age. By partnering with corporate clients to provide fertility benefits, NewGenIvf can increase its market reach, enhance its brand reputation, and drive client growth. NewGenIvf’s broad range of fertility services, including IVF and egg freezing, can help corporate partners differentiate their employee benefits in the competitive employment landscape, which could make them more attractive to potential employees. Additionally, by offering these services, companies can help address the growing concern of delayed childbearing, which is becoming more common among women according to CIC. NewGenIvf plans to collaborate with potential corporate clients to develop customized fertility benefit programs that cater to their specific needs, and to provide comprehensive support and counselling throughout the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NewGenIvf also intends to attract more clients by establishing its “home country gynecologist partnership program”. Under the program, NewGenIvf may, subject to its discretion and screening process, offer treatment services to clients with reduced time requirements to be spent overseas. Depending on local laws, the potential clients may be able to complete their treatments with gynecologists NewGenIvf partners with, in their home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completed its acquisition of the MicroSort technology from Genetics &amp; IVF Institute, Inc. (“GIVF”). Pursuant to a Purchase Agreement dated January 21, 2025 between NewGenIvf and GIVF (“Purchase Agreement”), NewGenIvf purchased all of the Assets (as defined in the Purchase Agreement) and IP Licenses (as defined in the Purchase Agreement) relating to the MicroSort technology (as described below from GIVF for a cash consideration of $750,000 and a share consideration of 2,500,000 Class A Ordinary Shares (equivalent to 14 Class A Ordinary Shares adjusted for Reverse Stock Splits) (“MicroSort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certain tangible assets, company domain and six patents from Nodexus Inc.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Exclusively Owned and Licensed Technology for Family Planning and Access to Mature Fertility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its licenses and/or access to mature technologies contribute to its ability to identify and tailor ARS services to individual patient’s needs. These technologies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MicroSort Technology:</w:t>
            </w:r>
            <w:r>
              <w:rPr>
                <w:sz w:val="20"/>
              </w:rPr>
              <w:t xml:space="preserve"> NewGenIvf acquired the MicroSort Business from Genetics &amp; IVF Institute, Inc. (“GIVF”) pursuant to a Purchase Agreement dated January 21, 2025 between NewGenIvf and GIVF (“Purchase Agreement”). As such NewGenIvf exclusively owns the MicroSort Technology. Prior to the closing of the MicroSort Acquisition, NewGenIvf held an exclusive license granted by a division of the Genetics &amp; IVF Institute, Inc. to use MicroSort technology in Thailand and Cambodia.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Preimplantation Genetic Screening (“PGS”)</w:t>
            </w:r>
            <w:r>
              <w:rPr>
                <w:sz w:val="20"/>
              </w:rPr>
              <w:t>: 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i/>
                <w:sz w:val="20"/>
              </w:rPr>
              <w:t>Next-Generation Sequencing (“NGS”)</w:t>
            </w:r>
            <w:r>
              <w:rPr>
                <w:sz w:val="20"/>
              </w:rPr>
              <w:t>: NGS is a high-throughput technology for determining the sequence of deoxyribonucleic acid (“DNA”) or ribonucleic acid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Preimplantation Genetic Diagnosis (“PGD”)</w:t>
            </w:r>
            <w:r>
              <w:rPr>
                <w:sz w:val="20"/>
              </w:rPr>
              <w:t>: Similar to PGS, PGD is also used in parallel with an IVF treatment cycle. But PGD is a process more enhanced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better achieve a healthy pregnancy. Individuals who suspect or know they carry genes for serious medical conditions may opt to screen for healthy embryos ahead of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Nodexus Technology</w:t>
            </w:r>
            <w:r>
              <w:rPr>
                <w:sz w:val="20"/>
              </w:rPr>
              <w:t>: 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focus on providing fertility treatments to fulfil couples and individuals’ dreams of raising children, NewGenIvf offers mainly two services, namely: (i) IVF treatment service, comprising traditional IVF and egg donation; and (ii) fertility referral services. The following table sets forth NewGenIvf’s revenue by service offerings and as a percentage of total revenue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450"/>
        <w:gridCol w:w="60"/>
        <w:gridCol w:w="60"/>
        <w:gridCol w:w="980"/>
        <w:gridCol w:w="60"/>
        <w:gridCol w:w="60"/>
        <w:gridCol w:w="60"/>
        <w:gridCol w:w="560"/>
        <w:gridCol w:w="60"/>
        <w:gridCol w:w="60"/>
        <w:gridCol w:w="60"/>
        <w:gridCol w:w="980"/>
        <w:gridCol w:w="60"/>
        <w:gridCol w:w="60"/>
        <w:gridCol w:w="60"/>
        <w:gridCol w:w="560"/>
        <w:gridCol w:w="7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IVF Treatment Service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82.6</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Fertility Referral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820,570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5,433,375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IVF Treatment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primarily provides its clients with conventional IVF/ICSI and embryo transfer services. NewGenIvf is also able to, through MicroSort technology, help fulfill the family-balancing dreams of its clients and avoiding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that NewGenIvf provides address tubal factor, ovulatory dysfunction, diminished ovarian reserve, endometriosis, uterine factor, male factor, unexplained infertility and other causes. IVF bypasses the function of the fallopian tube by achieving fertilization within a laboratory environment. Ovarian hyper-stimulation is common with IVF treatments to recruit numerous follicles to increase the chances for success. Follicles are retrieved trans-vaginally using a vaginal probe and ultrasound guidance. Anaesthesia is frequently used due to the number of follicles retrieved and the resulting discomfort experienced by the patient. The eggs are identified in the follicular fluid and combined with sperm and culture medium in culture dishes, which are placed in an incubator with a temperature and gas environment designed to mimic the condition of the fallopian tubes. Once the embryos develop, typically over a 3-to-5-day period, they are transferred to the uterine cavity.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revenue from NewGenIvf’s IVF treatments was US$5,433,375 and US$3,905,863, respectively, representing 100% and 82.6% of its total revenue in the corresponding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IVF Treatments Process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IVF treatment process mainly includes two stages, the pre-IVF treatment stage and the IVF treatment stage. During the IVF treatment process, NewGenIvf also provides support services such as nutrition guidance and psychological counselling. The flow chart below shows the stages involved in a typical IVF treatment process: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71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371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pre-IVF treatment stage, clients attend an initial consultation, undergo pre-IVF tests, and undergo treatment for gynaecological and andrological diseases, if needed. At the initial consultation, a physician reviews the clients’ detailed medical history to collect more information relating to the potential cause of their infertility. The client then undergoes various pre-IVF tests, which may include, among other things, blood pressure, hormone level, ultrasound, infectious disease screening, uterine evaluation and male fertility test. The physician will then design treatment plans based on the client’s medical history and results of the tests. If the client is satisfied with treatment plan and the test results are acceptable to the physician, the physician will prescribe medications and start stimulation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step of the cycle is to boost egg production through injecting synthetic hormones. Over about one week of ovarian stimulation, clients are monitored on a regular basis with blood test and transvaginal ultrasound. If follicles have reached at least 10 mm in size, an additional antagonist drug will be added into the daily injection schedule. This is used to prevent ovulation before ovum pickup time. After another few days of ovarian simulation, if follicle growth is consistent and majority of follicles are around 16 mm to 17 mm, the final injection of a human chorionic gonadotropin will be administered. The trigger injection is the final step of the stimulation process and is for the maturation of the eggs in the follicles before they are collected. The next major step is to retrieve the eggs with a minor surgical procedure called Trans Vaginal Follicle Aspiration conducted under anaesthesia. At the same time the male partner collects the sperms for fertilizing the eggs in the laboratory by a process known as intracytoplasmic sperm injection. The fertilized embryos are cultured in the laboratory for two to six days. Embryos that grow well are biopsied and tested by PGT to detect potential genetic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step is to transfer the embryos into the uterus using a catheter. Within eight days after the embryo transfer, a blood test can be conducted to detect whether the implantation was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technology is a preconception process developed by the Genetics and IVF Institute, Inc. that aims to improve the chances that the baby to be conceived will be of the desired gender and prevents certain gender-related hereditary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Semen samples usually contain equal amounts of sperm carrying the Y chromosome (which will produce a boy), and sperm carrying the X chromosome (which will produce a girl). During the MicroSort process, the sperm sample is washed to remove seminal liquid and nonmotile cells. After the washing, the sample is stained with a special fluorescent material that attaches to the DNA contained in the sperm. The stained sperm cells are analyzed one by one by a flow cytometer, in which cells pass through a laser to make the stain attach to the DNA fluoresce. The sperm containing the X chromosome (which have more DNA and therefore more stain) will shine brighter than the sperm containing the Y chromosome. The flow cytometer uses a special software to identify X and Y chromosome sperm based on their fluorescence signature. The sperm carrying the chromosome that will produce the desired gender are separated from the rest of the sample -resulting in an enriched sperm sample ready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held an exclusive license granted by a division of GIVF, MicroSort International, to use the MicroSort technology in Thailand and Cambodia. MicroSort’s licenses for NewGenIvf’s operation in Thailand and Cambodia were each provided under a lease and service agreement. In April 2019, First Fertility PGS entered into a Lease and Services Agreement with MicroSort International to use MicroSort equipment in Thailand and in March 2019, Phnom Penh Center entered into a Lease and Services Agreement with MicroSort International to use MicroSort equipment in Cambodia (together, the “Lease and Services Agreements”). Pursuant to the Lease and Services Agreements, First Fertility PGS and Phnom Penh Center each had the exclusive right to utilize the MicroSort equipment and to market and sell MicroSort sperm sorting services in Thailand and Cambodia, respectively. MicroSort International was responsible for the maintenance of MicroSort equipment and technical and engineering support. The term of each Lease and Service Agreements was initially from 2019 to 2024, which shall be automatically renewed for one year unless a written notice of at least 180 days prior to the intended termination date is provided. The consideration under each of the Lease and Services Agreements was US$9,000 per month after six months. On February 28, 2025, NewGenIvf completed its acquisition of the MicroSort business from Genetics &amp; IVF Institute, Inc. (“GIVF”).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flow chart below shows the process involved in MicroSort: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19675" cy="2562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19675" cy="25622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NewGenIvf acquired patents and machines from Nodexus Inc,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67275" cy="260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867275" cy="260985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Preimplantation Genetic Screening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PGS is used in parallel with an IVF treatment cycle. PGS is the practice of determining the presence of aneuploidy (either too many or too few chromosomes) in a developing embryo. PGS improves success rates of in vitro fertilization by ensuring the transfer of euploid embryos that have a higher chance of implantation and resulting in a live birth. PGS has improved clinical outcomes for NewGenIvf by achieving a higher implantation rate of 70.9% and reducing miscarriage rates by 26.6%.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Next-Generation Sequencing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NGS is a high-throughput technology for determining the sequence of deoxyribonucleic acid DNA or RNA to study genetic variation associated with diseases or other biological phenomena. NGS determines the sequence of a sample all at once by using parallel sequencing. Traditional Sanger sequencing determines the sequence of a sample one section at a time. Sequencing thousands of gene fragments simultaneously with NGS reduces time and cost associated with sequencing and increases the coverage quality and data output.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Preimplantation Genetic Diagnosis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PGS, PGD is also used in parallel with an IVF treatment cycle. But PGD is a more enhanced process than PGS since it scans for individual genes. PGD is the practice of evaluating embryos for specific genetic abnormalities, such as sickle cell disease or cystic fibrosis, where carrier status has been documented in each of the parents. By using this technique, physicians are able to check the genes or chromosomes for a specific genetic condition. PGD can decrease the risk of miscarriage and this technology can help women achieve a healthy pregnancy. Individuals who suspect or know they carry genes for serious medical conditions may opt to screen for healthy embryos ahead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Egg Freezing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provides egg freezing services which is a fertility preservation service that allows individuals to freeze and store their eggs for future use. The process begins with hormonal stimulation to encourage multiple egg production, followed by a minor surgical procedure to retrieve the eggs under sedation. The eggs are then rapidly frozen using vitrification, a technique that prevents ice crystal formation, and stored in liquid nitrogen at ultra-low temperatures. This service is ideal for those delaying childbearing due to career, medical reasons (like cancer treatment), or personal choice. When ready to conceive, the eggs can be thawed, fertilized with sperm, and transferred as embryos. While success rates vary by age and clinic, egg freezing offers a proactive option for preserving 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also generated revenue from fertility referral services in Kyrgyzstan. For the period ended December 31, 2025 and the year ended December 31, 2024, we generated approximately 17.4% and Nil %, of our revenue from fertility referral services. For customers who were interested in surrogacy services in Kyrgyzstan, we referred the customers to our agents and the surrogacy mother services were provided by our agents independently while we received the referral commission from our agents. We believe that this arrangement enabled us to avoid the risk of surrogacy business while we could enjoy the referral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Network of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one accounting and general administrative support office located in Hong Kong and four clinics located in Thailand, in Cambodia, and in Kyrgyzstan, respectively. In the United States, we have not had office yet but acquired MicroSort Lab Services LLC from Genetic IVF Institute during 2025. The integration of the medical facilities in Thailand help NewGenIvf provide a more seamless one-stop experience to its clients. Set out below is an illustration of the locations of NewGenIvf’s clinics and accounting/general administrative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rPr>
      </w:pPr>
      <w:r>
        <w:rPr>
          <w:caps w:val="false"/>
          <w:smallCaps w:val="false"/>
        </w:rPr>
        <w:drawing>
          <wp:inline distT="0" distB="0" distL="0" distR="0">
            <wp:extent cx="5762625" cy="2971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62625" cy="2971800"/>
                    </a:xfrm>
                    <a:prstGeom prst="rect">
                      <a:avLst/>
                    </a:prstGeom>
                  </pic:spPr>
                </pic:pic>
              </a:graphicData>
            </a:graphic>
          </wp:inline>
        </w:drawing>
      </w:r>
      <w:r>
        <w:rPr>
          <w:caps w:val="false"/>
          <w:smallCaps w:val="false"/>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approximate aggregate average gross floor area (“</w:t>
      </w:r>
      <w:r>
        <w:rPr>
          <w:rFonts w:ascii="Times New Roman;Times;Serif" w:hAnsi="Times New Roman;Times;Serif"/>
          <w:b/>
          <w:i w:val="false"/>
          <w:caps w:val="false"/>
          <w:smallCaps w:val="false"/>
          <w:sz w:val="20"/>
        </w:rPr>
        <w:t>G.F.A.</w:t>
      </w:r>
      <w:r>
        <w:rPr>
          <w:rFonts w:ascii="Times New Roman;Times;Serif" w:hAnsi="Times New Roman;Times;Serif"/>
          <w:b w:val="false"/>
          <w:i w:val="false"/>
          <w:caps w:val="false"/>
          <w:smallCaps w:val="false"/>
          <w:sz w:val="20"/>
        </w:rPr>
        <w:t>”) of each of NewGenIvf’s clinics that were under lease and actively used for client service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5724" w:type="dxa"/>
        <w:jc w:val="left"/>
        <w:tblInd w:w="0" w:type="dxa"/>
        <w:tblLayout w:type="fixed"/>
        <w:tblCellMar>
          <w:top w:w="0" w:type="dxa"/>
          <w:left w:w="0" w:type="dxa"/>
          <w:bottom w:w="0" w:type="dxa"/>
          <w:right w:w="0" w:type="dxa"/>
        </w:tblCellMar>
      </w:tblPr>
      <w:tblGrid>
        <w:gridCol w:w="4115"/>
        <w:gridCol w:w="60"/>
        <w:gridCol w:w="118"/>
        <w:gridCol w:w="1356"/>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(Square Feet)</w:t>
            </w:r>
          </w:p>
        </w:tc>
        <w:tc>
          <w:tcPr>
            <w:tcW w:w="7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Thailand</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First Fertility PGS Center Co., Ltd. – PS Tower</w:t>
              <w:br/>
              <w:t>(“</w:t>
            </w:r>
            <w:r>
              <w:rPr>
                <w:b/>
                <w:sz w:val="20"/>
              </w:rPr>
              <w:t>First Fertility PGS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14,750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PGS Center Co., Ltd – Erawan Hotel </w:t>
            </w:r>
            <w:r>
              <w:rPr>
                <w:b/>
                <w:sz w:val="20"/>
              </w:rPr>
              <w:br/>
              <w:t>(“First Fertility PGS Center”)</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2,615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Cambodia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 xml:space="preserve">First Fertility Phnom Penh Center </w:t>
              <w:br/>
              <w:t>(“</w:t>
            </w:r>
            <w:r>
              <w:rPr>
                <w:b/>
                <w:sz w:val="20"/>
              </w:rPr>
              <w:t>Phnom Penh Center</w:t>
            </w:r>
            <w:r>
              <w:rPr>
                <w:sz w:val="20"/>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18,567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i/>
              </w:rPr>
            </w:pPr>
            <w:r>
              <w:rPr>
                <w:b/>
                <w:i/>
              </w:rPr>
              <w:t>Kyrgyzstan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pPr>
            <w:r>
              <w:rPr/>
              <w:t xml:space="preserve">Bi Clinic Limited Liability Company </w:t>
              <w:br/>
              <w:t>(“Bi Clinic”)</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2,164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15" w:type="dxa"/>
            <w:tcBorders/>
            <w:shd w:fill="CCEEFF" w:val="clear"/>
            <w:vAlign w:val="center"/>
          </w:tcPr>
          <w:p>
            <w:pPr>
              <w:pStyle w:val="TableContents"/>
              <w:bidi w:val="0"/>
              <w:spacing w:before="0" w:after="283"/>
              <w:jc w:val="left"/>
              <w:rPr>
                <w:b/>
              </w:rPr>
            </w:pPr>
            <w:r>
              <w:rPr>
                <w:b/>
              </w:rPr>
              <w:t>Aggregate G.F.A</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38,096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the scale of NewGenIvf’s operations, NewGenIvf expanded its Thailand fertility services by leasing a new property for its second clinic Erawan Consultation Clinic in May 2023. Consisting of approximately 2,500 sq. ft., Erawan Consultation Clinic was open in June 2025 and closed in April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IVF treatments are performed in its Thailand and Cambodia clinics, egg donation services are provided in its Cambodia clinic, and surrogacy services are provided in its Kyrgyzstan clinic. The following table summarises the services available at NewGenIvf’s clinics:</w:t>
      </w:r>
    </w:p>
    <w:p>
      <w:pPr>
        <w:pStyle w:val="TextBody"/>
        <w:bidi w:val="0"/>
        <w:spacing w:before="0" w:after="0"/>
        <w:ind w:left="0" w:right="0" w:firstLine="720"/>
        <w:jc w:val="both"/>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5690"/>
        <w:gridCol w:w="60"/>
        <w:gridCol w:w="995"/>
        <w:gridCol w:w="60"/>
        <w:gridCol w:w="980"/>
      </w:tblGrid>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IVF </w:t>
              <w:br/>
              <w:t>Treatments</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center"/>
              <w:rPr>
                <w:b/>
                <w:sz w:val="20"/>
              </w:rPr>
            </w:pPr>
            <w:r>
              <w:rPr>
                <w:b/>
                <w:sz w:val="20"/>
              </w:rPr>
              <w:t xml:space="preserve">Surrogacy </w:t>
              <w:br/>
              <w:t>Services</w:t>
            </w:r>
          </w:p>
        </w:tc>
      </w:tr>
      <w:tr>
        <w:trPr/>
        <w:tc>
          <w:tcPr>
            <w:tcW w:w="5690" w:type="dxa"/>
            <w:tcBorders/>
            <w:shd w:fill="CEEEFE" w:val="clear"/>
            <w:vAlign w:val="center"/>
          </w:tcPr>
          <w:p>
            <w:pPr>
              <w:pStyle w:val="TableContents"/>
              <w:bidi w:val="0"/>
              <w:spacing w:before="0" w:after="283"/>
              <w:jc w:val="left"/>
              <w:rPr>
                <w:b/>
                <w:i/>
                <w:sz w:val="20"/>
              </w:rPr>
            </w:pPr>
            <w:r>
              <w:rPr>
                <w:b/>
                <w:i/>
                <w:sz w:val="20"/>
              </w:rPr>
              <w:t>Thailand</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(PS Tower)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CEEEFE" w:val="clear"/>
            <w:vAlign w:val="center"/>
          </w:tcPr>
          <w:p>
            <w:pPr>
              <w:pStyle w:val="TableContents"/>
              <w:bidi w:val="0"/>
              <w:spacing w:before="0" w:after="283"/>
              <w:jc w:val="left"/>
              <w:rPr>
                <w:sz w:val="20"/>
              </w:rPr>
            </w:pPr>
            <w:r>
              <w:rPr>
                <w:sz w:val="20"/>
              </w:rPr>
              <w:t>First Fertility PGS Center (Erawan Hotel) – closed down in April 2026</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Cambodia</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Phnom Penh Center</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sz w:val="20"/>
              </w:rPr>
            </w:pPr>
            <w:r>
              <w:rPr>
                <w:sz w:val="20"/>
              </w:rPr>
              <w:t>×</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b/>
                <w:i/>
                <w:sz w:val="20"/>
              </w:rPr>
            </w:pPr>
            <w:r>
              <w:rPr>
                <w:b/>
                <w:i/>
                <w:sz w:val="20"/>
              </w:rPr>
              <w:t>Kyrgyzstan</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left"/>
              <w:rPr/>
            </w:pPr>
            <w:r>
              <w:rPr/>
              <w:t> </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left"/>
              <w:rPr/>
            </w:pPr>
            <w:r>
              <w:rPr/>
              <w:t> </w:t>
            </w:r>
          </w:p>
        </w:tc>
      </w:tr>
      <w:tr>
        <w:trPr/>
        <w:tc>
          <w:tcPr>
            <w:tcW w:w="5690" w:type="dxa"/>
            <w:tcBorders/>
            <w:shd w:fill="CEEEFE" w:val="clear"/>
            <w:vAlign w:val="center"/>
          </w:tcPr>
          <w:p>
            <w:pPr>
              <w:pStyle w:val="TableContents"/>
              <w:bidi w:val="0"/>
              <w:spacing w:before="0" w:after="283"/>
              <w:jc w:val="left"/>
              <w:rPr>
                <w:sz w:val="20"/>
              </w:rPr>
            </w:pPr>
            <w:r>
              <w:rPr>
                <w:sz w:val="20"/>
              </w:rPr>
              <w:t xml:space="preserve">BiClinic </w:t>
            </w:r>
          </w:p>
        </w:tc>
        <w:tc>
          <w:tcPr>
            <w:tcW w:w="60" w:type="dxa"/>
            <w:tcBorders/>
            <w:shd w:fill="CEEEFE" w:val="clear"/>
            <w:vAlign w:val="center"/>
          </w:tcPr>
          <w:p>
            <w:pPr>
              <w:pStyle w:val="TableContents"/>
              <w:bidi w:val="0"/>
              <w:spacing w:before="0" w:after="283"/>
              <w:jc w:val="left"/>
              <w:rPr/>
            </w:pPr>
            <w:r>
              <w:rPr/>
              <w:t> </w:t>
            </w:r>
          </w:p>
        </w:tc>
        <w:tc>
          <w:tcPr>
            <w:tcW w:w="995" w:type="dxa"/>
            <w:tcBorders/>
            <w:shd w:fill="CEEEFE" w:val="clear"/>
            <w:vAlign w:val="center"/>
          </w:tcPr>
          <w:p>
            <w:pPr>
              <w:pStyle w:val="TableContents"/>
              <w:bidi w:val="0"/>
              <w:spacing w:before="0" w:after="283"/>
              <w:jc w:val="center"/>
              <w:rPr/>
            </w:pPr>
            <w:r>
              <w:rPr/>
              <w:t>√</w:t>
            </w:r>
          </w:p>
        </w:tc>
        <w:tc>
          <w:tcPr>
            <w:tcW w:w="60" w:type="dxa"/>
            <w:tcBorders/>
            <w:shd w:fill="CEEEFE" w:val="clear"/>
            <w:vAlign w:val="center"/>
          </w:tcPr>
          <w:p>
            <w:pPr>
              <w:pStyle w:val="TableContents"/>
              <w:bidi w:val="0"/>
              <w:spacing w:before="0" w:after="283"/>
              <w:jc w:val="left"/>
              <w:rPr/>
            </w:pPr>
            <w:r>
              <w:rPr/>
              <w:t> </w:t>
            </w:r>
          </w:p>
        </w:tc>
        <w:tc>
          <w:tcPr>
            <w:tcW w:w="980" w:type="dxa"/>
            <w:tcBorders/>
            <w:shd w:fill="CEEEFE" w:val="clear"/>
            <w:vAlign w:val="center"/>
          </w:tcPr>
          <w:p>
            <w:pPr>
              <w:pStyle w:val="TableContents"/>
              <w:bidi w:val="0"/>
              <w:spacing w:before="0" w:after="283"/>
              <w:jc w:val="center"/>
              <w:rPr/>
            </w:pPr>
            <w:r>
              <w:rPr/>
              <w:t>√</w:t>
            </w:r>
          </w:p>
        </w:tc>
      </w:tr>
    </w:tbl>
    <w:p>
      <w:pPr>
        <w:pStyle w:val="TextBody"/>
        <w:bidi w:val="0"/>
        <w:spacing w:before="0" w:after="0"/>
        <w:ind w:left="480" w:right="0" w:hanging="480"/>
        <w:jc w:val="left"/>
        <w:rPr>
          <w:caps w:val="false"/>
          <w:smallCaps w:val="false"/>
        </w:rPr>
      </w:pPr>
      <w:r>
        <w:rPr>
          <w:caps w:val="false"/>
          <w:smallCaps w:val="false"/>
        </w:rPr>
        <w:t> </w:t>
      </w:r>
    </w:p>
    <w:tbl>
      <w:tblPr>
        <w:tblW w:w="765" w:type="dxa"/>
        <w:jc w:val="left"/>
        <w:tblInd w:w="0" w:type="dxa"/>
        <w:tblLayout w:type="fixed"/>
        <w:tblCellMar>
          <w:top w:w="0" w:type="dxa"/>
          <w:left w:w="0" w:type="dxa"/>
          <w:bottom w:w="0" w:type="dxa"/>
          <w:right w:w="0" w:type="dxa"/>
        </w:tblCellMar>
      </w:tblPr>
      <w:tblGrid>
        <w:gridCol w:w="170"/>
        <w:gridCol w:w="260"/>
        <w:gridCol w:w="335"/>
      </w:tblGrid>
      <w:tr>
        <w:trPr/>
        <w:tc>
          <w:tcPr>
            <w:tcW w:w="170" w:type="dxa"/>
            <w:tcBorders/>
            <w:vAlign w:val="center"/>
          </w:tcPr>
          <w:p>
            <w:pPr>
              <w:pStyle w:val="TableContents"/>
              <w:bidi w:val="0"/>
              <w:spacing w:before="0" w:after="283"/>
              <w:jc w:val="both"/>
              <w:rPr/>
            </w:pPr>
            <w:r>
              <w:rPr/>
              <w:t>√</w:t>
            </w:r>
          </w:p>
        </w:tc>
        <w:tc>
          <w:tcPr>
            <w:tcW w:w="260" w:type="dxa"/>
            <w:tcBorders/>
            <w:vAlign w:val="center"/>
          </w:tcPr>
          <w:p>
            <w:pPr>
              <w:pStyle w:val="TableContents"/>
              <w:bidi w:val="0"/>
              <w:spacing w:before="0" w:after="283"/>
              <w:jc w:val="left"/>
              <w:rPr/>
            </w:pPr>
            <w:r>
              <w:rPr/>
              <w:t>—</w:t>
            </w:r>
          </w:p>
        </w:tc>
        <w:tc>
          <w:tcPr>
            <w:tcW w:w="335" w:type="dxa"/>
            <w:tcBorders/>
            <w:vAlign w:val="center"/>
          </w:tcPr>
          <w:p>
            <w:pPr>
              <w:pStyle w:val="TableContents"/>
              <w:bidi w:val="0"/>
              <w:spacing w:before="0" w:after="283"/>
              <w:jc w:val="both"/>
              <w:rPr>
                <w:sz w:val="20"/>
              </w:rPr>
            </w:pPr>
            <w:r>
              <w:rPr>
                <w:sz w:val="20"/>
              </w:rPr>
              <w:t>Yes</w:t>
            </w:r>
          </w:p>
        </w:tc>
      </w:tr>
    </w:tbl>
    <w:p>
      <w:pPr>
        <w:pStyle w:val="TextBody"/>
        <w:bidi w:val="0"/>
        <w:spacing w:before="0" w:after="0"/>
        <w:ind w:left="0" w:right="0" w:hanging="0"/>
        <w:jc w:val="left"/>
        <w:rPr>
          <w:caps w:val="false"/>
          <w:smallCaps w:val="false"/>
        </w:rPr>
      </w:pPr>
      <w:r>
        <w:rPr>
          <w:caps w:val="false"/>
          <w:smallCaps w:val="false"/>
        </w:rPr>
        <w:t> </w:t>
      </w:r>
    </w:p>
    <w:tbl>
      <w:tblPr>
        <w:tblW w:w="675" w:type="dxa"/>
        <w:jc w:val="left"/>
        <w:tblInd w:w="0" w:type="dxa"/>
        <w:tblLayout w:type="fixed"/>
        <w:tblCellMar>
          <w:top w:w="0" w:type="dxa"/>
          <w:left w:w="0" w:type="dxa"/>
          <w:bottom w:w="0" w:type="dxa"/>
          <w:right w:w="0" w:type="dxa"/>
        </w:tblCellMar>
      </w:tblPr>
      <w:tblGrid>
        <w:gridCol w:w="140"/>
        <w:gridCol w:w="260"/>
        <w:gridCol w:w="275"/>
      </w:tblGrid>
      <w:tr>
        <w:trPr/>
        <w:tc>
          <w:tcPr>
            <w:tcW w:w="140" w:type="dxa"/>
            <w:tcBorders/>
            <w:vAlign w:val="center"/>
          </w:tcPr>
          <w:p>
            <w:pPr>
              <w:pStyle w:val="TableContents"/>
              <w:bidi w:val="0"/>
              <w:spacing w:before="0" w:after="283"/>
              <w:jc w:val="both"/>
              <w:rPr>
                <w:sz w:val="20"/>
              </w:rPr>
            </w:pPr>
            <w:r>
              <w:rPr>
                <w:sz w:val="20"/>
              </w:rPr>
              <w:t>×</w:t>
            </w:r>
          </w:p>
        </w:tc>
        <w:tc>
          <w:tcPr>
            <w:tcW w:w="260"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jc w:val="both"/>
              <w:rPr>
                <w:sz w:val="20"/>
              </w:rPr>
            </w:pPr>
            <w:r>
              <w:rPr>
                <w:sz w:val="20"/>
              </w:rPr>
              <w:t>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revenue from services performed at NewGenIvf’s medical centers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270"/>
        <w:gridCol w:w="60"/>
        <w:gridCol w:w="60"/>
        <w:gridCol w:w="980"/>
        <w:gridCol w:w="60"/>
        <w:gridCol w:w="60"/>
        <w:gridCol w:w="60"/>
        <w:gridCol w:w="560"/>
        <w:gridCol w:w="60"/>
        <w:gridCol w:w="60"/>
        <w:gridCol w:w="60"/>
        <w:gridCol w:w="980"/>
        <w:gridCol w:w="60"/>
        <w:gridCol w:w="60"/>
        <w:gridCol w:w="60"/>
        <w:gridCol w:w="560"/>
        <w:gridCol w:w="75"/>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HK SAR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2,175,253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35.8</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Cambodia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635,188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13.4</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Kyrgyzstan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2,656,596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2,312,348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49.0</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third party clinics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0.9</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5,433,375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NewGenIvf had two operating clinics in Thailand. At the clinic in Thailand, NewGenIvf offers its clients customized fertility treatment solutions including IVF/ICSI, embryo culture, hormonal blood tests, infectious diseases tests, chromosome screening by PGT, hysteroscopy, sperm analysis, sorting, washing and freezing, and egg freezing. Its medical and operational personnel are organized into specialized teams according to the different stages of the IVF treatment process and different patient profiles. When clients are admitted, they are assigned to a team which NewGenIvf believes is better suited the clients after taking into account the clients’ diagnosis and preferences. Furthermore, NewGenIvf also provides related value-added services such as nutrition guidance, psychological counselling, acupuncture, and translation interpreters to supplement the IVF treatment. NewGenIvf prides itself on providing quality and customized treatment to its clients on a day-to-day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clinic in Thailand had 8 nurses, 8 full time lab physicians and embryologists, 22 administrative staff, totaling 38 staff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Cambodia Clinic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has one clinic, Phnom Penh Center, in Cambodia. Phnom Penh Center is staffed with 3 Cambodian physician, 2 embryologists, 8 nurses and 12 other staff, and offers similar IVF treatments as in Thailand and egg donation services. Phnom Penh Center operates under a license issued by Cambodia MOH for the Cambodian physician, who has entered into an agreement with Phnom Penh Center for the exclusive use of such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more than ten years of development since its opening in 2015, Phnom Penh Center has become one of the long-standing ARS providers in Cambodia. Phnom Penh Center’s IVF philosophy concentrates on three key points in the treatment process: the mother’s wellbeing, the technology used to assist mothers deliver a strong and healthy baby and the medical science used to ensure every chance of success for women in various age spectrums.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Bi Clinic, NewGenIvf also provide fertility referral services by referring customers who are interested in surrogacy services which are legal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Physician at Bi Clinic has expertise in sourcing surrogate mothers, techniques of embryo transfers, prenatal care, baby delivery, and postnatal care, NewGenIvf refers customers to independent agents for fertility service like surrogacy so as to reduce the operation risks in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Bi Clinic had 1 full-time physician, 1 embryologist, 1 nurse, and 7 other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Licensed Physicians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NewGenIvf contracted with five licensed physicians, among which one was based in Cambodia, one was based in Kyrgyzstan, and the other three were based in Thailand. Most of NewGenIvf’s physicians had over 10 years of experience or above. The following table summarises the number and types of such licensed physicians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5"/>
        <w:gridCol w:w="60"/>
        <w:gridCol w:w="2016"/>
        <w:gridCol w:w="60"/>
        <w:gridCol w:w="2228"/>
        <w:gridCol w:w="60"/>
        <w:gridCol w:w="2059"/>
        <w:gridCol w:w="60"/>
        <w:gridCol w:w="2697"/>
      </w:tblGrid>
      <w:tr>
        <w:trPr/>
        <w:tc>
          <w:tcPr>
            <w:tcW w:w="965" w:type="dxa"/>
            <w:tcBorders>
              <w:bottom w:val="single" w:sz="12" w:space="0" w:color="000000"/>
            </w:tcBorders>
            <w:vAlign w:val="center"/>
          </w:tcPr>
          <w:p>
            <w:pPr>
              <w:pStyle w:val="TableContents"/>
              <w:bidi w:val="0"/>
              <w:spacing w:before="0" w:after="283"/>
              <w:jc w:val="left"/>
              <w:rPr>
                <w:b/>
                <w:sz w:val="20"/>
              </w:rPr>
            </w:pPr>
            <w:r>
              <w:rPr>
                <w:b/>
                <w:sz w:val="20"/>
              </w:rPr>
              <w:t>Country</w:t>
            </w:r>
          </w:p>
        </w:tc>
        <w:tc>
          <w:tcPr>
            <w:tcW w:w="60" w:type="dxa"/>
            <w:tcBorders/>
            <w:tcMar>
              <w:bottom w:w="0" w:type="dxa"/>
            </w:tcMar>
            <w:vAlign w:val="center"/>
          </w:tcPr>
          <w:p>
            <w:pPr>
              <w:pStyle w:val="TableContents"/>
              <w:bidi w:val="0"/>
              <w:spacing w:before="0" w:after="283"/>
              <w:jc w:val="center"/>
              <w:rPr/>
            </w:pPr>
            <w:r>
              <w:rPr/>
              <w:t> </w:t>
            </w:r>
          </w:p>
        </w:tc>
        <w:tc>
          <w:tcPr>
            <w:tcW w:w="2016" w:type="dxa"/>
            <w:tcBorders>
              <w:bottom w:val="single" w:sz="12" w:space="0" w:color="000000"/>
            </w:tcBorders>
            <w:vAlign w:val="center"/>
          </w:tcPr>
          <w:p>
            <w:pPr>
              <w:pStyle w:val="TableContents"/>
              <w:bidi w:val="0"/>
              <w:spacing w:before="0" w:after="283"/>
              <w:jc w:val="center"/>
              <w:rPr>
                <w:b/>
                <w:sz w:val="20"/>
              </w:rPr>
            </w:pPr>
            <w:r>
              <w:rPr>
                <w:b/>
                <w:sz w:val="20"/>
              </w:rPr>
              <w:t>Licensed physician</w:t>
            </w:r>
          </w:p>
        </w:tc>
        <w:tc>
          <w:tcPr>
            <w:tcW w:w="60" w:type="dxa"/>
            <w:tcBorders/>
            <w:tcMar>
              <w:bottom w:w="0" w:type="dxa"/>
            </w:tcMar>
            <w:vAlign w:val="center"/>
          </w:tcPr>
          <w:p>
            <w:pPr>
              <w:pStyle w:val="TableContents"/>
              <w:bidi w:val="0"/>
              <w:spacing w:before="0" w:after="283"/>
              <w:jc w:val="center"/>
              <w:rPr/>
            </w:pPr>
            <w:r>
              <w:rPr/>
              <w:t> </w:t>
            </w:r>
          </w:p>
        </w:tc>
        <w:tc>
          <w:tcPr>
            <w:tcW w:w="2228" w:type="dxa"/>
            <w:tcBorders>
              <w:bottom w:val="single" w:sz="12" w:space="0" w:color="000000"/>
            </w:tcBorders>
            <w:vAlign w:val="center"/>
          </w:tcPr>
          <w:p>
            <w:pPr>
              <w:pStyle w:val="TableContents"/>
              <w:bidi w:val="0"/>
              <w:spacing w:before="0" w:after="283"/>
              <w:jc w:val="center"/>
              <w:rPr>
                <w:b/>
                <w:sz w:val="20"/>
              </w:rPr>
            </w:pPr>
            <w:r>
              <w:rPr>
                <w:b/>
                <w:sz w:val="20"/>
              </w:rPr>
              <w:t>Licenses and</w:t>
              <w:br/>
              <w:t>Approvals</w:t>
            </w:r>
          </w:p>
        </w:tc>
        <w:tc>
          <w:tcPr>
            <w:tcW w:w="60" w:type="dxa"/>
            <w:tcBorders/>
            <w:tcMar>
              <w:bottom w:w="0" w:type="dxa"/>
            </w:tcMar>
            <w:vAlign w:val="center"/>
          </w:tcPr>
          <w:p>
            <w:pPr>
              <w:pStyle w:val="TableContents"/>
              <w:bidi w:val="0"/>
              <w:spacing w:before="0" w:after="283"/>
              <w:jc w:val="center"/>
              <w:rPr/>
            </w:pPr>
            <w:r>
              <w:rPr/>
              <w:t> </w:t>
            </w:r>
          </w:p>
        </w:tc>
        <w:tc>
          <w:tcPr>
            <w:tcW w:w="2059" w:type="dxa"/>
            <w:tcBorders>
              <w:bottom w:val="single" w:sz="12" w:space="0" w:color="000000"/>
            </w:tcBorders>
            <w:vAlign w:val="center"/>
          </w:tcPr>
          <w:p>
            <w:pPr>
              <w:pStyle w:val="TableContents"/>
              <w:bidi w:val="0"/>
              <w:spacing w:before="0" w:after="283"/>
              <w:jc w:val="center"/>
              <w:rPr>
                <w:b/>
                <w:sz w:val="20"/>
              </w:rPr>
            </w:pPr>
            <w:r>
              <w:rPr>
                <w:b/>
                <w:sz w:val="20"/>
              </w:rPr>
              <w:t>Effective Period</w:t>
            </w:r>
          </w:p>
        </w:tc>
        <w:tc>
          <w:tcPr>
            <w:tcW w:w="60" w:type="dxa"/>
            <w:tcBorders/>
            <w:tcMar>
              <w:bottom w:w="0" w:type="dxa"/>
            </w:tcMar>
            <w:vAlign w:val="center"/>
          </w:tcPr>
          <w:p>
            <w:pPr>
              <w:pStyle w:val="TableContents"/>
              <w:bidi w:val="0"/>
              <w:spacing w:before="0" w:after="283"/>
              <w:jc w:val="center"/>
              <w:rPr/>
            </w:pPr>
            <w:r>
              <w:rPr/>
              <w:t> </w:t>
            </w:r>
          </w:p>
        </w:tc>
        <w:tc>
          <w:tcPr>
            <w:tcW w:w="2697" w:type="dxa"/>
            <w:tcBorders>
              <w:bottom w:val="single" w:sz="12" w:space="0" w:color="000000"/>
            </w:tcBorders>
            <w:vAlign w:val="center"/>
          </w:tcPr>
          <w:p>
            <w:pPr>
              <w:pStyle w:val="TableContents"/>
              <w:bidi w:val="0"/>
              <w:spacing w:before="0" w:after="283"/>
              <w:jc w:val="center"/>
              <w:rPr>
                <w:b/>
                <w:sz w:val="20"/>
              </w:rPr>
            </w:pPr>
            <w:r>
              <w:rPr>
                <w:b/>
                <w:sz w:val="20"/>
              </w:rPr>
              <w:t>Issuing</w:t>
              <w:br/>
              <w:t>Authority</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Mr. Keut Serey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Decision on permission for beauty treatment operation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December 14, 2022 – December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The Ministry of Health of Cambodia</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Keatthisak Boonsimma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31801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April 1, 2005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Royal Thai College of Obstetricians and Gynaecologists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22624/2554</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July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40962/2563 Reproductive Medicine Diploma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July 1, 2020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Anurach Kulvanitchaiyanunt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Practice License No. 11755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February 1 2025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Wiphawee Luangtangvarodom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38347/2562</w:t>
              <w:br/>
              <w:t>OB-Gyn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August 1, 2019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43217/2564 Reproductive Medicine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July 1, 2021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48510 Medical Practitioner License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April 1, 2014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Thailand</w:t>
            </w:r>
          </w:p>
        </w:tc>
      </w:tr>
      <w:tr>
        <w:trPr/>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7"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left"/>
              <w:rPr>
                <w:sz w:val="20"/>
              </w:rPr>
            </w:pPr>
            <w:r>
              <w:rPr>
                <w:sz w:val="20"/>
              </w:rPr>
              <w:t>Kyrgyzstan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sz w:val="20"/>
              </w:rPr>
            </w:pPr>
            <w:r>
              <w:rPr>
                <w:sz w:val="20"/>
              </w:rPr>
              <w:t>Dr Myrzalymbekova 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 xml:space="preserve">Number &amp; numero; CO170001836 Medical Certificate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June 23. 2017 -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 xml:space="preserve">Medical Council of Kyrgyzstan </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&amp;numero;0002953 Medical Practitioner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25 April 2018 -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&amp;numero;11373\2565 Medical Certificate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 xml:space="preserve">16 August 2024 - Indefinite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r>
        <w:trPr/>
        <w:tc>
          <w:tcPr>
            <w:tcW w:w="9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283"/>
              <w:jc w:val="left"/>
              <w:rPr>
                <w:sz w:val="20"/>
              </w:rPr>
            </w:pPr>
            <w:r>
              <w:rPr>
                <w:sz w:val="20"/>
              </w:rPr>
              <w:t>Number &amp;numero;0003447 Medical Certificate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59" w:type="dxa"/>
            <w:tcBorders/>
            <w:shd w:fill="CCEEFF" w:val="clear"/>
            <w:tcMar>
              <w:bottom w:w="0" w:type="dxa"/>
            </w:tcMar>
            <w:vAlign w:val="center"/>
          </w:tcPr>
          <w:p>
            <w:pPr>
              <w:pStyle w:val="TableContents"/>
              <w:bidi w:val="0"/>
              <w:spacing w:before="0" w:after="283"/>
              <w:jc w:val="center"/>
              <w:rPr>
                <w:sz w:val="20"/>
              </w:rPr>
            </w:pPr>
            <w:r>
              <w:rPr>
                <w:sz w:val="20"/>
              </w:rPr>
              <w:t>12 April 2023 - Indefinite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7" w:type="dxa"/>
            <w:tcBorders/>
            <w:shd w:fill="CCEEFF" w:val="clear"/>
            <w:tcMar>
              <w:bottom w:w="0" w:type="dxa"/>
            </w:tcMar>
            <w:vAlign w:val="center"/>
          </w:tcPr>
          <w:p>
            <w:pPr>
              <w:pStyle w:val="TableContents"/>
              <w:bidi w:val="0"/>
              <w:spacing w:before="0" w:after="283"/>
              <w:jc w:val="left"/>
              <w:rPr>
                <w:sz w:val="20"/>
              </w:rPr>
            </w:pPr>
            <w:r>
              <w:rPr>
                <w:sz w:val="20"/>
              </w:rPr>
              <w:t>Medical Council of Kyrgyzstan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the majority of NewGenIvf’s clients were from China (including mainland China and Hong Kong). NewGenIvf enters into a verbal contract with each of its customers that outline, among other things, the scope of services, service fees, payment terms and rights, responsibilities and obligations of each party. Consent is obtained from the patients prior to the provision of the various treatments. Customers are not entitled to enjoy the relevant services until outstanding amounts have been settled pursuant to the relevant contract. Sales to individual consumers did not vary significantly and none of the customers contribute more than 10% of NewGenIvf’s revenue for the years ended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significant customers using NewGenIvf’s IVF treatment services and ancillary caring services, NewGenIvf also has customers who utilize the access to the freezing and storage facility and other relatively insignificant services, such as check-ups services, blood test services and other minor services (the latter category of customers are referred to as “consultation customers”). NewGenIvf also refers customers to other IVF and/or Surrogacy agents who will provide fertility referral income for NewGenIvf.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2025, NewGenIvf promoted brand awareness through its sales teams and, in many cases, through cooperating with third-party agencies and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sales teams have broad experience in fertility services and are responsible for identifying potential clients and managing the overall sales process. NewGenIvf’s sales team primarily relies on social media marketing, word-of-mouth referrals, recognition of its brand, printed advertisements and marketing events. NewGenIvf spends marketing expenses on placing advertisements through popular social media platforms, maintaining the official website of NewGenIvf and sending information through its official accounts on social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and Procurement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NewGenIvf’s procurement is mainly for medications, laboratory media and reagents, laboratory consumables, and blood test reagents. As of December 31, 2024 and 2025, there was no single supplier individually contributed more than 10% of the Group’s trade payable respectively. For both the years ended December 31, 2024 and 2025, no vendor contributed more than 10% of total direct cost of the Group. NewGenIvf’s procurement team is experienced in selecting cost-effective supplies as well as selecting reliable suppliers. NewGenIvf’s major suppliers are 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believes that it is a long-standing provider of ARS in Asia Pacific that competes primarily based on the following competitive factors:</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sz w:val="20"/>
              </w:rPr>
            </w:pPr>
            <w:r>
              <w:rPr>
                <w:sz w:val="20"/>
              </w:rPr>
              <w:t>the value and comprehensiveness of the solutions;</w:t>
            </w:r>
          </w:p>
        </w:tc>
      </w:tr>
    </w:tbl>
    <w:p>
      <w:pPr>
        <w:pStyle w:val="TextBody"/>
        <w:bidi w:val="0"/>
        <w:spacing w:before="0" w:after="0"/>
        <w:ind w:left="960" w:right="0" w:hanging="48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treatment that is effective and achieves desired outcomes;</w:t>
            </w:r>
          </w:p>
        </w:tc>
      </w:tr>
    </w:tbl>
    <w:p>
      <w:pPr>
        <w:pStyle w:val="TextBody"/>
        <w:bidi w:val="0"/>
        <w:spacing w:before="0" w:after="0"/>
        <w:ind w:left="960" w:right="0" w:hanging="48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70"/>
        <w:gridCol w:w="8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sz w:val="20"/>
              </w:rPr>
            </w:pPr>
            <w:r>
              <w:rPr>
                <w:sz w:val="20"/>
              </w:rPr>
              <w:t>clients’ experience, including dedicated patient education, clinical guidance and emotional support; and</w:t>
            </w:r>
          </w:p>
        </w:tc>
      </w:tr>
    </w:tbl>
    <w:p>
      <w:pPr>
        <w:pStyle w:val="TextBody"/>
        <w:bidi w:val="0"/>
        <w:spacing w:before="0" w:after="0"/>
        <w:ind w:left="960" w:right="0" w:hanging="48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sz w:val="20"/>
              </w:rPr>
            </w:pPr>
            <w:r>
              <w:rPr>
                <w:sz w:val="20"/>
              </w:rPr>
              <w:t>access to a network of high-quality fertility specialists.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competes primarily with other regional fertility service providers. While NewGenIvf does not believe any single competitor offers a comparably robust and integrated fertility solution package as NewGenIvf in the regions that it operates, NewGenIvf’s competitors may compete in a variety of ways, including by providing better services, having established local connections, fulfilling evolving client needs, as well as conducting brand promotions and other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NewGenIvf may introduce new ancillary services and other companies may introduce similar fertility services as NewGenIvf’s, NewGenIvf may become subject to additional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 addition to its clinics, NewGenIvf leased one property in Hong Kong with an aggregate square footage of approximately 8,000 for its administration support offices. NewGenIvf also operates its medical facilities as described above in “— Network of Facilities” above. NewGenIvf believes that its existing facilities are suitable and adequate to meet its current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k_014"/>
      <w:bookmarkEnd w:id="15"/>
      <w:r>
        <w:rPr>
          <w:rFonts w:ascii="Times New Roman;Times;Serif" w:hAnsi="Times New Roman;Times;Serif"/>
          <w:b/>
          <w:i w:val="false"/>
          <w:caps w:val="false"/>
          <w:smallCaps w:val="false"/>
          <w:sz w:val="20"/>
        </w:rPr>
        <w:t>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Class A ordinary shares and Class B ordinary shares as of the date of this prospectus 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Each person who is known by us to beneficially own more than 5% of our issued and outstanding Class A ordinary shares and Class B ordinary shares;</w:t>
            </w:r>
          </w:p>
        </w:tc>
      </w:tr>
    </w:tbl>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sz w:val="20"/>
              </w:rPr>
            </w:pPr>
            <w:r>
              <w:rPr>
                <w:sz w:val="20"/>
              </w:rPr>
              <w:t>Each of our director, director nominees and named executive officers; and</w:t>
            </w:r>
          </w:p>
        </w:tc>
      </w:tr>
    </w:tbl>
    <w:p>
      <w:pPr>
        <w:pStyle w:val="TextBody"/>
        <w:bidi w:val="0"/>
        <w:spacing w:before="0" w:after="0"/>
        <w:ind w:left="0" w:right="0" w:firstLine="72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sz w:val="20"/>
              </w:rPr>
            </w:pPr>
            <w:r>
              <w:rPr>
                <w:sz w:val="20"/>
              </w:rPr>
              <w:t>All directors and named executive officers as a group.</w:t>
            </w:r>
          </w:p>
        </w:tc>
      </w:tr>
    </w:tbl>
    <w:p>
      <w:pPr>
        <w:pStyle w:val="TextBody"/>
        <w:bidi w:val="0"/>
        <w:spacing w:before="0" w:after="0"/>
        <w:ind w:left="0" w:right="0" w:hanging="0"/>
        <w:jc w:val="both"/>
        <w:rPr>
          <w:caps w:val="false"/>
          <w:smallCaps w:val="false"/>
        </w:rPr>
      </w:pPr>
      <w:r>
        <w:rPr>
          <w:caps w:val="false"/>
          <w:smallCaps w:val="false"/>
        </w:rPr>
        <w:t> </w:t>
      </w:r>
    </w:p>
    <w:tbl>
      <w:tblPr>
        <w:tblW w:w="11345" w:type="dxa"/>
        <w:jc w:val="left"/>
        <w:tblInd w:w="0" w:type="dxa"/>
        <w:tblLayout w:type="fixed"/>
        <w:tblCellMar>
          <w:top w:w="0" w:type="dxa"/>
          <w:left w:w="0" w:type="dxa"/>
          <w:bottom w:w="0" w:type="dxa"/>
          <w:right w:w="0" w:type="dxa"/>
        </w:tblCellMar>
      </w:tblPr>
      <w:tblGrid>
        <w:gridCol w:w="1880"/>
        <w:gridCol w:w="60"/>
        <w:gridCol w:w="104"/>
        <w:gridCol w:w="816"/>
        <w:gridCol w:w="60"/>
        <w:gridCol w:w="60"/>
        <w:gridCol w:w="104"/>
        <w:gridCol w:w="816"/>
        <w:gridCol w:w="60"/>
        <w:gridCol w:w="60"/>
        <w:gridCol w:w="122"/>
        <w:gridCol w:w="963"/>
        <w:gridCol w:w="215"/>
        <w:gridCol w:w="60"/>
        <w:gridCol w:w="114"/>
        <w:gridCol w:w="896"/>
        <w:gridCol w:w="215"/>
        <w:gridCol w:w="60"/>
        <w:gridCol w:w="104"/>
        <w:gridCol w:w="816"/>
        <w:gridCol w:w="60"/>
        <w:gridCol w:w="60"/>
        <w:gridCol w:w="104"/>
        <w:gridCol w:w="816"/>
        <w:gridCol w:w="60"/>
        <w:gridCol w:w="60"/>
        <w:gridCol w:w="122"/>
        <w:gridCol w:w="963"/>
        <w:gridCol w:w="215"/>
        <w:gridCol w:w="60"/>
        <w:gridCol w:w="114"/>
        <w:gridCol w:w="896"/>
        <w:gridCol w:w="230"/>
      </w:tblGrid>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5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shares beneficially owned </w:t>
              <w:br/>
              <w:t>prior 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 beneficially owned</w:t>
              <w:br/>
              <w:t>immediately after this offering</w:t>
            </w:r>
          </w:p>
        </w:tc>
        <w:tc>
          <w:tcPr>
            <w:tcW w:w="23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30" w:type="dxa"/>
            <w:tcBorders/>
            <w:vAlign w:val="center"/>
          </w:tcPr>
          <w:p>
            <w:pPr>
              <w:pStyle w:val="TableContents"/>
              <w:bidi w:val="0"/>
              <w:spacing w:before="0" w:after="283"/>
              <w:ind w:left="0" w:right="0" w:hanging="180"/>
              <w:jc w:val="left"/>
              <w:rPr/>
            </w:pPr>
            <w:r>
              <w:rPr/>
              <w:t> </w:t>
            </w:r>
          </w:p>
        </w:tc>
      </w:tr>
      <w:tr>
        <w:trPr/>
        <w:tc>
          <w:tcPr>
            <w:tcW w:w="1880"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200"/>
              <w:jc w:val="left"/>
              <w:rPr/>
            </w:pPr>
            <w:r>
              <w:rPr/>
              <w:t> </w:t>
            </w:r>
          </w:p>
        </w:tc>
      </w:tr>
      <w:tr>
        <w:trPr/>
        <w:tc>
          <w:tcPr>
            <w:tcW w:w="1880" w:type="dxa"/>
            <w:tcBorders/>
            <w:shd w:fill="CCEEFF" w:val="clear"/>
            <w:vAlign w:val="center"/>
          </w:tcPr>
          <w:p>
            <w:pPr>
              <w:pStyle w:val="TableContents"/>
              <w:bidi w:val="0"/>
              <w:spacing w:before="0" w:after="283"/>
              <w:jc w:val="left"/>
              <w:rPr/>
            </w:pPr>
            <w:r>
              <w:rPr/>
              <w:t>Wing Fung Alfred Siu</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sz w:val="20"/>
              </w:rPr>
            </w:pPr>
            <w:r>
              <w:rPr>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1880" w:type="dxa"/>
            <w:tcBorders/>
            <w:shd w:fill="FFFFFF" w:val="clear"/>
            <w:vAlign w:val="center"/>
          </w:tcPr>
          <w:p>
            <w:pPr>
              <w:pStyle w:val="TableContents"/>
              <w:bidi w:val="0"/>
              <w:spacing w:before="0" w:after="283"/>
              <w:jc w:val="left"/>
              <w:rPr/>
            </w:pPr>
            <w:r>
              <w:rPr/>
              <w:t>Hei Yue Tina Fong</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200"/>
              <w:jc w:val="left"/>
              <w:rPr/>
            </w:pPr>
            <w:r>
              <w:rPr/>
              <w:t>%</w:t>
            </w:r>
          </w:p>
        </w:tc>
      </w:tr>
      <w:tr>
        <w:trPr/>
        <w:tc>
          <w:tcPr>
            <w:tcW w:w="1880" w:type="dxa"/>
            <w:tcBorders/>
            <w:shd w:fill="CCEEFF" w:val="clear"/>
            <w:vAlign w:val="center"/>
          </w:tcPr>
          <w:p>
            <w:pPr>
              <w:pStyle w:val="TableContents"/>
              <w:bidi w:val="0"/>
              <w:spacing w:before="0" w:after="283"/>
              <w:jc w:val="left"/>
              <w:rPr/>
            </w:pPr>
            <w:r>
              <w:rPr/>
              <w:t>Hok Man Jefferson Au</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Chun Wa Tam</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pPr>
            <w:r>
              <w:rPr/>
              <w:t>Florianna Ann Chi Wan Chan</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shd w:fill="FFFFFF" w:val="clear"/>
            <w:vAlign w:val="center"/>
          </w:tcPr>
          <w:p>
            <w:pPr>
              <w:pStyle w:val="TableContents"/>
              <w:bidi w:val="0"/>
              <w:spacing w:before="0" w:after="283"/>
              <w:jc w:val="left"/>
              <w:rPr/>
            </w:pPr>
            <w:r>
              <w:rPr/>
              <w:t>Lee Sze Mun</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pPr>
            <w:r>
              <w:rPr/>
              <w:t>Kong Yiu Cheung</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880" w:type="dxa"/>
            <w:tcBorders/>
            <w:shd w:fill="FFFFFF" w:val="clear"/>
            <w:vAlign w:val="center"/>
          </w:tcPr>
          <w:p>
            <w:pPr>
              <w:pStyle w:val="TableContents"/>
              <w:bidi w:val="0"/>
              <w:spacing w:before="0" w:after="283"/>
              <w:jc w:val="left"/>
              <w:rPr/>
            </w:pPr>
            <w:r>
              <w:rPr/>
              <w:t>Lam Chun Tung Patrick</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Ho Fai Chung</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shd w:fill="FFFFFF" w:val="clear"/>
            <w:vAlign w:val="center"/>
          </w:tcPr>
          <w:p>
            <w:pPr>
              <w:pStyle w:val="TableContents"/>
              <w:bidi w:val="0"/>
              <w:spacing w:before="0" w:after="283"/>
              <w:jc w:val="left"/>
              <w:rPr>
                <w:b/>
              </w:rPr>
            </w:pPr>
            <w:r>
              <w:rPr>
                <w:b/>
              </w:rPr>
              <w:t>All Directors and Executive Officers as Group:</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As of the date of this prospectus, there are [●] Class A Ordinary Shares and [●] Class B Ordinary Shares issued and outstanding. Information with respect to beneficial ownership has been furnished by each director, officer or beneficial owner of more than 5% of our Class A Ordinary Shares and/or Class B Ordinary Shares. Beneficial ownership is determined in accordance with the rules of the SEC and generally requires that such person have voting or investment power with respect to securities. As of the date of this prospectus, we have [●] registered shareholders of record of Class A Ordinary Shares and 2 registered shareholders of record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Units, each Unit consists of one Class A Ordinary Share and one Common Warrant, at an assumed offering price of $[●] per Unit, based upon the closing price of our Class A Ordinary Shares on the Nasdaq Capital Market on [●],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Pre-Funded Units, with each Pre-Funded Unit consisting of one Pre-Funded Warrant and one Common Warrant to each purchaser whose purchase of Units would otherwise result in the purchaser’s, together with its affiliates, beneficial ownership exceeding 4.99% (or, at the election of the purchaser, up to 9.99%) of our outstanding Class A Ordinary Shares immediately following the consummation of this offering. Each Pre-Funded Warrant will be exercisable for one Class A Ordinary Share. Subject to limited exceptions, a holder of Pre-Funded Warrants will not have the right to exercise any portion of its Pre-Funded Warrants if the holder, together with its affiliates, would beneficially own in excess of 4.99% (or, at the election of the holder, up to 9.99%) of the number of Class A Ordinary Shares outstanding immediately after giving effect to such exercise. The purchase price of each Pre-Funded Unit will be equal to the price per Unit minus $0.001, and the exercise price of each Pre-Funded Warrant will be $0.001 per Class A Ordinary Share. The Pre-Funded Warrants will be immediately exercisable (subject to the beneficial ownership cap) and may be exercised at any time until all of the Pre-Funded Warrants are exercised in full. For each Pre-Funded Unit we sell, the number of Units that we are offering will be decreased on a one-for-one basis. The Class A Ordinary Shares and Pre-Funded Warrants, if any, can each be purchased in this offering only with the accompanying Common Warrant as part of a Unit or Pre-Funded Unit, as appliable, but the components of the Units and Pre-Funded Unit will immediately separate upon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issue any fractional Common Warrants or Pre-Funded Warrants in this offering and will round down the number of Common Warrants any purchaser of Units or Pre-Funded Units would otherwise receive to the nearest whole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Warrant will be immediately exercisable for one Class A Ordinary Share at an exercise price of $[●] per share (100% of the offering price of each Unit sold in this offering) and expire three years after the issuance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Class A Ordinary Shares issuable from time to time upon exercise of the Common Warrants and Pre-Funded Warrants included in the Units and Pre-Funded Units offered hereby. Our Units and Pre-Funded Units have no stand-alone rights and will not be certificated or issued as stand-alone securities. The Class A Ordinary Shares (or Pre-Funded Warrants) and the Common Warrants comprising our Units or Pre-Funded Units are immediately separable and will be issued separately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Class A Ordinary Shares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“Description of Share Capital” in this prospectus for a description of the material terms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the Pre-Funded Warrants and Common Warrants offered hereby is not complete and is subject to, and qualified in its entirety by, the provisions of the form of Pre-Funded Warrant and the form of Common Warrant, which will be filed as exhibits to the registration statement of which this prospectus forms a part. Prospective investors should carefully review the terms and provisions set forth in the form of Pre-Funded Warrant and form of Common Warrant. The Pre-Funded Warrants and Common Warrants will be issued in certificated form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w:t>
      </w:r>
      <w:r>
        <w:rPr>
          <w:rFonts w:ascii="Times New Roman;Times;Serif" w:hAnsi="Times New Roman;Times;Serif"/>
          <w:b w:val="false"/>
          <w:i w:val="false"/>
          <w:caps w:val="false"/>
          <w:smallCaps w:val="false"/>
          <w:sz w:val="20"/>
        </w:rPr>
        <w:t>. The Pre-Funded Warrants are exercisable at any time after their original issuance until they are exercised in full. The Common Warrants are immediately exercisable at any time after their issuance and at any time up to the date that is three years after their issuance. Each of the Common Warrants and the Pre-Funded Warrants will be exercisable, at the option of each holder, in whole or in part by delivering to us a duly executed exercise notice with payment in full in immediately available funds for the number of Class A Ordinary Shares purchased upon such exercise (except in the case of a cashless exercise, as discussed below). We may be required to pay certain amounts as liquidated damages as specified in the warrants in the event we do not deliver Class A Ordinary Shares upon exercise of the warrants within the time periods specified in the warrants. No fractional Class A Ordinary Shares will be issued in connection with the exercise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xml:space="preserve"> The holder may, in its sole discretion, elect to exercise the Pre-Funded Warrant through a cashless exercise, in which case the holder would receive upon such exercise the net number of Class A Ordinary Shares determined according to the formula set forth in the Pre-Funded Warrant. If a registration statement registering the issuance of the Class A Ordinary Shares underlying the Common Warrants under the Securities Act is not effective or available, the holder may, in its sole discretion, elect to exercise the Common Warrant through a cashless exercise, in which case the holder would receive upon such exercise the net number of Class A Ordinary Shares determined according to the formula set forth in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Pre-Funded Warrants or Common Warrants if the holder (together with its affiliates) would beneficially own in excess of 4.99% (or, upon election of the holder prior to the issuance of any warrants, up to 9.99%) of the number of shares of our Class A Ordinary Shares outstanding immediately after giving effect to the exercise, as such percentage ownership is determined in accordance with the terms of the Pre-Funded Warrants or Common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The exercise price for the Pre-Funded Warrants is $0.001 per Class A Ordinary Share. Each Common Warrant offered hereby will have an initial exercise price per Ordinary Share equal to $[●] (100% of the offering price of each Unit in this offering, the “Basis Price”). The exercise price and number of Class A Ordinary Shares issuable upon exercise are subject to appropriate adjustment in the event of stock dividends, stock splits, reorganizations or similar events affecting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issuable under the Common Warrants will be proportionately adjusted in the event of certain transactions involving our Class A Ordinary Shares, including stock dividends or share splits, certain distributions and dividends, and rights offerings. Notwithstanding the foregoing, if at any time while the Common Warrants are outstanding, there occurs any share split, share dividend, reverse share split, or share combination, recapitalization or other similar transaction involving the Class A Ordinary Shares (each, a “Share Combination Event”, and the date of that Share Combination Event (or if the Share Combination Event occurs after the close of trading on the principal market, the trading day following that date), the “Share Combination Event Date”), then, in addition and after giving effect to the adjustments for that Share Combination Event elsewhere in the Common Warrants, the exercise price shall be reduced, but in no event increased, to the lowest VWAP during the period commencing five consecutive trading days immediately preceding and the five consecutive trading days immediately following the Share Combination Event Date (as applicable, the “Event Market Price”); provided, that in calculating the Event Market Price, the VWAP for Trading Days prior to the Share Combination Event Date shall be the VWAP reported after adjusting for the Share Combination Event. The number of shares issuable under the Common Warrants will be increased such that the aggregate exercise price, after taking into account the decrease in the exercise price, shall be equal to the aggregate exercise price on the issuance date for the warrant shares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also contain certain downward adjustment mechanism and anti-dilution provisions. If at any time while the Common Warrants are outstanding, the Company sell, enter into an agreement to sell, or grant any option to purchase, or sell or grant any right to reprice, or otherwise dispose of or issue (or announce any offer, sale, grant or any option to purchase or other disposition) any Class A Ordinary Shares or securities convertible or exercisable into Class A Ordinary Shares, excerpt for certain exempt issuance (each a “Subsequent Equity Sale”) for a per share price less than the then effective exercise price of the Common Warrant in effect immediately prior to such Subsequent Equity Sale, the exercise price of the Common Warrant shall be reduced to an amount equal to the price of the Subsequent Equity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adjustments above, in no event shall the exercise price of the Common Warrants be reduced below a floor price of $[●], as adjusted for share dividends, share splits, stock combinations and other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Transferability</w:t>
      </w:r>
      <w:r>
        <w:rPr>
          <w:rFonts w:ascii="Times New Roman;Times;Serif" w:hAnsi="Times New Roman;Times;Serif"/>
          <w:b w:val="false"/>
          <w:i w:val="false"/>
          <w:caps w:val="false"/>
          <w:smallCaps w:val="false"/>
          <w:sz w:val="20"/>
        </w:rPr>
        <w:t>. Subject to applicable laws, the Common Warrants and Pre-Funded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 Listing</w:t>
      </w:r>
      <w:r>
        <w:rPr>
          <w:rFonts w:ascii="Times New Roman;Times;Serif" w:hAnsi="Times New Roman;Times;Serif"/>
          <w:b w:val="false"/>
          <w:i w:val="false"/>
          <w:caps w:val="false"/>
          <w:smallCaps w:val="false"/>
          <w:sz w:val="20"/>
        </w:rPr>
        <w:t>. We do not intend to list the Common Warrants or the Pre-Funded Warrants offered in this offering on any securities exchange or other trading market. Without an active trading market, the liquidity of these securities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as a Shareholder</w:t>
      </w:r>
      <w:r>
        <w:rPr>
          <w:rFonts w:ascii="Times New Roman;Times;Serif" w:hAnsi="Times New Roman;Times;Serif"/>
          <w:b w:val="false"/>
          <w:i w:val="false"/>
          <w:caps w:val="false"/>
          <w:smallCaps w:val="false"/>
          <w:sz w:val="20"/>
        </w:rPr>
        <w:t>. Except as otherwise provided in the Common Warrants or the Pre-Funded Warrants or by virtue of such holder’s ownership of our Class A Ordinary Shares, the holder of a Common Warrant or Pre-Funded Warrant does not have the rights or privileges of a holder of our Class A Ordinary Shares, including any voting rights, until the issuance of Class A Ordinary Shares upon exercise of the warrant. Holders of Pre-Funded Warrants have the right to participate in dividends and holders of Pre-Funded Warrants and Common Warrants have the right to participate in certain distributions as specified in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Common Warrants and the Pre-Funded Warrants and generally including, with certain exceptions, any reorganization, recapitalization or reclassification of our Class A Ordinary Shares, the sale, transfer or other disposition of all or substantially all of our properties or assets, our consolidation or merger with or into another person, the acquisition of more than 50% of our outstanding Class A Ordinary Shares or 50% of the voting power represented by our outstanding Class A Ordinary Shares, the holders of the Common Warrants and the Pre-Funded Warrants will be entitled to receive upon exercise of the warrants the kind and amount of securities, cash or other property that the holders would have received had they exercised the warrants immediately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The Pre-Funded Warrants and the Common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k_015"/>
      <w:bookmarkEnd w:id="1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placement agency agreement, we engaged [●] (“[●]”, or the “Placement Agent”) to act as our placement agent on a reasonable best efforts basis in connection with this offering. The Placement Agent is not purchasing or selling any such securities, nor is the Placement Agent required to arrange for the purchase and sale of any specific number or dollar amount of such securities, other than to use their “reasonable best efforts,” to arrange for 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The Placement Agent may engage sub-agents or selected dealers to assist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securities purchase agreement (the “Securities Purchase Agreement”) directly with each investor in connection with this offering and we may not sell the entire amount, or any amount, of securities offered pursuant to this prospectus. The form of the Securities Purchase Agreement is included as an exhibit to the registration statement of which this prospectus is a part. We have agreed to indemnify the investors against certain losses resulting from our breach of any of our representations, warranties, or covenants under agreements with the purchasers as well as under certain other circumstances described in the Securities Purchase Agreement. If any investors do not enter into a securities purchase agreement with the Company, they shall rely solely on this prospectus in connection with the purchase of our securities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to the investors the ordinary shares electronically and will mail such investors physical warrant certificates for the warrants underlying the securities, upon closing and receipt of investor funds for the purchase of the securities offered pursuant to this prospectus. We intend to complete one closing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to the Placement Agent a cash fee equal to [●] percent ([●] %) of the aggregate gross proceeds raised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pay or reimburse the Placement Agent up to US$[●] for its actual and accountable out-of-pocket expenses related to the offering, including any fees and disbursements of the Placement Agent’s legal counsel and, if applicable, any electronic road show service used in connection with the offering. If such offering is terminated, then we agreed to pay or reimburse the Placement Agent up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total expenses payable by us for this offering to be approximately US$[●], which amount includes (i) a Placement Agent’s fee of approximately US$[●], assuming the sale of all of the securities we are offering; (ii) the reimbursement of Placement Agent’s expenses in the amount of US$[●] in connection with this offering; and (iii) other estimated expenses of approximately US$[●], which include legal, accounting, printing costs and various fees associated with the registration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have agreed to a 90 day “lock-up” period from the closing of this offering with respect to the Class A Ordinary Shares that they beneficially own. This means that, for a period of 90 days following the closing of the offering, such persons may not offer, issuer, sell, contract to sell, encumber, grant any option for the sale of or otherwise dispose of any of our securities without the prior written consent of the Placement Agent, including the issuance of shares upon the exercise of currently outstanding options approved by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similar restrictions on the issuance, sale, disposal and registration (subject to certain exceptions) of our securities for 30 days following the closing of this offering, subject to certain customary exceptions, without the prior written consent of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has no present intention to waive or shorten the lock-up period; however, the terms of the lock-up agreements may be waived at its discretion. In determining whether to waive the terms of the lock-up agreements, the Placement Agent may base its decision on its assessment of the relative strengths of the securities markets and companies similar to ours in general, and the trading pattern of, and demand for, our securities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currently listed on the Nasdaq Capital Market under the symbol “NIVF”. There is no established public trading market for the Pre-Funded Warrants or the Common Warrants, and we do not plan to list the Pre-Funded Warrants or the Common Warrants on the Nasdaq Capital Market or any other securities exchange or trading market. Without an active trading market, the liquidity of the Pre-Funded Warrants or the Common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for a period of twelve (12) months from the closing of this offering, the Placement Agent will have a right of first refusal to act as sole managing underwriter and sole book runner, sole placement agent, or sole sales agent, for any and all future public or private equity, equity-linked or debt (excluding commercial bank debt) offerings for which the Company retains the service of an underwriter, agent, advisor, finder or other person or entity in connection with such offering during such twelve (12) months period of the Company, or any successor to or any subsidiary of the Company (such financing, a “Subsequent Financing”); provided, however, that such right shall be subject to FINRA Rule 5110(f)(2). In addition, we shall not offer to retain any entity or person in connection with any such offering on terms more favorable than terms on which it offers to retain the Placement Agent. Such offer shall be made in writing in order to be effective. The Company shall provide the Placement Agent with written notice of no less than three (3) business days following its election to engage in a Subsequent Offering, which notice shall describe the proposed terms and conditions of such Subsequent Offering. The Placement Agent shall notify the Company within ten (10) business days of its receipt of the written offer contemplated above as to whether or not it agrees to accept such retention. If the Placement Agent should decline such retention, the Company shall have no further obligations to the Placement Agent with respect to the offering for which it has offered to retain the Placement Agent, except as otherwise provided for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or if the engagement period as provided in the engagement letter between us and the Placement Agent ends prior to a closing of an offering (other than a termination for cause), then if within twelve months following such time, we complete any financing of equity, equity-linked, convertible or debt or other capital-raising activity with, or receive any proceeds from, any investors that were actually contacted, or introduced by the Placement Agent, then the Company shall pay to the Placement Agent a commission of [     ]%, in each case only with respect to the portion of such financing received from such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affiliates have and may in the future provide, from time to time, investment banking and financial advisory services to us in the ordinary course of business, for which they may receive customary fees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offering price of the securities we are offering will be negotiated between us, the Placement Agent and the investors in the offering based on the trading of our Class A Ordinary Shares prior to the offering, among other things. Other factors considered in determining the offering price of the securities we are offering include our history and prospects, the industry in which we operate, our past and present operating results,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its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its affiliates may from time to time in the future engage with us and perform services for us or in the ordinary course of their business for which they will receive customary fees and expenses. In the ordinary course of their various business activities, the Placement Agent and its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Placement Agent and its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Placement Agent. In connection with the offering, the Placement Agent or selected dealers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Placement Agent’ website and any information contained in any other website maintained by the Placement Agent is not part of the prospectus or the registration statement of which this prospectus forms a part, has not been approved and/or endorsed by us or the Placement Agent in their capacity as Placement Agent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may be deemed to be underwriters within the meaning of Section 2(a)(11) of the Securities Act and any fees received by them and any profit realized on the sale of the securities by them while acting as principal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Australia</w:t>
      </w:r>
      <w:r>
        <w:rPr>
          <w:rFonts w:ascii="Times New Roman;Times;Serif" w:hAnsi="Times New Roman;Times;Serif"/>
          <w:b w:val="false"/>
          <w:i w:val="false"/>
          <w:caps w:val="false"/>
          <w:smallCaps w:val="false"/>
          <w:sz w:val="20"/>
        </w:rPr>
        <w:t>. No placement document, prospectus, product disclosure statement or other disclosure document has been lodged with the Australian Securities and Investments Commission (ASIC), in relation to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Brazil</w:t>
      </w:r>
      <w:r>
        <w:rPr>
          <w:rFonts w:ascii="Times New Roman;Times;Serif" w:hAnsi="Times New Roman;Times;Serif"/>
          <w:b w:val="false"/>
          <w:i w:val="false"/>
          <w:caps w:val="false"/>
          <w:smallCaps w:val="false"/>
          <w:sz w:val="20"/>
        </w:rPr>
        <w:t>. The offer of securities described in this prospectus will not be carried out by means that would constitute a public offering in Brazil under Law No. 6,385, of December 7, 1976, as amended, under the CVM Rule (Instrução) No. 400, of December 29, 2003. The offer and sale of the securities have not been and will not be registered with the Comissão de Valores Móbilearios in Brazil. The securities have not been offered or sold, and will not be offered or sold in Brazil, except in circumstances that do not constitute a public offering or distribution under Brazilian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Canada</w:t>
      </w:r>
      <w:r>
        <w:rPr>
          <w:rFonts w:ascii="Times New Roman;Times;Serif" w:hAnsi="Times New Roman;Times;Serif"/>
          <w:b w:val="false"/>
          <w:i w:val="false"/>
          <w:caps w:val="false"/>
          <w:smallCaps w:val="false"/>
          <w:sz w:val="20"/>
        </w:rPr>
        <w:t xml:space="preserve">. The securities may be sold in Canada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sz w:val="20"/>
        </w:rPr>
        <w:t>Prospectus Exemptions</w:t>
      </w:r>
      <w:r>
        <w:rPr>
          <w:rFonts w:ascii="Times New Roman;Times;Serif" w:hAnsi="Times New Roman;Times;Serif"/>
          <w:b w:val="false"/>
          <w:i w:val="false"/>
          <w:caps w:val="false"/>
          <w:smallCaps w:val="false"/>
          <w:sz w:val="20"/>
        </w:rPr>
        <w:t xml:space="preserve"> or subsection 73.3(1) of the Securities Act (Ontario), and are permitted clients, as defined in National Instrument 31 103 </w:t>
      </w:r>
      <w:r>
        <w:rPr>
          <w:rFonts w:ascii="Times New Roman;Times;Serif" w:hAnsi="Times New Roman;Times;Serif"/>
          <w:b w:val="false"/>
          <w:i/>
          <w:caps w:val="false"/>
          <w:smallCaps w:val="false"/>
          <w:sz w:val="20"/>
        </w:rPr>
        <w:t>Registration Requirements, Exemptions and Ongoing Registrant Obligations</w:t>
      </w:r>
      <w:r>
        <w:rPr>
          <w:rFonts w:ascii="Times New Roman;Times;Serif" w:hAnsi="Times New Roman;Times;Serif"/>
          <w:b w:val="false"/>
          <w:i w:val="false"/>
          <w:caps w:val="false"/>
          <w:smallCaps w:val="false"/>
          <w:sz w:val="20"/>
        </w:rPr>
        <w:t>. Any resale of the securities must be made in accordance with an exemption from, or in a transaction not subject to, the prospectus requirements of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33 105 Underwriting Conflicts (NI 33 105), the Placement Agent are not required to comply with the disclosure requirements of NI 33-105 regarding conflicts of interest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Cayman Islands</w:t>
      </w:r>
      <w:r>
        <w:rPr>
          <w:rFonts w:ascii="Times New Roman;Times;Serif" w:hAnsi="Times New Roman;Times;Serif"/>
          <w:b w:val="false"/>
          <w:i w:val="false"/>
          <w:caps w:val="false"/>
          <w:smallCaps w:val="false"/>
          <w:sz w:val="20"/>
        </w:rPr>
        <w:t>. No invitation, whether directly or indirectly, may be made to the public in the Cayman Islands to subscribe for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European Economic Area</w:t>
      </w:r>
      <w:r>
        <w:rPr>
          <w:rFonts w:ascii="Times New Roman;Times;Serif" w:hAnsi="Times New Roman;Times;Serif"/>
          <w:b w:val="false"/>
          <w:i w:val="false"/>
          <w:caps w:val="false"/>
          <w:smallCaps w:val="false"/>
          <w:sz w:val="20"/>
        </w:rPr>
        <w:t>. In relation to each Member State of the European Economic Area which has 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 any other circumstances falling within Article 3(2) of the Prospectus Directive, provided that no such offer of securities shall result in a requirement for the publication by us or any underwriter of a prospectus pursuant to Article 3 of the Prospectus Directive.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Hong Kong</w:t>
      </w:r>
      <w:r>
        <w:rPr>
          <w:rFonts w:ascii="Times New Roman;Times;Serif" w:hAnsi="Times New Roman;Times;Serif"/>
          <w:b w:val="false"/>
          <w:i w:val="false"/>
          <w:caps w:val="false"/>
          <w:smallCaps w:val="false"/>
          <w:sz w:val="20"/>
        </w:rPr>
        <w:t>. 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shares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which are or are intended to be disposed of only to persons outside Hong Kong or only to “professional investors” within the meaning of the SFO and any rules made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Israel</w:t>
      </w:r>
      <w:r>
        <w:rPr>
          <w:rFonts w:ascii="Times New Roman;Times;Serif" w:hAnsi="Times New Roman;Times;Serif"/>
          <w:b w:val="false"/>
          <w:i w:val="false"/>
          <w:caps w:val="false"/>
          <w:smallCaps w:val="false"/>
          <w:sz w:val="20"/>
        </w:rPr>
        <w:t>. 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People</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 Republic of China</w:t>
      </w:r>
      <w:r>
        <w:rPr>
          <w:rFonts w:ascii="Times New Roman;Times;Serif" w:hAnsi="Times New Roman;Times;Serif"/>
          <w:b w:val="false"/>
          <w:i w:val="false"/>
          <w:caps w:val="false"/>
          <w:smallCaps w:val="false"/>
          <w:sz w:val="20"/>
        </w:rPr>
        <w:t>. This prospectus may not be circulated or distributed in the PRC and the shares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Switzerland</w:t>
      </w:r>
      <w:r>
        <w:rPr>
          <w:rFonts w:ascii="Times New Roman;Times;Serif" w:hAnsi="Times New Roman;Times;Serif"/>
          <w:b w:val="false"/>
          <w:i w:val="false"/>
          <w:caps w:val="false"/>
          <w:smallCaps w:val="false"/>
          <w:sz w:val="20"/>
        </w:rPr>
        <w:t>. The securities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Taiwan</w:t>
      </w:r>
      <w:r>
        <w:rPr>
          <w:rFonts w:ascii="Times New Roman;Times;Serif" w:hAnsi="Times New Roman;Times;Serif"/>
          <w:b w:val="false"/>
          <w:i w:val="false"/>
          <w:caps w:val="false"/>
          <w:smallCaps w:val="false"/>
          <w:sz w:val="20"/>
        </w:rPr>
        <w:t>. 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United Kingdom.</w:t>
      </w:r>
      <w:r>
        <w:rPr>
          <w:rFonts w:ascii="Times New Roman;Times;Serif" w:hAnsi="Times New Roman;Times;Serif"/>
          <w:b w:val="false"/>
          <w:i w:val="false"/>
          <w:caps w:val="false"/>
          <w:smallCaps w:val="false"/>
          <w:sz w:val="20"/>
        </w:rPr>
        <w:t xml:space="preserve"> 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or the FSMA) as received in connection with the issue or sale of our Common Stock in circumstances in which Section 21(1) of the FSMA does not apply to us. All applicable provisions of the FSMA will be complied with in respect to anything done in relation to our Common Stock in, from or otherwise involving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our securities offered by this prospectus, you may be required to pay stamp taxes and other charges under the laws and practices of the country of purchase, in addition to the offering price listed on the cover page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k_016"/>
      <w:bookmarkEnd w:id="17"/>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Class A and Class B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issuance of an unlimited Class A Ordinary Shares, unlimited Class B Ordinary Shares and unlimited preferred shares with no par value (“Preferred Shares”). As of the date of this prospectus, we have [</w:t>
      </w:r>
      <w:r>
        <w:rPr>
          <w:rFonts w:ascii="Wingdings" w:hAnsi="Wingdings"/>
          <w:b w:val="false"/>
          <w:i w:val="false"/>
          <w:caps w:val="false"/>
          <w:smallCaps w:val="false"/>
          <w:sz w:val="20"/>
        </w:rPr>
        <w:t>l</w:t>
      </w:r>
      <w:r>
        <w:rPr>
          <w:rFonts w:ascii="Times New Roman;Times;Serif" w:hAnsi="Times New Roman;Times;Serif"/>
          <w:b w:val="false"/>
          <w:i w:val="false"/>
          <w:caps w:val="false"/>
          <w:smallCaps w:val="false"/>
          <w:sz w:val="20"/>
        </w:rPr>
        <w:t>] Class A Ordinary Shares outstanding, [</w:t>
      </w:r>
      <w:r>
        <w:rPr>
          <w:rFonts w:ascii="Wingdings" w:hAnsi="Wingdings"/>
          <w:b w:val="false"/>
          <w:i w:val="false"/>
          <w:caps w:val="false"/>
          <w:smallCaps w:val="false"/>
          <w:sz w:val="20"/>
        </w:rPr>
        <w:t>l</w:t>
      </w:r>
      <w:r>
        <w:rPr>
          <w:rFonts w:ascii="Times New Roman;Times;Serif" w:hAnsi="Times New Roman;Times;Serif"/>
          <w:b w:val="false"/>
          <w:i w:val="false"/>
          <w:caps w:val="false"/>
          <w:smallCaps w:val="false"/>
          <w:sz w:val="20"/>
        </w:rPr>
        <w:t>] Class B Ordinary Shares outstanding, and no Preferred Shares outstanding. All of our outstanding Class A Ordinary Shares are validly issued, and fully paid. Our Class A Ordinary Shares and Class B Ordinary Shares are not subject to any preemptive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 Yue Tina Fong and Wing Fung Alfred Siu control the voting power of all of the outstanding Class B Ordinary Shares. Although Ms. Fong and Mr. Siu control the voting power of all of the outstanding Class B Ordinary Shares, their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(as defined in the Memorandum and Articles of Association) of such holder, those shares will automatically and immediately convert into Class A Ordinary Shares. In addition, all Class B Ordinary Shares will automatically convert to Class A Ordinary Shares in other events described below. See “— Optional and 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its Board of Directors subject to its Memorandum and Articles of Association and applicable law. No dividend may be declared and paid unless the Board of Directors determine that, immediately after the payment, the value of the Company assets will exceed its liabilities and the Company will be able to pay its debts as and when they fall due. Holders of Class A ordinary shares and Class B ordinary shares will be entitled to the same amount of dividends, if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Holders of Class A Ordinary Shares and Class B Ordinary Shares have the right to receive notice of, attend, speak and vote at general meetings of the shareholders. In respect of all matters upon which holders of our shares are entitled to vote, each Class A Ordinary Share are entitled to one (1) vote and each Class B Ordinary Share are entitled to one hundred (100) votes. At any meeting of shareholders a resolution put to the vote of the meeting shall be decided by way of a poll and not by way of a show of hands. </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shareholders is duly constituted if, at the commencement of the meeting, there are present in person or by proxy not less than 50 per cent of the votes of the shares entitled to vote on resolutions of the shareholders to be considered at the meeting. As a BVI business company, the Company is not obliged by the BVI Act to call shareholders’ annual general meetings. The Memorandum and Articles of Association provide that the Company may (but is not obliged to) in each calendar year hold a general meeting as its annual general meeting in which case the Company will specify the meeting as such in the notices calling it, and the annual general meeting will be held at such time and place as may be determined by its directors. Each general meeting, other than an annual general meeting, shall be an extraordinary general meeting.</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annual general meetings and any other general meetings of the Company’s shareholders may be convened by any director or, upon a requisition of shareholders holding at the date of deposit of the requisition not less than 30 percent of the votes attaching to the issued and outstanding shares entitled to vote at general meetings in respect of the matter for which the meeting is requested, in which case the directors are obliged to convene such meeting and to put the resolutions so requisitioned to a vote at such meeting; however, the Memorandum and Articles of Association do not provide its shareholders with any right to put any proposals before any annual general meetings or any extraordinary general meetings not called by such shareholders. Advance notice of at least ten (10) days and not more than sixty (60) days is required for the convening of the Company’s annual general meeting and other general meetings unless such notice is waived in accordance with its articles of association.</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to be passed at a meeting by the shareholders requires the affirmative vote of a simple majority of the votes attaching to the shares cast by those shareholders entitled to vote who are present in person or by proxy at a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adjustment pursuant to the Memorandum and Articles of Association, 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BVI Act and the Memorandum and Articles of Association, the Company may be voluntarily liquidated under Part XII of the BVI Act by resolution of directors and resolution of shareholders if the Company’s assets exceed the Company’s liabilities and the Company is able to pay the Company’s debts as they fall due. The Company may also be wound up in circumstances where the Company is insolvent in accordance with the terms of the BVI Insolvency Act (As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and the assets available for distribution among the Company’s shareholders are more than sufficient to repay all amounts paid to the Company on account of the issue of shares immediately prior to the winding up, the excess shall be distributable pari passu among those shareholders in proportion to the amount paid up immediately prior to the winding up on the shares held by them, respectively. If the Company is wound up and the assets available for distribution among the shareholders as such are insufficient to repay the whole of the amounts paid to the Company on account of the issue of shares, those assets shall be distributed so that, to the greatest extent possible, the losses shall be borne by the shareholders in proportion to the amounts paid up immediately prior to the winding up on the shares held by them, respectively. If the Company is wound up, the liquidator appointed by the Company may, in accordance with the BVI Act, divide among the Company’s shareholders in specie or kind the whole or any part of the Company’s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Repurchase and Surrender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shares on terms that such shares are subject to redemption, at the Company’s option or at the option of the holders thereof, on such terms and in such manner as may be determined, before the issue of such shares, by the Board of Directors. The Company may also repurchase any of its shares provided that the Company may not purchase, redeem or otherwise acquire its own shares without the consent of the shareholder whose Shares are to be purchased, redeemed or otherwise acquired unless the Company is permitted or required by the Act or any other provision in the Memorandum or Articles to purchase, redeem or otherwise acquire the Shares without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Company’s share are divided into different classes or series of shares, the rights attached to any class or series of shares (unless otherwise provided by the terms of issue of the shares of that class or series), whether or not the Company is being wound-up, may be varied by a resolution passed at a meeting by the holders of more than fifty percent of the issued shares of that class that have voted (and are entitled to vote thereon) in relation to any such resolution, unless otherwise provided by the terms of issue of such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Inspection of Books and Records.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have no general right under BVI law to inspect or obtain copies of the Company’s list of shareholders or its corporate records. However, the Company will provide its shareholders with annual audited financial statements.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 the Board of Directors to issue additional Class A or Class B Ordinary Shares from time to time as the Board of Directors shall determine, to the extent of available authorized but unissued shares. The Memorandum and Articles of Association also authorize the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0"/>
              </w:rPr>
            </w:pPr>
            <w:r>
              <w:rPr>
                <w:sz w:val="20"/>
              </w:rPr>
              <w:t>the designation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sz w:val="20"/>
              </w:rPr>
            </w:pPr>
            <w:r>
              <w:rPr>
                <w:sz w:val="20"/>
              </w:rPr>
              <w:t>the number of shares of the series;</w:t>
            </w:r>
          </w:p>
        </w:tc>
      </w:tr>
    </w:tbl>
    <w:p>
      <w:pPr>
        <w:pStyle w:val="TextBody"/>
        <w:bidi w:val="0"/>
        <w:spacing w:before="0" w:after="0"/>
        <w:ind w:left="0" w:right="0" w:firstLine="567"/>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the dividend rights, dividend rates, conversion rights, voting rights; and</w:t>
            </w:r>
          </w:p>
        </w:tc>
      </w:tr>
    </w:tbl>
    <w:p>
      <w:pPr>
        <w:pStyle w:val="TextBody"/>
        <w:bidi w:val="0"/>
        <w:spacing w:before="0" w:after="0"/>
        <w:ind w:left="0" w:right="0" w:firstLine="567"/>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sz w:val="20"/>
              </w:rPr>
            </w:pPr>
            <w:r>
              <w:rPr>
                <w:sz w:val="20"/>
              </w:rPr>
              <w:t>the rights and terms of redemption and liquidation preferences.</w:t>
            </w:r>
          </w:p>
        </w:tc>
      </w:tr>
    </w:tbl>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issue preferred shares without action by its shareholders to the extent authorized but unissued. Issuance of these shares may dilute the voting power of holders of Class A Ordinary Shares and Class B Ordinary Shares.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Memorandum and Articles of Association may discourage, delay or prevent a change of control of the Company or management that shareholders may consider favorable, including (i) provisions that authorize the Board of Directors to issue preferred shares in one or more series and to designate the price, rights, preferences, privileges and restrictions of such preferred shares without any further vote or action by its shareholders; and (ii) provisions providing that directors may not be removed by the shareholders except for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Memorandum and Articles of Association, the Board of Directors may issue Preferred Shares with such preferred rights as they shall determine. The rights, privileges, restrictions and conditions attaching to the Preferred Shares shall be stated in the Memorandum and Articles of Association, which shall be amended accordingly prior to the issue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k_017"/>
      <w:bookmarkEnd w:id="18"/>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general summary of the material U.S. federal income tax consequences relevant to an investment in our Ordinary Shares. The discussion is not intended to be, nor should it be construed as, legal or tax advice to any particular prospective purchaser. The discussion is based on laws and relevant interpretations thereof as of the date of this registration statement, all of which are subject to change or different interpretations, possibly with retroactive effect. The discussion does not address U.S. state or local tax laws. You should consult your own tax advisors with respect to the consequences of acquisition, ownership and disposition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considerations that may apply to a securityholder of the Company as a result of the ownership and disposition of the Company Securities.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or, except as discussed here, any tax reporting obligations of a holder of the Company Securities. Holders should consult their own tax advisors regarding such tax consequences in light of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requested or will be obtained from the IRS regarding the U.S. federal income tax consequences discussed below;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the Company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96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sz w:val="20"/>
              </w:rPr>
            </w:pPr>
            <w:r>
              <w:rPr>
                <w:sz w:val="20"/>
              </w:rPr>
              <w:t>banks or other financial institutions, underwriters, or 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sz w:val="20"/>
              </w:rPr>
            </w:pPr>
            <w:r>
              <w:rPr>
                <w:sz w:val="20"/>
              </w:rPr>
              <w:t>traders in securities who elect to apply a mark-to-market method of accounting;</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sz w:val="20"/>
              </w:rPr>
            </w:pPr>
            <w:r>
              <w:rPr>
                <w:sz w:val="20"/>
              </w:rPr>
              <w:t>real estate investment trusts and 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sz w:val="20"/>
              </w:rPr>
            </w:pPr>
            <w:r>
              <w:rPr>
                <w:sz w:val="20"/>
              </w:rPr>
              <w:t>tax-exempt organizations, qualified retirement plans, individual retirement accounts, or other tax- deferred accounts;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sz w:val="20"/>
              </w:rPr>
            </w:pPr>
            <w:r>
              <w:rPr>
                <w:sz w:val="20"/>
              </w:rPr>
              <w:t>expatriates or 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sz w:val="20"/>
              </w:rPr>
            </w:pPr>
            <w:r>
              <w:rPr>
                <w:sz w:val="20"/>
              </w:rPr>
              <w:t>subchapter S corporations, partnerships or other pass-through entities or investors in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sz w:val="20"/>
              </w:rPr>
            </w:pPr>
            <w:r>
              <w:rPr>
                <w:sz w:val="20"/>
              </w:rPr>
              <w:t>any holder that is not a U.S. Holder;</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sz w:val="20"/>
              </w:rPr>
            </w:pPr>
            <w:r>
              <w:rPr>
                <w:sz w:val="20"/>
              </w:rPr>
              <w:t>dealers or traders in securities, commodities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sz w:val="20"/>
              </w:rPr>
            </w:pPr>
            <w:r>
              <w:rPr>
                <w:sz w:val="20"/>
              </w:rPr>
              <w:t>grantor trusts;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persons subject to the alternative minimum tax;</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U.S. persons whose “functional currency” is not the U.S. dollar;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receive stock of the Company through the issuance of restricted share under an incentive plan or through a tax-qualified retirement plan or otherwise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U.S. shareholders of controlled foreign corporations, as those terms are defined in Sections 951(b) and 957(a),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persons who own (directly or through attribution) 5% or more (by vote or value) of the outstanding Class A Ordinary Shares (excluding 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holders holding ASCA securities, or, after the Business Combination, the Company Securities, as a position in a “straddle,” as part of a “synthetic security” or “hedge,” as part of a “conversion transaction,” or other integrated investment or risk reduction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the Company Securities, that is, for U.S. federal income tax purposes:</w:t>
      </w:r>
    </w:p>
    <w:p>
      <w:pPr>
        <w:pStyle w:val="TextBody"/>
        <w:bidi w:val="0"/>
        <w:spacing w:before="0" w:after="0"/>
        <w:ind w:left="96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sz w:val="20"/>
              </w:rPr>
            </w:pPr>
            <w:r>
              <w:rPr>
                <w:sz w:val="20"/>
              </w:rPr>
              <w:t>an individual who is a citizen or resident of the United States;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960" w:right="0" w:hanging="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sz w:val="20"/>
              </w:rPr>
            </w:pPr>
            <w:r>
              <w:rPr>
                <w:sz w:val="20"/>
              </w:rPr>
              <w:t>an estate the income of which is subject to U.S. federal income tax regardless of its source; or</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the Company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ownership and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PURPORT TO BE A COMPREHENSIVE ANALYSIS OR DESCRIPTION OF ALL POTENTIAL U.S. FEDERAL INCOME TAX CONSEQUENCES OF OWNERSHIP AND DISPOSITION OF THE COMPANY SECURITIES. IN ADDITION, THE U.S. FEDERAL INCOME TAX TREATMENT OF THE BENEFICIAL OWNERS OF THE COMPANY SECURITIES MAY BE AFFECTED BY MATTERS NOT DISCUSSED HEREIN AND DEPENDS IN SOME INSTANCES ON DETERMINATIONS OF FACT AND INTERPRETATIONS OF COMPLEX PROVISIONS OF U.S. FEDERAL INCOME TAX LAW FOR WHICH NO CLEAR PRECEDENT OR AUTHORITY MAY BE AVAILABLE. HOLDERS OF THE COMPANY SECURITIES SHOULD CONSULT WITH THEIR TAX ADVISORS REGARDING THE PARTICULAR TAX CONSEQUENCES TO THEM OF THE OWNERSHIP AND DISPOSITION OF THE COMPANY SECURITIES,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 Passive Foreign Investment Company Status,” the gross amount of any distribution on the Class A Ordinary Shares that is made out of the Company’s current and accumulated earnings and profits (as determined for U.S. federal income tax purposes) will generally be taxable to a U.S. Holder as ordinary dividend income on the date such distribution is actually or constructively received by such U.S. Holder. Any such dividends paid to corporate U.S. Holders generally will not qualify for the dividends-received deduction that may otherwise be allowed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U.S. Treasury Department guidance indicates that shares listed on Nasdaq will be considered readily tradable on an established securities market in the United States. Even if the Class A Ordinary Shares are listed on Nasdaq, there can be no assurance that the Class A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the Company’s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the Company will not constitute a qualified foreign corporation for purposes of these rules if it is a PFIC for the taxable year in which it pays a dividend or for the preceding taxable year. See the discussion below under “— 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the Company, calculated by reference to the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income or loss (if any) generally will be income or loss from U.S. sources for foreign tax credit limitation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any distribution made by the Company on the Class A Ordinary Shares exceeds the Company’s current and accumulated earnings and profits for a taxable year (as determined under U.S. federal income tax principles), the distribution will first be treated as a tax-free return of capital, causing a reduction in the adjusted basis of the U.S. Holder’s the Class A Ordinary Shares, and to the extent the amount of the distribution exceeds the U.S. Holder’s tax basis, the excess will be taxed as capital gain recognized on a sale or exchange as described below under “— Sale, Exchange, Redemption or Other Taxable Disposition of the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Passive Foreign Investment Company Status,” a U.S. Holder will generally recognize gain or loss on any sale, exchange, redemption, or other taxable disposition of the Class A Ordinary Shares and the Warrants in an amount equal to the difference between the amount realized on the disposition and such U.S. Holder’s adjusted tax basis in such the Class A Ordinary Shares or Warrants. Any gain or loss recognized by a U.S. Holder on a taxable disposition of the Class A Ordinary Shares or Warrants will generally be capital gain or loss and will be long-term capital gain or loss if the holder’s holding period in the Class A Ordinary Shares 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the Class A Ordinary Shares or the Warrants will generally be treated as U.S. source gain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gain or loss upon the acquisition of an ordinary share of the Company on the exercise of a Warrant for cash. A U.S. Holder’s tax basis in an ordinary share received upon exercise of the Warrant generally will be an amount equal to the sum of the U.S. Holder’s tax basis in the Warrant exchanged therefor and the exercise price. The U.S. Holder’s holding period for an ordinary share received upon exercise of the Warrant will begin on the date following the date of exercise (or possibly the date of exercise) of the Warrants and will not include the period during which the U.S. Holder held the Warrants. If a Warrant is allowed to lapse unexercised, a U.S. Holder generally will recognize a capital loss equal to such holder’s tax basis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Class A Ordinary Shares received would equal the holder’s basis in the Warrant. If the cashless exercise were treated as not being a gain recognition event, a U.S. Holder’s holding period in the Class A Ordinary Shares would be treated as commencing on the date following the date of exercise (or possibly the date of exercise) of the Warrant. If the cashless exercise were treated as a recapitalization, the holding period of the Class A Ordinary Share would include the holding period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with respect to the surrendered warrants in an amount generally equal to the difference between (i) the fair market value of the Class A Ordinary Shares that would have been received with respect to the surrendered warrants in a regular exercise of the Warrants and (ii) the sum of the U.S. Holder’s tax basis in the surrendered warrants and the aggregate cash exercise price of such warrants (if they had been exercised in a regular exercise). In this case, a U.S. Holder’s tax basis in the Class A Ordinary Shares received would equal the U.S. Holder’s tax basis in the Warrants exercised plus (or minus) the gain (or loss) recognized with respect to the surrendered warrants. A U.S. Holder’s holding period for the Class A Ordinary Shares would commence on the date following the date of exercise (or possibly the date of exercise)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the Company or any of its subsidiaries is treated as a PFIC for any taxable year during which the U.S. Holder holds the Company Securities. A non-U.S. corporation will be classified as a PFIC for any taxable year (a) if at least 75% of its gross income in a taxable year, including its pro rata share of the gross income of any entity in which it is considered to own at least 25% of the interest by value, is passive income, or (b) if at least 50% of its assets in a taxable year of the foreign corporation,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 PFIC in the 2024 taxable year, such U.S. Holder would likely recognize gain (but not loss if the Reincorporation Merger qualifies as a “reorganization”) upon the exchange of ASCA securities for The Company securities pursuant to the Reincorporation Merger. The gain (or loss) would be computed as described above under “— If the Reincorporation Merger Does Not Qualify as a Reorganization.” Any such gain recognized by such U.S. Holder on the exchange of ASCA securities for The Company securities would be allocated ratably over the U.S. Holder’s holding period for the ASCA securities. Such amounts allocated for the current taxable year and any taxable year prior to the first taxable year in which ASCA was a PFIC would be treated as ordinary income, and not as capital gain, in the U.S. Holder’s taxable year, and such amounts allocated to each other taxable year beginning with the year that ASCA became a PFIC would be taxed at the highest tax rate in effect for each year to which the gain was allocated, together with a special interest charge on the tax attributable to each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Company is a PFIC for any taxable year is a factual determination that depends on, among other things, the composition of the Company’s income and assets, the market value of its assets, and potentially the composition of the income and assets of one or more of the Company’s subsidiaries and the market value of their assets in that year. Whether a Company subsidiary is a PFIC for any taxable year is likewise a factual determination that depends on, among other things, the composition of the subsidiary’s income and assets and the market value of such assets in that year. One or more changes in these factors may cause the Company and/or one or more of its subsidiaries to become a PFIC for a taxable year even though it has not been a PFIC for one or more prior taxable years. Whether the Company or a subsidiary is treated as a PFIC for U.S. federal income tax purposes is a factual determination that must be made annually at the close of each taxable year and, thus, is subject to significant uncertainty. Moreover, there can be no assurance that the Company will timely provide a PFIC annual information statement for 2024 or going forward. The failure to provide such information on an annual basis could preclude U.S. Holders from making or maintaining a “qualified electing fund” election under Section 1295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determined to be a PFIC for any taxable year (or portion thereof) that is included in the holding period of a U.S. Holder of Class A Ordinary Shares, the U.S. Holder did not make a valid “mark-to-market” election, such U.S. Holder generally will be subject to special rules with respect to:</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gain recognized by the U.S. Holder on the sale or other disposition of the Company Securities (including a redemption treated as a sale or exchange);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such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firstLine="72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sz w:val="20"/>
              </w:rPr>
            </w:pPr>
            <w:r>
              <w:rPr>
                <w:sz w:val="20"/>
              </w:rPr>
              <w:t>the U.S. Holder’s gain or excess distribution will be allocated ratably over the U.S. Holder’s Company Securities;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the U.S. Holder’s taxable year in which the U.S. holder recognized gain or received the excess distribution, or to the period in the U.S. Holder’s holding period before the first day of the Company’s first taxable year in the Company is a PFIC, will be taxed as ordinary income;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interest charge generally applicable to underpayments of tax will be imposed in respect of the tax attributable to each such other taxable year of the U.S. Holder.</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determination as to the Company’s PFIC status will be made annually, an initial determination that the Company is a PFIC will generally apply for subsequent years to a U.S. Holder who held Company Securities while the Company was a PFIC, whether or not the Company meets the test for PFIC status in those subsequent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the Class A Ordinary Shares and for which the Company is determined to be a PFIC, such holder generally will not be subject to the PFIC rules described above in respect to the Class A Ordinary Shares as long as such shares continue to be treated as marketable stock. Instead, in general, the U.S. Holder will include as ordinary income each year that the Company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recognized income as a result of the mark-to-market election). The U.S. Holder’s adjusted tax basis in its Class A Ordinary Shares will be adjusted to reflect any such income or loss amounts, and any further gain recognized on a sale or other taxable disposition of the Class A Ordinary Shares in a taxable year in which the Company is treated as a PFIC will be treated as ordinary income. Special tax rules may also apply if a U.S. Holder makes a mark-to-market election for a taxable year after the first taxable year in which the U.S. Holder holds (or is deemed to hold) its Class A Ordinary Shares and for which the Company is treated as a PFIC. Currently, a mark-to-market election may not be made with respect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stock that is regularly traded on a national securities exchange that is registered with the SEC, including Nasdaq (on which the Company Securities are traded), or on a foreign exchange or market that the IRS determines has rules sufficient to ensure that the market price represents a legitimate and sound fair market value. Such stock generally will be “regularly traded” for any calendar year during which such stock is traded, other than in de minimis quantities, on at least 15 days during each calendar quarter, but no assurances can be given in this regard with respect to the Class A Ordinary Shares. U.S. Holders should consult their own tax advisors regarding the availability and tax consequences of a mark-to-market election in respect of the Class A Ordinary Shares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U.S. Holders generally would be deemed to own a portion of the shares of such lower-tier PFIC, and generally could incur liability for the deferred tax and interest charge described above if the Company were to receive a distribution from, or dispose of all or part of the Company’s interest in, the lower-tier PFIC (even though such U.S. Holder would not receive the proceeds of those distributions or dispositions) or the U.S. Holders otherwise were deemed to have disposed of an interest in the lower-tier PFIC. A mark-to-market election generally would not be available with respect to such lower-tier PFIC. U.S. Holders are urged to consult their own tax advisors regarding the tax issues raised by lower-tier PFICs.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mark-to-market election is or has been made) with such U.S. Holder’s U.S. federal income tax return and provide any such other information as may be required by the U.S. Treasury Department. Failure to do so, if required, will extend the statute of limitations until such required information is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mark-to-market elections are very complex and are affected by various factors in addition to those described above. Accordingly, U.S. Holders of Company Securities should consult their own tax advisors concerning the application of the PFIC rules to the Company Securities under the U.S. Holders’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dividends received by U.S. Holders of the Class A Ordinary Shares (including constructive dividends), and the proceeds received on sale or other taxable disposition of the Class A Ordinary Shares or Warrants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or the U.S. Holder’s broker) or is otherwise subject to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holding specified foreign financial assets with an aggregate value in excess of the applicable dollar threshold are required to report information to the IRS relating to the Company Securities, subject to certain exceptions (including an exception for the Company Securities held in accounts maintained by U.S. financial institutions), by attaching a complete IRS Form 8938, Statement of Specified Foreign Financial Assets, with their tax return, for each year in which they hold the Company Securities. In addition to these requirements, U.S. Holders may be required to annually file FinCEN Report 114 (Report of Foreign Bank and Financial Accounts) with the U.S. Department of Treasury. U.S. Holders should consult their own tax advisors regarding information reporting requirements relating to their ownership of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credit against a holder’s U.S. federal income tax liability, if any, provided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contain a detailed description of all the United States federal income tax consequences that may be applicable to you in light of your particular circumstances and, except as set forth below with respect to PRC tax considerations, does not address the effects of any state, local or non-United States tax laws. If you are considering the purchase, ownership or disposition of our Ordinary Shares, you should consult your own tax advisors concerning the United States federal income tax consequences to you in light of your particular situation as well as any consequences arising under the laws of any other taxing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k_018"/>
      <w:bookmarkEnd w:id="1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securities law concerning this offering will be passed upon for us by Han Kun Law Offices LLP. Certain legal matters as to BVI law will be passed upon for us by Ogier. Han Kun Law Offices LLP may rely upon Ogier with respect to matters governed by BVI law. Certain legal matters as to U.S. federal law in connection with this Offering will be passed upon for the Placement Agent by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k_019"/>
      <w:bookmarkEnd w:id="20"/>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NewGenIvf Limited as of and for the years ended December 31, 2025, 2024, and 2023 included in this prospectus have been so included in reliance on the report of J &amp; S Associate PLT (“J &amp; S”), an independent registered public accounting firm with its registered address at B-11-14, Megan Avenue II 12, Jalan Yap Kwan Seng, 50450, Kuala Lumpur, Malaysia , given on the authority of said firm as an expert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k_020"/>
      <w:bookmarkEnd w:id="21"/>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estimated expenses of the issuance and distribution of the securities being registered under the Registration Statement of which this prospectus forms a part, all of which will be paid by us. With the exception of the SEC registration fee, all amounts are estimates and may change:</w:t>
      </w:r>
    </w:p>
    <w:p>
      <w:pPr>
        <w:pStyle w:val="TextBody"/>
        <w:bidi w:val="0"/>
        <w:spacing w:before="0" w:after="0"/>
        <w:ind w:left="0" w:right="0" w:firstLine="720"/>
        <w:jc w:val="both"/>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2060"/>
        <w:gridCol w:w="60"/>
        <w:gridCol w:w="125"/>
        <w:gridCol w:w="365"/>
        <w:gridCol w:w="140"/>
      </w:tblGrid>
      <w:tr>
        <w:trPr/>
        <w:tc>
          <w:tcPr>
            <w:tcW w:w="2060"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65" w:type="dxa"/>
            <w:tcBorders/>
            <w:shd w:fill="CCEEFF" w:val="clear"/>
            <w:vAlign w:val="center"/>
          </w:tcPr>
          <w:p>
            <w:pPr>
              <w:pStyle w:val="TableContents"/>
              <w:bidi w:val="0"/>
              <w:spacing w:before="0" w:after="283"/>
              <w:jc w:val="right"/>
              <w:rPr>
                <w:sz w:val="20"/>
              </w:rPr>
            </w:pPr>
            <w:r>
              <w:rPr>
                <w:sz w:val="20"/>
              </w:rPr>
              <w:t>[     ]</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Printer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365" w:type="dxa"/>
            <w:tcBorders/>
            <w:shd w:fill="FFFFFF" w:val="clear"/>
            <w:vAlign w:val="center"/>
          </w:tcPr>
          <w:p>
            <w:pPr>
              <w:pStyle w:val="TableContents"/>
              <w:bidi w:val="0"/>
              <w:spacing w:before="0" w:after="283"/>
              <w:jc w:val="right"/>
              <w:rPr>
                <w:sz w:val="20"/>
              </w:rPr>
            </w:pPr>
            <w:r>
              <w:rPr>
                <w:sz w:val="20"/>
              </w:rPr>
              <w:t>[     ]</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Finra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65" w:type="dxa"/>
            <w:tcBorders/>
            <w:shd w:fill="CCEEFF" w:val="clear"/>
            <w:vAlign w:val="center"/>
          </w:tcPr>
          <w:p>
            <w:pPr>
              <w:pStyle w:val="TableContents"/>
              <w:bidi w:val="0"/>
              <w:spacing w:before="0" w:after="283"/>
              <w:jc w:val="right"/>
              <w:rPr>
                <w:sz w:val="20"/>
              </w:rPr>
            </w:pPr>
            <w:r>
              <w:rPr>
                <w:sz w:val="20"/>
              </w:rPr>
              <w:t>[     ]</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365" w:type="dxa"/>
            <w:tcBorders/>
            <w:shd w:fill="FFFFFF" w:val="clear"/>
            <w:vAlign w:val="center"/>
          </w:tcPr>
          <w:p>
            <w:pPr>
              <w:pStyle w:val="TableContents"/>
              <w:bidi w:val="0"/>
              <w:spacing w:before="0" w:after="283"/>
              <w:jc w:val="right"/>
              <w:rPr>
                <w:sz w:val="20"/>
              </w:rPr>
            </w:pPr>
            <w:r>
              <w:rPr>
                <w:sz w:val="20"/>
              </w:rPr>
              <w:t>[     ]</w:t>
            </w:r>
          </w:p>
        </w:tc>
        <w:tc>
          <w:tcPr>
            <w:tcW w:w="140" w:type="dxa"/>
            <w:tcBorders/>
            <w:shd w:fill="FFFFFF" w:val="clear"/>
            <w:vAlign w:val="center"/>
          </w:tcPr>
          <w:p>
            <w:pPr>
              <w:pStyle w:val="TableContents"/>
              <w:bidi w:val="0"/>
              <w:spacing w:before="0" w:after="283"/>
              <w:jc w:val="left"/>
              <w:rPr>
                <w:sz w:val="20"/>
              </w:rPr>
            </w:pPr>
            <w:r>
              <w:rPr>
                <w:sz w:val="20"/>
              </w:rPr>
              <w:t>*</w:t>
            </w:r>
          </w:p>
        </w:tc>
      </w:tr>
      <w:tr>
        <w:trPr/>
        <w:tc>
          <w:tcPr>
            <w:tcW w:w="2060" w:type="dxa"/>
            <w:tcBorders/>
            <w:shd w:fill="CCEEFF" w:val="clear"/>
            <w:vAlign w:val="center"/>
          </w:tcPr>
          <w:p>
            <w:pPr>
              <w:pStyle w:val="TableContents"/>
              <w:bidi w:val="0"/>
              <w:spacing w:before="0" w:after="283"/>
              <w:jc w:val="left"/>
              <w:rPr>
                <w:sz w:val="20"/>
              </w:rPr>
            </w:pPr>
            <w:r>
              <w:rPr>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36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     ]</w:t>
            </w:r>
          </w:p>
        </w:tc>
        <w:tc>
          <w:tcPr>
            <w:tcW w:w="14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365" w:type="dxa"/>
            <w:tcBorders>
              <w:bottom w:val="double" w:sz="12" w:space="0" w:color="000000"/>
            </w:tcBorders>
            <w:shd w:fill="FFFFFF" w:val="clear"/>
            <w:tcMar>
              <w:bottom w:w="28" w:type="dxa"/>
            </w:tcMar>
            <w:vAlign w:val="center"/>
          </w:tcPr>
          <w:p>
            <w:pPr>
              <w:pStyle w:val="TableContents"/>
              <w:bidi w:val="0"/>
              <w:spacing w:before="0" w:after="283"/>
              <w:jc w:val="right"/>
              <w:rPr>
                <w:sz w:val="20"/>
              </w:rPr>
            </w:pPr>
            <w:r>
              <w:rPr>
                <w:sz w:val="20"/>
              </w:rPr>
              <w:t>[     ]</w:t>
            </w:r>
          </w:p>
        </w:tc>
        <w:tc>
          <w:tcPr>
            <w:tcW w:w="1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283"/>
              <w:jc w:val="left"/>
              <w:rPr>
                <w:sz w:val="20"/>
              </w:rPr>
            </w:pPr>
            <w:r>
              <w:rPr>
                <w:sz w:val="20"/>
              </w:rPr>
              <w:t>*</w:t>
            </w:r>
          </w:p>
        </w:tc>
        <w:tc>
          <w:tcPr>
            <w:tcW w:w="6380" w:type="dxa"/>
            <w:tcBorders/>
            <w:vAlign w:val="center"/>
          </w:tcPr>
          <w:p>
            <w:pPr>
              <w:pStyle w:val="TableContents"/>
              <w:bidi w:val="0"/>
              <w:spacing w:before="0" w:after="283"/>
              <w:jc w:val="both"/>
              <w:rPr>
                <w:sz w:val="20"/>
              </w:rPr>
            </w:pPr>
            <w:r>
              <w:rPr>
                <w:sz w:val="20"/>
              </w:rPr>
              <w:t>An estimate of expected legal fees and expenses and printer fees and expenses.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k_021"/>
      <w:bookmarkEnd w:id="22"/>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company,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 majority of our directors and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 as our agent to receive service of process with respect to any action brought against us in the United States District Court for districts in the State of New York under the federal securities laws of the United States or of any State of the United States or any action brought against us in the Supreme Court of the State of New York under the securities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 courts are unlikely: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recognize or enforce against the Company, judgments of courts of the U.S. based on certain civil liability provisions of U.S. securities laws where that liability is in respect of penalties, taxes, fines or similar fiscal or revenue obligations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to impose liabilities against the Company, in original actions brought in the British Virgin Islands, based on certain civil liability provisions of U.S. securities laws that are penal in 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British Virgin Islands of judgments obtained in the U.S., however, the courts of the British Virgin Islands will in certain circumstances recognize such a foreign judgment and treat it as a cause of action in itself which may be sued upon as a debt at common law so that no retrial of the issues would be necessary,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U.S. court issuing the judgment had jurisdiction in the matter and the company either submitted to such jurisdiction or was resident or carrying on business within such jurisdiction and was duly served with process;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is final and for a liquidated sum;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judgment given by the U.S. court was not in respect of penalties, taxes, fines or similar fiscal or revenue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obtaining judgment there was no fraud on the part of the person in whose favor judgment was given or on the part of the court;</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recognition or enforcement of the judgment in the British Virgin Islands would not be contrary to public policy;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the proceedings pursuant to which judgment was obtained were not contrary to natural justice.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appropriate circumstances, a British Virgin Islands Court may give effect in the British Virgin Islands to other kinds of final foreign judgments such as declaratory orders, orders for performance of contracts and injunctions.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k_022"/>
      <w:bookmarkEnd w:id="2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under the Securities Act relating to this registration of the Ordinary Shares to be offered in this Best Efforts Offering. This prospectus, which is part of the Registration Statement,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filings with the SEC are also available to the public through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5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www.newgenivf.com. Information contained on, or that can be accessed through, our website does not constitute a part of this prospectus. We have included our website address in this prospectus solely as an inactive textual reference. We will post on our website any materials required to be so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Class A Ordinary Share or One Pre-Funded Warrant to Purchase One Class A Ordinary Share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Common Warrant to Purchase One Class A Ordinary Share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Pre-Funded 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 Class A Ordinary Shares Underlying the Common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57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95450" cy="4572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LIMITED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8"/>
        <w:gridCol w:w="60"/>
        <w:gridCol w:w="297"/>
      </w:tblGrid>
      <w:tr>
        <w:trPr/>
        <w:tc>
          <w:tcPr>
            <w:tcW w:w="9848" w:type="dxa"/>
            <w:tcBorders/>
            <w:shd w:fill="CCEEFF" w:val="clear"/>
            <w:vAlign w:val="center"/>
          </w:tcPr>
          <w:p>
            <w:pPr>
              <w:pStyle w:val="TableContents"/>
              <w:bidi w:val="0"/>
              <w:spacing w:before="0" w:after="283"/>
              <w:ind w:left="0" w:right="0" w:hanging="180"/>
              <w:jc w:val="left"/>
              <w:rPr>
                <w:b/>
                <w:sz w:val="20"/>
              </w:rPr>
            </w:pPr>
            <w:r>
              <w:rPr>
                <w:b/>
                <w:sz w:val="20"/>
              </w:rPr>
              <w:t>AUDITED CONSOLIDATED FINANCIAL STATEMENTS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left"/>
              <w:rPr/>
            </w:pPr>
            <w:r>
              <w:rPr/>
              <w:t> </w:t>
            </w:r>
          </w:p>
        </w:tc>
      </w:tr>
      <w:tr>
        <w:trPr/>
        <w:tc>
          <w:tcPr>
            <w:tcW w:w="9848" w:type="dxa"/>
            <w:tcBorders/>
            <w:shd w:fill="FFFFFF" w:val="clear"/>
            <w:vAlign w:val="center"/>
          </w:tcPr>
          <w:p>
            <w:pPr>
              <w:pStyle w:val="TableContents"/>
              <w:bidi w:val="0"/>
              <w:spacing w:before="0" w:after="283"/>
              <w:jc w:val="left"/>
              <w:rPr/>
            </w:pPr>
            <w:hyperlink w:anchor="f_001">
              <w:r>
                <w:rPr>
                  <w:rStyle w:val="InternetLink"/>
                  <w:sz w:val="20"/>
                </w:rPr>
                <w:t>Report of Independent Registered Public Accounting Firm (PCAOB ID: 6743)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F-2</w:t>
            </w:r>
          </w:p>
        </w:tc>
      </w:tr>
      <w:tr>
        <w:trPr/>
        <w:tc>
          <w:tcPr>
            <w:tcW w:w="9848" w:type="dxa"/>
            <w:tcBorders/>
            <w:shd w:fill="CCEEFF" w:val="clear"/>
            <w:vAlign w:val="center"/>
          </w:tcPr>
          <w:p>
            <w:pPr>
              <w:pStyle w:val="TableContents"/>
              <w:bidi w:val="0"/>
              <w:spacing w:before="0" w:after="283"/>
              <w:jc w:val="left"/>
              <w:rPr/>
            </w:pPr>
            <w:hyperlink w:anchor="f_002">
              <w:r>
                <w:rPr>
                  <w:rStyle w:val="InternetLink"/>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F-3</w:t>
            </w:r>
          </w:p>
        </w:tc>
      </w:tr>
      <w:tr>
        <w:trPr/>
        <w:tc>
          <w:tcPr>
            <w:tcW w:w="9848" w:type="dxa"/>
            <w:tcBorders/>
            <w:shd w:fill="FFFFFF" w:val="clear"/>
            <w:vAlign w:val="center"/>
          </w:tcPr>
          <w:p>
            <w:pPr>
              <w:pStyle w:val="TableContents"/>
              <w:bidi w:val="0"/>
              <w:spacing w:before="0" w:after="283"/>
              <w:jc w:val="left"/>
              <w:rPr/>
            </w:pPr>
            <w:hyperlink w:anchor="f_003">
              <w:r>
                <w:rPr>
                  <w:rStyle w:val="InternetLink"/>
                  <w:sz w:val="20"/>
                </w:rPr>
                <w:t>Consolidated Statements of Operations and Comprehensive Income (Loss)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F-4</w:t>
            </w:r>
          </w:p>
        </w:tc>
      </w:tr>
      <w:tr>
        <w:trPr/>
        <w:tc>
          <w:tcPr>
            <w:tcW w:w="9848" w:type="dxa"/>
            <w:tcBorders/>
            <w:shd w:fill="CCEEFF" w:val="clear"/>
            <w:vAlign w:val="center"/>
          </w:tcPr>
          <w:p>
            <w:pPr>
              <w:pStyle w:val="TableContents"/>
              <w:bidi w:val="0"/>
              <w:spacing w:before="0" w:after="283"/>
              <w:jc w:val="left"/>
              <w:rPr/>
            </w:pPr>
            <w:hyperlink w:anchor="f_004">
              <w:r>
                <w:rPr>
                  <w:rStyle w:val="InternetLink"/>
                  <w:sz w:val="20"/>
                </w:rPr>
                <w:t>Consolidated Statements of Changes in Shareholders’ Equity (Deficit) for the Years Ended December 31, 2025, 2024 and 2023</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ind w:left="0" w:right="0" w:hanging="180"/>
              <w:jc w:val="center"/>
              <w:rPr>
                <w:sz w:val="20"/>
              </w:rPr>
            </w:pPr>
            <w:r>
              <w:rPr>
                <w:sz w:val="20"/>
              </w:rPr>
              <w:t>F-5</w:t>
            </w:r>
          </w:p>
        </w:tc>
      </w:tr>
      <w:tr>
        <w:trPr/>
        <w:tc>
          <w:tcPr>
            <w:tcW w:w="9848" w:type="dxa"/>
            <w:tcBorders/>
            <w:shd w:fill="FFFFFF" w:val="clear"/>
            <w:vAlign w:val="center"/>
          </w:tcPr>
          <w:p>
            <w:pPr>
              <w:pStyle w:val="TableContents"/>
              <w:bidi w:val="0"/>
              <w:spacing w:before="0" w:after="283"/>
              <w:jc w:val="left"/>
              <w:rPr/>
            </w:pPr>
            <w:hyperlink w:anchor="f_005">
              <w:r>
                <w:rPr>
                  <w:rStyle w:val="InternetLink"/>
                  <w:sz w:val="20"/>
                </w:rPr>
                <w:t>Consolidated Statements of Cash Flows for the Years Ended December 31, 2025, 2024 and 2023</w:t>
              </w:r>
            </w:hyperlink>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180"/>
              <w:jc w:val="center"/>
              <w:rPr>
                <w:sz w:val="20"/>
              </w:rPr>
            </w:pPr>
            <w:r>
              <w:rPr>
                <w:sz w:val="20"/>
              </w:rPr>
              <w:t>F-6</w:t>
            </w:r>
          </w:p>
        </w:tc>
      </w:tr>
      <w:tr>
        <w:trPr/>
        <w:tc>
          <w:tcPr>
            <w:tcW w:w="9848" w:type="dxa"/>
            <w:tcBorders/>
            <w:shd w:fill="CCEEFF" w:val="clear"/>
            <w:vAlign w:val="center"/>
          </w:tcPr>
          <w:p>
            <w:pPr>
              <w:pStyle w:val="TableContents"/>
              <w:bidi w:val="0"/>
              <w:spacing w:before="0" w:after="283"/>
              <w:jc w:val="left"/>
              <w:rPr/>
            </w:pPr>
            <w:hyperlink w:anchor="f_006">
              <w:r>
                <w:rPr>
                  <w:rStyle w:val="InternetLink"/>
                  <w:sz w:val="20"/>
                </w:rPr>
                <w:t>Notes to the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center"/>
              <w:rPr>
                <w:sz w:val="20"/>
              </w:rPr>
            </w:pPr>
            <w:r>
              <w:rPr>
                <w:sz w:val="20"/>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1275"/>
        <w:gridCol w:w="4790"/>
        <w:gridCol w:w="60"/>
        <w:gridCol w:w="740"/>
        <w:gridCol w:w="1970"/>
      </w:tblGrid>
      <w:tr>
        <w:trPr/>
        <w:tc>
          <w:tcPr>
            <w:tcW w:w="1275" w:type="dxa"/>
            <w:vMerge w:val="restart"/>
            <w:tcBorders/>
            <w:vAlign w:val="center"/>
          </w:tcPr>
          <w:p>
            <w:pPr>
              <w:pStyle w:val="TableContents"/>
              <w:bidi w:val="0"/>
              <w:spacing w:before="0" w:after="283"/>
              <w:jc w:val="left"/>
              <w:rPr/>
            </w:pPr>
            <w:r>
              <w:rPr/>
              <w:drawing>
                <wp:inline distT="0" distB="0" distL="0" distR="0">
                  <wp:extent cx="800100" cy="609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0100" cy="609600"/>
                          </a:xfrm>
                          <a:prstGeom prst="rect">
                            <a:avLst/>
                          </a:prstGeom>
                        </pic:spPr>
                      </pic:pic>
                    </a:graphicData>
                  </a:graphic>
                </wp:inline>
              </w:drawing>
            </w:r>
          </w:p>
        </w:tc>
        <w:tc>
          <w:tcPr>
            <w:tcW w:w="4790" w:type="dxa"/>
            <w:tcBorders/>
            <w:vAlign w:val="center"/>
          </w:tcPr>
          <w:p>
            <w:pPr>
              <w:pStyle w:val="TableContents"/>
              <w:bidi w:val="0"/>
              <w:spacing w:before="0" w:after="283"/>
              <w:jc w:val="left"/>
              <w:rPr>
                <w:b/>
                <w:sz w:val="20"/>
              </w:rPr>
            </w:pPr>
            <w:r>
              <w:rPr>
                <w:b/>
                <w:sz w:val="20"/>
              </w:rPr>
              <w:t>J&amp;S ASSOCIATE PLT</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90" w:type="dxa"/>
            <w:tcBorders/>
            <w:vAlign w:val="center"/>
          </w:tcPr>
          <w:p>
            <w:pPr>
              <w:pStyle w:val="TableContents"/>
              <w:bidi w:val="0"/>
              <w:spacing w:before="0" w:after="283"/>
              <w:jc w:val="left"/>
              <w:rPr>
                <w:sz w:val="20"/>
              </w:rPr>
            </w:pPr>
            <w:r>
              <w:rPr>
                <w:sz w:val="20"/>
              </w:rPr>
              <w:t>202206000037 (LLP0033395-LCA) &amp; AF002380</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275" w:type="dxa"/>
            <w:vMerge w:val="continue"/>
            <w:tcBorders/>
            <w:vAlign w:val="center"/>
          </w:tcPr>
          <w:p>
            <w:pPr>
              <w:pStyle w:val="Normal"/>
              <w:bidi w:val="0"/>
              <w:jc w:val="left"/>
              <w:rPr/>
            </w:pPr>
            <w:r>
              <w:rPr/>
            </w:r>
          </w:p>
        </w:tc>
        <w:tc>
          <w:tcPr>
            <w:tcW w:w="4790" w:type="dxa"/>
            <w:tcBorders/>
            <w:vAlign w:val="center"/>
          </w:tcPr>
          <w:p>
            <w:pPr>
              <w:pStyle w:val="TableContents"/>
              <w:bidi w:val="0"/>
              <w:spacing w:before="0" w:after="283"/>
              <w:jc w:val="left"/>
              <w:rPr>
                <w:sz w:val="20"/>
              </w:rPr>
            </w:pPr>
            <w:r>
              <w:rPr>
                <w:sz w:val="20"/>
              </w:rPr>
              <w:t>(Registered with PCAOB and MIA)</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20"/>
              </w:rPr>
            </w:pPr>
            <w:r>
              <w:rPr>
                <w:sz w:val="20"/>
              </w:rPr>
              <w:t>Tel:</w:t>
            </w:r>
          </w:p>
        </w:tc>
        <w:tc>
          <w:tcPr>
            <w:tcW w:w="1970" w:type="dxa"/>
            <w:tcBorders/>
            <w:vAlign w:val="center"/>
          </w:tcPr>
          <w:p>
            <w:pPr>
              <w:pStyle w:val="TableContents"/>
              <w:bidi w:val="0"/>
              <w:spacing w:before="0" w:after="283"/>
              <w:jc w:val="left"/>
              <w:rPr>
                <w:sz w:val="20"/>
              </w:rPr>
            </w:pPr>
            <w:r>
              <w:rPr>
                <w:sz w:val="20"/>
              </w:rPr>
              <w:t>+603-4813 9469</w:t>
            </w:r>
          </w:p>
        </w:tc>
      </w:tr>
      <w:tr>
        <w:trPr/>
        <w:tc>
          <w:tcPr>
            <w:tcW w:w="1275" w:type="dxa"/>
            <w:vMerge w:val="continue"/>
            <w:tcBorders/>
            <w:vAlign w:val="center"/>
          </w:tcPr>
          <w:p>
            <w:pPr>
              <w:pStyle w:val="Normal"/>
              <w:bidi w:val="0"/>
              <w:jc w:val="left"/>
              <w:rPr/>
            </w:pPr>
            <w:r>
              <w:rPr/>
            </w:r>
          </w:p>
        </w:tc>
        <w:tc>
          <w:tcPr>
            <w:tcW w:w="4790" w:type="dxa"/>
            <w:tcBorders/>
            <w:vAlign w:val="center"/>
          </w:tcPr>
          <w:p>
            <w:pPr>
              <w:pStyle w:val="TableContents"/>
              <w:bidi w:val="0"/>
              <w:spacing w:before="0" w:after="283"/>
              <w:jc w:val="left"/>
              <w:rPr>
                <w:sz w:val="20"/>
              </w:rPr>
            </w:pPr>
            <w:r>
              <w:rPr>
                <w:sz w:val="20"/>
              </w:rPr>
              <w:t>B-11-14, Megan Avenue II</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20"/>
              </w:rPr>
            </w:pPr>
            <w:r>
              <w:rPr>
                <w:sz w:val="20"/>
              </w:rPr>
              <w:t>Email:</w:t>
            </w:r>
          </w:p>
        </w:tc>
        <w:tc>
          <w:tcPr>
            <w:tcW w:w="1970" w:type="dxa"/>
            <w:tcBorders/>
            <w:vAlign w:val="center"/>
          </w:tcPr>
          <w:p>
            <w:pPr>
              <w:pStyle w:val="TableContents"/>
              <w:bidi w:val="0"/>
              <w:spacing w:before="0" w:after="283"/>
              <w:jc w:val="left"/>
              <w:rPr>
                <w:sz w:val="20"/>
              </w:rPr>
            </w:pPr>
            <w:r>
              <w:rPr>
                <w:sz w:val="20"/>
              </w:rPr>
              <w:t>info@jns-associate.com</w:t>
            </w:r>
          </w:p>
        </w:tc>
      </w:tr>
      <w:tr>
        <w:trPr/>
        <w:tc>
          <w:tcPr>
            <w:tcW w:w="1275" w:type="dxa"/>
            <w:vMerge w:val="continue"/>
            <w:tcBorders/>
            <w:vAlign w:val="center"/>
          </w:tcPr>
          <w:p>
            <w:pPr>
              <w:pStyle w:val="Normal"/>
              <w:bidi w:val="0"/>
              <w:jc w:val="left"/>
              <w:rPr/>
            </w:pPr>
            <w:r>
              <w:rPr/>
            </w:r>
          </w:p>
        </w:tc>
        <w:tc>
          <w:tcPr>
            <w:tcW w:w="4790" w:type="dxa"/>
            <w:tcBorders/>
            <w:vAlign w:val="center"/>
          </w:tcPr>
          <w:p>
            <w:pPr>
              <w:pStyle w:val="TableContents"/>
              <w:bidi w:val="0"/>
              <w:spacing w:before="0" w:after="283"/>
              <w:jc w:val="left"/>
              <w:rPr>
                <w:sz w:val="20"/>
              </w:rPr>
            </w:pPr>
            <w:r>
              <w:rPr>
                <w:sz w:val="20"/>
              </w:rPr>
              <w:t>12, Jalan Yap Kwan Seng, 50450, Kuala Lumpur, Malaysia</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20"/>
              </w:rPr>
            </w:pPr>
            <w:r>
              <w:rPr>
                <w:sz w:val="20"/>
              </w:rPr>
              <w:t>Website:</w:t>
            </w:r>
          </w:p>
        </w:tc>
        <w:tc>
          <w:tcPr>
            <w:tcW w:w="1970" w:type="dxa"/>
            <w:tcBorders/>
            <w:vAlign w:val="center"/>
          </w:tcPr>
          <w:p>
            <w:pPr>
              <w:pStyle w:val="TableContents"/>
              <w:bidi w:val="0"/>
              <w:spacing w:before="0" w:after="283"/>
              <w:jc w:val="left"/>
              <w:rPr>
                <w:sz w:val="20"/>
              </w:rPr>
            </w:pPr>
            <w:r>
              <w:rPr>
                <w:sz w:val="20"/>
              </w:rPr>
              <w:t>jns-associate.com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f_001"/>
      <w:bookmarkEnd w:id="2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NewGenIvf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NewGenivf Group Limited and its subsidiaries (collectively, the “Company”) as of December 31, 2025 and 2024, and the related consolidated statements of operations and comprehensive income (loss), changes in shareholders’ equity, and cash flows for each of the three years in the period ended December 31, 2025, and the related notes to the consolidated financial statements and schedule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72" w:right="0" w:firstLine="33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J&amp;S Associate PLT</w:t>
        <w:br/>
        <w:t>Certified Public Accountants</w:t>
        <w:br/>
        <w:t>Firm ID: 6743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b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_002"/>
      <w:bookmarkEnd w:id="25"/>
      <w:r>
        <w:rPr>
          <w:rFonts w:ascii="Times New Roman;Times;Serif" w:hAnsi="Times New Roman;Times;Serif"/>
          <w:b/>
          <w:i w:val="false"/>
          <w:caps w:val="false"/>
          <w:smallCaps w:val="false"/>
          <w:sz w:val="20"/>
        </w:rPr>
        <w:t>NEWGENIVF GROUP LIMITED</w:t>
        <w:br/>
        <w:t xml:space="preserve">AUDITED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0"/>
        <w:gridCol w:w="60"/>
        <w:gridCol w:w="140"/>
        <w:gridCol w:w="1340"/>
        <w:gridCol w:w="95"/>
        <w:gridCol w:w="60"/>
        <w:gridCol w:w="140"/>
        <w:gridCol w:w="1340"/>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758,621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457,740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166,531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49,245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335,360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80,813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Deposits, prepayments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503,588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393,152</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for land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Deposit with a digital asset custodian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34,987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1,000,000</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Deposit with futures broker,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59,369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Receivable from agents,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794,116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1,191,795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7,383,571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3,172,745</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504,192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98,570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21,415,069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Digital asset,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1,630,827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Other receivable, deposit and other receivables,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25,339,198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404,999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32,722,769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3,577,744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779,280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1,298,964</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711,892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500,729</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238,105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108,526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262,616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Promissory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500,000</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2,366,351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2,720,354</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272,359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10,231</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Convertible notes,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4,097,366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2,328,916</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4,369,725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2,339,147</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6,736,076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5,059,501</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920" w:type="dxa"/>
            <w:tcBorders/>
            <w:shd w:fill="FFFFFF" w:val="clear"/>
            <w:vAlign w:val="center"/>
          </w:tcPr>
          <w:p>
            <w:pPr>
              <w:pStyle w:val="TableContents"/>
              <w:bidi w:val="0"/>
              <w:spacing w:before="0" w:after="283"/>
              <w:jc w:val="left"/>
              <w:rPr/>
            </w:pPr>
            <w:r>
              <w:rPr/>
              <w:t>Ordinary shares, no par value, unlimited authorized shares and 240,622* and 380*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(204,000</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17,881,176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Retained earnings / (Accumulated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8,893,414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(985,994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(143,071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18,875</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Equity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26,631,519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(1,048,614</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(644,826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(433,143</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25,986,693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(1,481,757</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32,722,769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3,577,744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and in March 2026 of 1 share for every 4 shares issued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_003"/>
      <w:bookmarkEnd w:id="26"/>
      <w:r>
        <w:rPr>
          <w:rFonts w:ascii="Times New Roman;Times;Serif" w:hAnsi="Times New Roman;Times;Serif"/>
          <w:b/>
          <w:i w:val="false"/>
          <w:caps w:val="false"/>
          <w:smallCaps w:val="false"/>
          <w:sz w:val="20"/>
        </w:rPr>
        <w:t>NEWGENIVF GROUP LIMITED</w:t>
        <w:br/>
        <w:t>AUDITED CONSOLIDATED STATEMENTS OF OPERATIONS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0"/>
        <w:gridCol w:w="60"/>
        <w:gridCol w:w="60"/>
        <w:gridCol w:w="1175"/>
        <w:gridCol w:w="95"/>
        <w:gridCol w:w="60"/>
        <w:gridCol w:w="140"/>
        <w:gridCol w:w="1055"/>
        <w:gridCol w:w="95"/>
        <w:gridCol w:w="60"/>
        <w:gridCol w:w="140"/>
        <w:gridCol w:w="1055"/>
        <w:gridCol w:w="110"/>
      </w:tblGrid>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4,726,433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5,433,375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5,136,153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(3,770,587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(3,606,481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(3,454,368</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955,846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1,681,785</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(1,188,711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(18,030</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(10,493,596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(2,781,075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(1,621,513</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(11,682,307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(2,987,389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(1,639,543</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(10,726,461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(1,160,495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42,242</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971,391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111,837</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Bargain purchase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21,653,835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digital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Loss on financial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(700,631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Gain on embedded 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456,731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b/>
              </w:rPr>
            </w:pPr>
            <w:r>
              <w:rPr>
                <w:b/>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20,455,184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66,176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Income (Loss) before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(960,807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Tax income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Less: 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(150,685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(21,775</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b/>
              </w:rPr>
            </w:pPr>
            <w:r>
              <w:rPr>
                <w:b/>
              </w:rPr>
              <w:t>Net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9,879,408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(524,643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130,193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(222,944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32,529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(22,704</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Total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9,505,779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(441,572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85,714</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Less: total 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(211,683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56,908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(27,621</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b/>
              </w:rPr>
            </w:pPr>
            <w:r>
              <w:rPr>
                <w:b/>
              </w:rPr>
              <w:t>Total comprehensive income (loss) attributable to the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9,717,462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(498,480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113,335</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Earnings per share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(4,408.76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13,019.30</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xml:space="preserve">– </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(4,408.76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13,019.30</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3,250,020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26, 2026 of 1 share for every 3 shares issued and in March 2026 of 1 share for every 4 shares issued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_004"/>
      <w:bookmarkEnd w:id="27"/>
      <w:r>
        <w:rPr>
          <w:rFonts w:ascii="Times New Roman;Times;Serif" w:hAnsi="Times New Roman;Times;Serif"/>
          <w:b/>
          <w:i w:val="false"/>
          <w:caps w:val="false"/>
          <w:smallCaps w:val="false"/>
          <w:sz w:val="20"/>
        </w:rPr>
        <w:t>NEWGENIVF GROUP LIMITED</w:t>
        <w:br/>
        <w:t>AUDITED CONSOLIDATED STATEMENTS OF CHANGES IN SHAREHOLDERS’ EQUITY</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1130" w:type="dxa"/>
        <w:jc w:val="left"/>
        <w:tblInd w:w="0" w:type="dxa"/>
        <w:tblLayout w:type="fixed"/>
        <w:tblCellMar>
          <w:top w:w="0" w:type="dxa"/>
          <w:left w:w="0" w:type="dxa"/>
          <w:bottom w:w="0" w:type="dxa"/>
          <w:right w:w="0" w:type="dxa"/>
        </w:tblCellMar>
      </w:tblPr>
      <w:tblGrid>
        <w:gridCol w:w="1895"/>
        <w:gridCol w:w="60"/>
        <w:gridCol w:w="60"/>
        <w:gridCol w:w="605"/>
        <w:gridCol w:w="60"/>
        <w:gridCol w:w="60"/>
        <w:gridCol w:w="110"/>
        <w:gridCol w:w="620"/>
        <w:gridCol w:w="60"/>
        <w:gridCol w:w="60"/>
        <w:gridCol w:w="130"/>
        <w:gridCol w:w="790"/>
        <w:gridCol w:w="80"/>
        <w:gridCol w:w="60"/>
        <w:gridCol w:w="110"/>
        <w:gridCol w:w="830"/>
        <w:gridCol w:w="80"/>
        <w:gridCol w:w="60"/>
        <w:gridCol w:w="132"/>
        <w:gridCol w:w="893"/>
        <w:gridCol w:w="80"/>
        <w:gridCol w:w="60"/>
        <w:gridCol w:w="154"/>
        <w:gridCol w:w="931"/>
        <w:gridCol w:w="80"/>
        <w:gridCol w:w="60"/>
        <w:gridCol w:w="110"/>
        <w:gridCol w:w="830"/>
        <w:gridCol w:w="80"/>
        <w:gridCol w:w="60"/>
        <w:gridCol w:w="110"/>
        <w:gridCol w:w="665"/>
        <w:gridCol w:w="80"/>
        <w:gridCol w:w="60"/>
        <w:gridCol w:w="110"/>
        <w:gridCol w:w="830"/>
        <w:gridCol w:w="75"/>
      </w:tblGrid>
      <w:tr>
        <w:trPr/>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Ordinary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Subscription </w:t>
              <w:br/>
              <w:t>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Additional </w:t>
              <w:br/>
              <w:t xml:space="preserve">paid-in </w:t>
              <w:b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Retained </w:t>
              <w:br/>
              <w:t xml:space="preserve">earnings </w:t>
              <w:br/>
              <w:t xml:space="preserve">(Accumulated </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Accumulated </w:t>
              <w:br/>
              <w:t xml:space="preserve">other </w:t>
              <w:br/>
              <w:t xml:space="preserve">comprehensive </w:t>
              <w:br/>
              <w:t>income/(loss)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Total </w:t>
              <w:br/>
              <w:t xml:space="preserve">attributable </w:t>
              <w:br/>
              <w:t xml:space="preserve">to the </w:t>
              <w:br/>
              <w:t xml:space="preserve">shareholders </w:t>
              <w:br/>
              <w:t xml:space="preserve">of the </w:t>
              <w:br/>
              <w:t>Company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Non- controlling </w:t>
              <w:b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6"/>
              </w:rPr>
            </w:pPr>
            <w:r>
              <w:rPr>
                <w:b/>
                <w:sz w:val="16"/>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b/>
                <w:sz w:val="16"/>
              </w:rPr>
            </w:pPr>
            <w:r>
              <w:rPr>
                <w:b/>
                <w:sz w:val="16"/>
              </w:rPr>
              <w:t>(319,872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1,464,959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b/>
                <w:sz w:val="16"/>
              </w:rPr>
            </w:pPr>
            <w:r>
              <w:rPr>
                <w:b/>
                <w:sz w:val="16"/>
              </w:rPr>
              <w:t>$</w:t>
            </w:r>
          </w:p>
        </w:tc>
        <w:tc>
          <w:tcPr>
            <w:tcW w:w="893" w:type="dxa"/>
            <w:tcBorders/>
            <w:shd w:fill="CCEEFF" w:val="clear"/>
            <w:vAlign w:val="center"/>
          </w:tcPr>
          <w:p>
            <w:pPr>
              <w:pStyle w:val="TableContents"/>
              <w:bidi w:val="0"/>
              <w:spacing w:before="0" w:after="283"/>
              <w:jc w:val="right"/>
              <w:rPr>
                <w:b/>
                <w:sz w:val="16"/>
              </w:rPr>
            </w:pPr>
            <w:r>
              <w:rPr>
                <w:b/>
                <w:sz w:val="16"/>
              </w:rPr>
              <w:t>(591,544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b/>
                <w:sz w:val="16"/>
              </w:rPr>
            </w:pPr>
            <w:r>
              <w:rPr>
                <w:b/>
                <w:sz w:val="16"/>
              </w:rPr>
              <w:t>9,570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563,113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665" w:type="dxa"/>
            <w:tcBorders/>
            <w:shd w:fill="CCEEFF" w:val="clear"/>
            <w:vAlign w:val="center"/>
          </w:tcPr>
          <w:p>
            <w:pPr>
              <w:pStyle w:val="TableContents"/>
              <w:bidi w:val="0"/>
              <w:spacing w:before="0" w:after="283"/>
              <w:jc w:val="right"/>
              <w:rPr>
                <w:b/>
                <w:sz w:val="16"/>
              </w:rPr>
            </w:pPr>
            <w:r>
              <w:rPr>
                <w:b/>
                <w:sz w:val="16"/>
              </w:rPr>
              <w:t>(462,430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6"/>
              </w:rPr>
            </w:pPr>
            <w:r>
              <w:rPr>
                <w:b/>
                <w:sz w:val="16"/>
              </w:rPr>
              <w:t>$</w:t>
            </w:r>
          </w:p>
        </w:tc>
        <w:tc>
          <w:tcPr>
            <w:tcW w:w="830" w:type="dxa"/>
            <w:tcBorders/>
            <w:shd w:fill="CCEEFF" w:val="clear"/>
            <w:vAlign w:val="center"/>
          </w:tcPr>
          <w:p>
            <w:pPr>
              <w:pStyle w:val="TableContents"/>
              <w:bidi w:val="0"/>
              <w:spacing w:before="0" w:after="283"/>
              <w:jc w:val="right"/>
              <w:rPr>
                <w:b/>
                <w:sz w:val="16"/>
              </w:rPr>
            </w:pPr>
            <w:r>
              <w:rPr>
                <w:b/>
                <w:sz w:val="16"/>
              </w:rPr>
              <w:t>100,683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(21,775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108,418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(16,858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(5,846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(22,704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192,308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2,866,856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b/>
                <w:sz w:val="16"/>
              </w:rPr>
            </w:pPr>
            <w:r>
              <w:rPr>
                <w:b/>
                <w:sz w:val="16"/>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(127,564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4,331,815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(461,351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(7,288</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3,735,612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(490,051</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3,245,561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(524,643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50,542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(474,101</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6,366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32,529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Reverse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(6,028,690</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Settlement of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127,564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Remeasurement of share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(2,766,856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ELOC/Note Conversion arrangement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(204,000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4,586,236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4,382,236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(204,000</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122,505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(985,994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18,875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(1,048,614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(433,143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(1,481,757</w:t>
            </w:r>
          </w:p>
        </w:tc>
        <w:tc>
          <w:tcPr>
            <w:tcW w:w="7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895" w:type="dxa"/>
            <w:tcBorders/>
            <w:shd w:fill="FFFFFF" w:val="clear"/>
            <w:vAlign w:val="center"/>
          </w:tcPr>
          <w:p>
            <w:pPr>
              <w:pStyle w:val="TableContents"/>
              <w:bidi w:val="0"/>
              <w:spacing w:before="0" w:after="283"/>
              <w:jc w:val="left"/>
              <w:rPr>
                <w:sz w:val="16"/>
              </w:rPr>
            </w:pPr>
            <w:r>
              <w:rPr>
                <w:sz w:val="16"/>
              </w:rPr>
              <w:t>Net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9,879,408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(150,685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9,728,723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(161,946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(60,998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(222,944</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895" w:type="dxa"/>
            <w:tcBorders/>
            <w:shd w:fill="FFFFFF" w:val="clear"/>
            <w:vAlign w:val="center"/>
          </w:tcPr>
          <w:p>
            <w:pPr>
              <w:pStyle w:val="TableContents"/>
              <w:bidi w:val="0"/>
              <w:spacing w:before="0" w:after="283"/>
              <w:jc w:val="left"/>
              <w:rPr>
                <w:sz w:val="16"/>
              </w:rPr>
            </w:pPr>
            <w:r>
              <w:rPr>
                <w:sz w:val="16"/>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141,661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12,620,494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under conversion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sz w:val="16"/>
              </w:rPr>
            </w:pPr>
            <w:r>
              <w:rPr>
                <w:sz w:val="16"/>
              </w:rPr>
              <w:t>204,000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4,860,427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5,064,427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257,500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sz w:val="16"/>
              </w:rPr>
            </w:pPr>
            <w:r>
              <w:rPr>
                <w:sz w:val="16"/>
              </w:rPr>
              <w:t>Issuance of shares for share-based compensation to consultant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20,250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895" w:type="dxa"/>
            <w:tcBorders/>
            <w:shd w:fill="FFFFFF" w:val="clear"/>
            <w:vAlign w:val="center"/>
          </w:tcPr>
          <w:p>
            <w:pPr>
              <w:pStyle w:val="TableContents"/>
              <w:bidi w:val="0"/>
              <w:spacing w:before="0" w:after="283"/>
              <w:jc w:val="left"/>
              <w:rPr>
                <w:sz w:val="16"/>
              </w:rPr>
            </w:pPr>
            <w:r>
              <w:rPr>
                <w:sz w:val="16"/>
              </w:rPr>
              <w:t>Issuance of shares for warrant exercise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40,065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left"/>
              <w:rPr>
                <w:b/>
                <w:sz w:val="16"/>
              </w:rPr>
            </w:pPr>
            <w:r>
              <w:rPr>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240,622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17,881,176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8,893,414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(143,071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26,631,519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(644,826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25,986,693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0005" w:type="dxa"/>
            <w:tcBorders/>
            <w:vAlign w:val="center"/>
          </w:tcPr>
          <w:p>
            <w:pPr>
              <w:pStyle w:val="TableContents"/>
              <w:bidi w:val="0"/>
              <w:spacing w:before="0" w:after="283"/>
              <w:jc w:val="both"/>
              <w:rPr>
                <w:sz w:val="20"/>
              </w:rPr>
            </w:pPr>
            <w:r>
              <w:rPr>
                <w:sz w:val="20"/>
              </w:rPr>
              <w:t>The shares as presented have been adjusted retrospectively for Reverse Share Splits effected in February 2025 of 1 share for every 20 existing shares issued, in May 2025 of 1 share for every 10 existing share issued, in August 2025 of 1 share for every 5 shares issued, in December 2025 of 1 share for every 5 shares issued, in January 2026 of 1 share for every 3 shares issued and in March 2026 of 1 share for every 4 shares issued respectively.</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05"/>
      <w:bookmarkEnd w:id="28"/>
      <w:r>
        <w:rPr>
          <w:rFonts w:ascii="Times New Roman;Times;Serif" w:hAnsi="Times New Roman;Times;Serif"/>
          <w:b/>
          <w:i w:val="false"/>
          <w:caps w:val="false"/>
          <w:smallCaps w:val="false"/>
          <w:sz w:val="20"/>
        </w:rPr>
        <w:t>NEWGENIVF GROUP LIMITED</w:t>
        <w:br/>
        <w:t>CONSOLIDATED STATEMENTS OF CASH FLOWS</w:t>
        <w:br/>
        <w:t>FOR THE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0"/>
        <w:gridCol w:w="60"/>
        <w:gridCol w:w="60"/>
        <w:gridCol w:w="1175"/>
        <w:gridCol w:w="95"/>
        <w:gridCol w:w="60"/>
        <w:gridCol w:w="140"/>
        <w:gridCol w:w="1055"/>
        <w:gridCol w:w="95"/>
        <w:gridCol w:w="60"/>
        <w:gridCol w:w="140"/>
        <w:gridCol w:w="1055"/>
        <w:gridCol w:w="110"/>
      </w:tblGrid>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61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(474,101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108,418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100" w:type="dxa"/>
            <w:tcBorders/>
            <w:shd w:fill="FFFFFF" w:val="clear"/>
            <w:vAlign w:val="center"/>
          </w:tcPr>
          <w:p>
            <w:pPr>
              <w:pStyle w:val="TableContents"/>
              <w:bidi w:val="0"/>
              <w:spacing w:before="0" w:after="283"/>
              <w:jc w:val="left"/>
              <w:rPr>
                <w:b/>
              </w:rPr>
            </w:pPr>
            <w:r>
              <w:rPr>
                <w:b/>
              </w:rPr>
              <w:t>Adjustments to reconcile net income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Depreciation of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31,173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198,535</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Loss on digital assets,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332,480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700,631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Amortisation of 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53,583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Non cash discount on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Provision of expected credit loss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616,423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778,656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46,179</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Impairment on receivable from agency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818,780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Loss on disposal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Waiver of related party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(88,151</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Gain on lease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promissory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(953,861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Gain on bargain 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(21,653,835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Embedded derivative gain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(456,731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Legal and professional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27,320</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(Gain on) Provision for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(486,706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(80,665</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Deposit and other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(2,000,851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(448,266</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due from agency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(421,101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Deferred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(116,250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(519,684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1,126,338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71,362</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Accrued liabilities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211,161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(6,750,587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(51,167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55,552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(1,352,231</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(321,915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(204,846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(230,433</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Tax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(10,926,056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(8,264,074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(1,766,135</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Purchase of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(135,025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(53,045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(69,848</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Investment in financial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Investment in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Deposit paid for acquisition of 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Acquisition of businesses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(7,559,774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(53,045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(69,848</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Amount due from A SPAC 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(140,000</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Finance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(9,317</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Settlement of Promissory note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Issuance of convertible notes,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8,583,597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Issuance of shares under ELOC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12,620,496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192,308</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(677,663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(24,704</w:t>
            </w:r>
          </w:p>
        </w:tc>
        <w:tc>
          <w:tcPr>
            <w:tcW w:w="110" w:type="dxa"/>
            <w:tcBorders/>
            <w:shd w:fill="CCEEFF" w:val="clear"/>
            <w:vAlign w:val="center"/>
          </w:tcPr>
          <w:p>
            <w:pPr>
              <w:pStyle w:val="TableContents"/>
              <w:bidi w:val="0"/>
              <w:spacing w:before="0" w:after="283"/>
              <w:jc w:val="left"/>
              <w:rPr/>
            </w:pPr>
            <w:r>
              <w:rPr/>
              <w:t>)</w:t>
            </w:r>
          </w:p>
        </w:tc>
      </w:tr>
      <w:tr>
        <w:trPr/>
        <w:tc>
          <w:tcPr>
            <w:tcW w:w="6100" w:type="dxa"/>
            <w:tcBorders/>
            <w:shd w:fill="FFFFFF" w:val="clear"/>
            <w:vAlign w:val="center"/>
          </w:tcPr>
          <w:p>
            <w:pPr>
              <w:pStyle w:val="TableContents"/>
              <w:bidi w:val="0"/>
              <w:spacing w:before="0" w:after="283"/>
              <w:jc w:val="left"/>
              <w:rPr/>
            </w:pPr>
            <w:r>
              <w:rPr/>
              <w:t>Amount with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508,738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1,863,206</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127,564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18,992,758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8,675,790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1,881,493</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Net increase/(decrease)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506,928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45,510</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Effect of foreign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(18,962</w:t>
            </w:r>
          </w:p>
        </w:tc>
        <w:tc>
          <w:tcPr>
            <w:tcW w:w="110" w:type="dxa"/>
            <w:tcBorders/>
            <w:shd w:fill="FFFFFF" w:val="clear"/>
            <w:vAlign w:val="center"/>
          </w:tcPr>
          <w:p>
            <w:pPr>
              <w:pStyle w:val="TableContents"/>
              <w:bidi w:val="0"/>
              <w:spacing w:before="0" w:after="283"/>
              <w:jc w:val="left"/>
              <w:rPr/>
            </w:pPr>
            <w:r>
              <w:rPr/>
              <w:t>)</w:t>
            </w:r>
          </w:p>
        </w:tc>
      </w:tr>
      <w:tr>
        <w:trPr/>
        <w:tc>
          <w:tcPr>
            <w:tcW w:w="6100" w:type="dxa"/>
            <w:tcBorders/>
            <w:shd w:fill="CCEEFF" w:val="clear"/>
            <w:vAlign w:val="center"/>
          </w:tcPr>
          <w:p>
            <w:pPr>
              <w:pStyle w:val="TableContents"/>
              <w:bidi w:val="0"/>
              <w:spacing w:before="0" w:after="283"/>
              <w:jc w:val="left"/>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27,556</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457,740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54,104</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i/>
              </w:rPr>
            </w:pPr>
            <w:r>
              <w:rPr>
                <w:i/>
              </w:rPr>
              <w:t>Supplementary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00" w:type="dxa"/>
            <w:tcBorders/>
            <w:shd w:fill="CCEEFF" w:val="clear"/>
            <w:vAlign w:val="center"/>
          </w:tcPr>
          <w:p>
            <w:pPr>
              <w:pStyle w:val="TableContents"/>
              <w:bidi w:val="0"/>
              <w:spacing w:before="0" w:after="283"/>
              <w:jc w:val="left"/>
              <w:rPr/>
            </w:pPr>
            <w:r>
              <w:rPr/>
              <w:t>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0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(677,663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(24,704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$4,860,427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shd w:fill="FFFFFF" w:val="clear"/>
        <w:tblLayout w:type="fixed"/>
        <w:tblCellMar>
          <w:top w:w="0" w:type="dxa"/>
          <w:left w:w="0" w:type="dxa"/>
          <w:bottom w:w="0" w:type="dxa"/>
          <w:right w:w="0" w:type="dxa"/>
        </w:tblCellMar>
      </w:tblPr>
      <w:tblGrid>
        <w:gridCol w:w="75"/>
        <w:gridCol w:w="170"/>
        <w:gridCol w:w="708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7085" w:type="dxa"/>
            <w:tcBorders/>
            <w:shd w:fill="FFFFFF" w:val="clear"/>
            <w:vAlign w:val="center"/>
          </w:tcPr>
          <w:p>
            <w:pPr>
              <w:pStyle w:val="TableContents"/>
              <w:bidi w:val="0"/>
              <w:spacing w:before="0" w:after="283"/>
              <w:jc w:val="left"/>
              <w:rPr>
                <w:sz w:val="20"/>
              </w:rPr>
            </w:pPr>
            <w:r>
              <w:rPr>
                <w:sz w:val="20"/>
              </w:rPr>
              <w:t>$20,250 was credited to APIC in relation to shares issued for share-based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shd w:fill="FFFFFF" w:val="clear"/>
        <w:tblLayout w:type="fixed"/>
        <w:tblCellMar>
          <w:top w:w="0" w:type="dxa"/>
          <w:left w:w="0" w:type="dxa"/>
          <w:bottom w:w="0" w:type="dxa"/>
          <w:right w:w="0" w:type="dxa"/>
        </w:tblCellMar>
      </w:tblPr>
      <w:tblGrid>
        <w:gridCol w:w="75"/>
        <w:gridCol w:w="155"/>
        <w:gridCol w:w="837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c.</w:t>
            </w:r>
          </w:p>
        </w:tc>
        <w:tc>
          <w:tcPr>
            <w:tcW w:w="8375" w:type="dxa"/>
            <w:tcBorders/>
            <w:shd w:fill="FFFFFF" w:val="clear"/>
            <w:vAlign w:val="center"/>
          </w:tcPr>
          <w:p>
            <w:pPr>
              <w:pStyle w:val="TableContents"/>
              <w:bidi w:val="0"/>
              <w:spacing w:before="0" w:after="283"/>
              <w:jc w:val="left"/>
              <w:rPr>
                <w:sz w:val="20"/>
              </w:rPr>
            </w:pPr>
            <w:r>
              <w:rPr>
                <w:sz w:val="20"/>
              </w:rPr>
              <w:t>$257,500 was credited to APIC in relation to shares issued for acquisition of a business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no cash was exchanged in respect of these transactions: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shd w:fill="FFFFFF" w:val="clear"/>
        <w:tblLayout w:type="fixed"/>
        <w:tblCellMar>
          <w:top w:w="0" w:type="dxa"/>
          <w:left w:w="0" w:type="dxa"/>
          <w:bottom w:w="0" w:type="dxa"/>
          <w:right w:w="0" w:type="dxa"/>
        </w:tblCellMar>
      </w:tblPr>
      <w:tblGrid>
        <w:gridCol w:w="75"/>
        <w:gridCol w:w="155"/>
        <w:gridCol w:w="4745"/>
      </w:tblGrid>
      <w:tr>
        <w:trPr/>
        <w:tc>
          <w:tcPr>
            <w:tcW w:w="7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a.</w:t>
            </w:r>
          </w:p>
        </w:tc>
        <w:tc>
          <w:tcPr>
            <w:tcW w:w="4745" w:type="dxa"/>
            <w:tcBorders/>
            <w:shd w:fill="FFFFFF" w:val="clear"/>
            <w:vAlign w:val="center"/>
          </w:tcPr>
          <w:p>
            <w:pPr>
              <w:pStyle w:val="TableContents"/>
              <w:bidi w:val="0"/>
              <w:spacing w:before="0" w:after="283"/>
              <w:jc w:val="left"/>
              <w:rPr>
                <w:sz w:val="20"/>
              </w:rPr>
            </w:pPr>
            <w:r>
              <w:rPr>
                <w:sz w:val="20"/>
              </w:rPr>
              <w:t>$2,650,000 of convertible debt was converted into equity.</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shd w:fill="FFFFFF" w:val="clear"/>
        <w:tblLayout w:type="fixed"/>
        <w:tblCellMar>
          <w:top w:w="0" w:type="dxa"/>
          <w:left w:w="0" w:type="dxa"/>
          <w:bottom w:w="0" w:type="dxa"/>
          <w:right w:w="0" w:type="dxa"/>
        </w:tblCellMar>
      </w:tblPr>
      <w:tblGrid>
        <w:gridCol w:w="75"/>
        <w:gridCol w:w="170"/>
        <w:gridCol w:w="914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b.</w:t>
            </w:r>
          </w:p>
        </w:tc>
        <w:tc>
          <w:tcPr>
            <w:tcW w:w="9140" w:type="dxa"/>
            <w:tcBorders/>
            <w:shd w:fill="FFFFFF" w:val="clear"/>
            <w:vAlign w:val="center"/>
          </w:tcPr>
          <w:p>
            <w:pPr>
              <w:pStyle w:val="TableContents"/>
              <w:bidi w:val="0"/>
              <w:spacing w:before="0" w:after="283"/>
              <w:jc w:val="left"/>
              <w:rPr>
                <w:sz w:val="20"/>
              </w:rPr>
            </w:pPr>
            <w:r>
              <w:rPr>
                <w:sz w:val="20"/>
              </w:rPr>
              <w:t>Reversal arising from remeasurement of share-based compensation within prepayment amounting to $2,739,856.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6"/>
      <w:bookmarkEnd w:id="29"/>
      <w:r>
        <w:rPr>
          <w:rFonts w:ascii="Times New Roman;Times;Serif" w:hAnsi="Times New Roman;Times;Serif"/>
          <w:b/>
          <w:i w:val="false"/>
          <w:caps w:val="false"/>
          <w:smallCaps w:val="false"/>
          <w:sz w:val="20"/>
        </w:rPr>
        <w:t>NEWGENIVF GROUP LIMITED</w:t>
        <w:br/>
        <w:t>NOTES TO THE CONSOLIDATED FINANCIAL STATEMENTS</w:t>
        <w:br/>
        <w:t>FOR THE YEARS ENDED DECEMBER 31, 2025 AND DECEMBER 31, 2024</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 — ORGANIZATION AND PRINCIPAL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on April 29, 2021, A SPAC I Acquisition Corp. (“ASCA”), was incorporated as a British Virgin Islands business company, specifically a blank check company formed for the purpose of effecting a merger, share exchange, asset acquisition, share purchase, recapitalization, reorganization or similar business combination with one or more target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ASCA entered into the Merger Agreement (as amended on June 12, 2023 and December 6, 2023, the “Merger Agreement,” and the transactions contemplated thereunder, the “Business Combination”) with A SPAC I Mini Acquisition Corp., Merger Sub, NewGenIvf Limited, a Cayman Islands exempted company (“Legacy NewGenIvf”) and certain shareholders of Legacy NewGenIvf. Pursuant to the Merger Agreement, the Business Combination was effected in two steps: (i) ASCA was reincorporated to the British Virgin Islands by merging with and into A SPAC I Mini Acquisition Corp. (such transaction, the “Reincorporation Merger”) and then the listed company was renamed as NewGenIvf Group Limited; and (ii) Merger Sub merged with and into Legacy NewGenIvf, resulting in Legacy NewGenIvf being a wholly-owned subsidiary of the Company (such second step in isolation, the “Acquisition Merger”). The surviving entity of the Business Combination, together with its subsidiaries is referred to in this prospectus as “NewGenIvf,” the “Company,” “we,” “our,” or “us,”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2023, the parties to the Merger Agreement entered into the First Amendment to Merger Agreement (the “First Amendment”), pursuant to which Legacy NewGenIvf agreed to provide non-interest bearing loans in an aggregate principal amount of up to $560,000 (the “Loan”) to ASCA to fund any amount that would be required in order to further extend the period of time available for ASCA to consummate a business combination and for ASCA’s working capital, payment of professional, administrative and operational fees and expenses, and other purposes as mutually agreed by ASCA and Legacy NewGenIvf. Such loans were to become repayable upon the closing of the Acquisition Merger. In addition, pursuant to the First Amendment, subject to receipt of at least $140,000 as part of the Loan from Legacy NewGenIvf, ASCA agreed to waive its termination rights and the right to receive any break-up fee due to Legacy NewGenIvf’s failure to deliver audited financial statements by no later than February 28,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parties to the Merger Agreement entered into the Second Amendment to the Merger Agreement (the “Second Amendment”) which amended and modified the Merger Agreement to, among other things, (i) reduce the size of NewGenIvf’s board of directors following the consummation of the Business Combination to five (5) directors, two (2) of whom would be executive directors designated by NewGenIvf and three (3) of whom will be designated by NewGenIvf to serve as independent directors in accordance with Nasdaq requirements, (ii) provide for the conversion of NewGenIvf shares issued by NewGenIvf following the original date of the Merger Agreement into Class A Ordinary Shares in connection with the Acquisition Merger, and (iii) remove the condition that ASCA have in excess of $5,000,000 in net tangible assets immediately after the consummation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Business Combination was consummated with the Company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organization chart of the Company and its subsidiaries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2571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2571750"/>
                    </a:xfrm>
                    <a:prstGeom prst="rect">
                      <a:avLst/>
                    </a:prstGeom>
                  </pic:spPr>
                </pic:pic>
              </a:graphicData>
            </a:graphic>
          </wp:inline>
        </w:drawing>
      </w: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are detailed in the table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70"/>
        <w:gridCol w:w="60"/>
        <w:gridCol w:w="2364"/>
        <w:gridCol w:w="60"/>
        <w:gridCol w:w="1074"/>
        <w:gridCol w:w="60"/>
        <w:gridCol w:w="3617"/>
      </w:tblGrid>
      <w:tr>
        <w:trPr/>
        <w:tc>
          <w:tcPr>
            <w:tcW w:w="2970"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2364" w:type="dxa"/>
            <w:tcBorders>
              <w:bottom w:val="single" w:sz="12" w:space="0" w:color="000000"/>
            </w:tcBorders>
            <w:vAlign w:val="center"/>
          </w:tcPr>
          <w:p>
            <w:pPr>
              <w:pStyle w:val="TableContents"/>
              <w:bidi w:val="0"/>
              <w:spacing w:before="0" w:after="283"/>
              <w:jc w:val="center"/>
              <w:rPr>
                <w:b/>
                <w:sz w:val="20"/>
              </w:rPr>
            </w:pPr>
            <w:r>
              <w:rPr>
                <w:b/>
                <w:sz w:val="20"/>
              </w:rPr>
              <w:t>Background</w:t>
            </w:r>
          </w:p>
        </w:tc>
        <w:tc>
          <w:tcPr>
            <w:tcW w:w="60" w:type="dxa"/>
            <w:tcBorders/>
            <w:tcMar>
              <w:bottom w:w="0" w:type="dxa"/>
            </w:tcMar>
            <w:vAlign w:val="center"/>
          </w:tcPr>
          <w:p>
            <w:pPr>
              <w:pStyle w:val="TableContents"/>
              <w:bidi w:val="0"/>
              <w:spacing w:before="0" w:after="283"/>
              <w:jc w:val="left"/>
              <w:rPr/>
            </w:pPr>
            <w:r>
              <w:rPr/>
              <w:t> </w:t>
            </w:r>
          </w:p>
        </w:tc>
        <w:tc>
          <w:tcPr>
            <w:tcW w:w="1074" w:type="dxa"/>
            <w:tcBorders>
              <w:bottom w:val="single" w:sz="12" w:space="0" w:color="000000"/>
            </w:tcBorders>
            <w:vAlign w:val="center"/>
          </w:tcPr>
          <w:p>
            <w:pPr>
              <w:pStyle w:val="TableContents"/>
              <w:bidi w:val="0"/>
              <w:spacing w:before="0" w:after="283"/>
              <w:jc w:val="center"/>
              <w:rPr>
                <w:b/>
                <w:sz w:val="20"/>
              </w:rPr>
            </w:pPr>
            <w:r>
              <w:rPr>
                <w:b/>
                <w:sz w:val="20"/>
              </w:rPr>
              <w:t>Ownership %</w:t>
            </w:r>
          </w:p>
        </w:tc>
        <w:tc>
          <w:tcPr>
            <w:tcW w:w="60" w:type="dxa"/>
            <w:tcBorders/>
            <w:tcMar>
              <w:bottom w:w="0" w:type="dxa"/>
            </w:tcMar>
            <w:vAlign w:val="center"/>
          </w:tcPr>
          <w:p>
            <w:pPr>
              <w:pStyle w:val="TableContents"/>
              <w:bidi w:val="0"/>
              <w:spacing w:before="0" w:after="283"/>
              <w:jc w:val="left"/>
              <w:rPr/>
            </w:pPr>
            <w:r>
              <w:rPr/>
              <w:t> </w:t>
            </w:r>
          </w:p>
        </w:tc>
        <w:tc>
          <w:tcPr>
            <w:tcW w:w="3617"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Principal activity</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NewGenivf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Cayman Islands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16 January,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FFPGS (HK)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19,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Marketing and administrative services</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Well Image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July 11, 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Med Holdings Limited (“Med Holdings”) (Note)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First Fertility PGS Center Limited (“FFC”) (Note)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Thailand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March 6, 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First Fertility Phnom Penh Limited (“FFPP”)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Cambodia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August 10,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Bi Clinic Ltd (“FFBi”)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Kyrgyzstan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December 16, 2021</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Acquired on December 17,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Provision of IVF treatment, surrogacy and ancillary caring services</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MicroSort Lab Services LLC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US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June 16,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Specialized applications, in provision of IVF treatment</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NewGenDigital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21,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FFFFFF" w:val="clear"/>
            <w:tcMar>
              <w:bottom w:w="0" w:type="dxa"/>
            </w:tcMar>
            <w:vAlign w:val="center"/>
          </w:tcPr>
          <w:p>
            <w:pPr>
              <w:pStyle w:val="TableContents"/>
              <w:bidi w:val="0"/>
              <w:spacing w:before="0" w:after="283"/>
              <w:jc w:val="left"/>
              <w:rPr>
                <w:sz w:val="20"/>
              </w:rPr>
            </w:pPr>
            <w:r>
              <w:rPr>
                <w:sz w:val="20"/>
              </w:rPr>
              <w:t>NewGenProperty Limited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September 18,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283"/>
              <w:ind w:left="0" w:right="0" w:hanging="180"/>
              <w:jc w:val="center"/>
              <w:rPr>
                <w:sz w:val="20"/>
              </w:rPr>
            </w:pPr>
            <w:r>
              <w:rPr>
                <w:sz w:val="20"/>
              </w:rPr>
              <w:t>Investment Holding</w:t>
            </w:r>
          </w:p>
        </w:tc>
      </w:tr>
      <w:tr>
        <w:trPr/>
        <w:tc>
          <w:tcPr>
            <w:tcW w:w="2970" w:type="dxa"/>
            <w:tcBorders/>
            <w:shd w:fill="CCEEFF" w:val="clear"/>
            <w:tcMar>
              <w:bottom w:w="0" w:type="dxa"/>
            </w:tcMar>
            <w:vAlign w:val="center"/>
          </w:tcPr>
          <w:p>
            <w:pPr>
              <w:pStyle w:val="TableContents"/>
              <w:bidi w:val="0"/>
              <w:spacing w:before="0" w:after="283"/>
              <w:jc w:val="left"/>
              <w:rPr>
                <w:sz w:val="20"/>
              </w:rPr>
            </w:pPr>
            <w:r>
              <w:rPr>
                <w:sz w:val="20"/>
              </w:rPr>
              <w:t>HyFi Innovations Limited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October 20,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center"/>
              <w:rPr>
                <w:sz w:val="20"/>
              </w:rPr>
            </w:pPr>
            <w:r>
              <w:rPr>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283"/>
              <w:jc w:val="center"/>
              <w:rPr>
                <w:sz w:val="20"/>
              </w:rPr>
            </w:pPr>
            <w:r>
              <w:rPr>
                <w:sz w:val="20"/>
              </w:rPr>
              <w:t>Tokenization Service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15"/>
        <w:gridCol w:w="60"/>
        <w:gridCol w:w="2378"/>
        <w:gridCol w:w="60"/>
        <w:gridCol w:w="439"/>
        <w:gridCol w:w="60"/>
        <w:gridCol w:w="1393"/>
      </w:tblGrid>
      <w:tr>
        <w:trPr/>
        <w:tc>
          <w:tcPr>
            <w:tcW w:w="10205" w:type="dxa"/>
            <w:gridSpan w:val="7"/>
            <w:tcBorders/>
            <w:shd w:fill="FFFFFF" w:val="clear"/>
            <w:vAlign w:val="center"/>
          </w:tcPr>
          <w:p>
            <w:pPr>
              <w:pStyle w:val="TableContents"/>
              <w:bidi w:val="0"/>
              <w:spacing w:before="0" w:after="283"/>
              <w:jc w:val="left"/>
              <w:rPr>
                <w:sz w:val="20"/>
              </w:rPr>
            </w:pPr>
            <w:r>
              <w:rPr>
                <w:sz w:val="20"/>
              </w:rPr>
              <w:t>Incorporated subsequent to the financial year end:</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sz w:val="20"/>
              </w:rPr>
            </w:pPr>
            <w:r>
              <w:rPr>
                <w:sz w:val="20"/>
              </w:rPr>
              <w:t>NewGenBiz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January 13,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FFFFFF" w:val="clear"/>
            <w:vAlign w:val="center"/>
          </w:tcPr>
          <w:p>
            <w:pPr>
              <w:pStyle w:val="TableContents"/>
              <w:bidi w:val="0"/>
              <w:spacing w:before="0" w:after="283"/>
              <w:jc w:val="left"/>
              <w:rPr>
                <w:sz w:val="20"/>
              </w:rPr>
            </w:pPr>
            <w:r>
              <w:rPr>
                <w:sz w:val="20"/>
              </w:rPr>
              <w:t>NewGenOman Limited  </w:t>
            </w:r>
          </w:p>
        </w:tc>
        <w:tc>
          <w:tcPr>
            <w:tcW w:w="60" w:type="dxa"/>
            <w:tcBorders/>
            <w:shd w:fill="FFFFFF" w:val="clear"/>
            <w:vAlign w:val="center"/>
          </w:tcPr>
          <w:p>
            <w:pPr>
              <w:pStyle w:val="TableContents"/>
              <w:bidi w:val="0"/>
              <w:spacing w:before="0" w:after="283"/>
              <w:jc w:val="left"/>
              <w:rPr/>
            </w:pPr>
            <w:r>
              <w:rPr/>
              <w:t> </w:t>
            </w:r>
          </w:p>
        </w:tc>
        <w:tc>
          <w:tcPr>
            <w:tcW w:w="2378" w:type="dxa"/>
            <w:tcBorders/>
            <w:shd w:fill="FFFF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BVI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 2026</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sz w:val="20"/>
              </w:rPr>
            </w:pPr>
            <w:r>
              <w:rPr>
                <w:sz w:val="20"/>
              </w:rPr>
              <w:t>100%</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ind w:left="0" w:right="0" w:hanging="180"/>
              <w:jc w:val="center"/>
              <w:rPr>
                <w:sz w:val="20"/>
              </w:rPr>
            </w:pPr>
            <w:r>
              <w:rPr>
                <w:sz w:val="20"/>
              </w:rPr>
              <w:t>Investment Holding</w:t>
            </w:r>
          </w:p>
        </w:tc>
      </w:tr>
      <w:tr>
        <w:trPr/>
        <w:tc>
          <w:tcPr>
            <w:tcW w:w="5815" w:type="dxa"/>
            <w:tcBorders/>
            <w:shd w:fill="CCEEFF" w:val="clear"/>
            <w:vAlign w:val="center"/>
          </w:tcPr>
          <w:p>
            <w:pPr>
              <w:pStyle w:val="TableContents"/>
              <w:bidi w:val="0"/>
              <w:spacing w:before="0" w:after="283"/>
              <w:jc w:val="left"/>
              <w:rPr>
                <w:sz w:val="20"/>
              </w:rPr>
            </w:pPr>
            <w:r>
              <w:rPr>
                <w:sz w:val="20"/>
              </w:rPr>
              <w:t>Alfred Siu Charitable Foundation Limited  </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Hong Kong Foundation</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Incorporated on February 27,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Charitable activities</w:t>
            </w:r>
          </w:p>
        </w:tc>
      </w:tr>
      <w:tr>
        <w:trPr/>
        <w:tc>
          <w:tcPr>
            <w:tcW w:w="8253"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jc w:val="left"/>
              <w:rPr/>
            </w:pPr>
            <w:r>
              <w:rPr/>
              <w:t> </w:t>
            </w:r>
          </w:p>
        </w:tc>
      </w:tr>
      <w:tr>
        <w:trPr/>
        <w:tc>
          <w:tcPr>
            <w:tcW w:w="10205" w:type="dxa"/>
            <w:gridSpan w:val="7"/>
            <w:tcBorders/>
            <w:shd w:fill="FFFFFF" w:val="clear"/>
            <w:vAlign w:val="center"/>
          </w:tcPr>
          <w:p>
            <w:pPr>
              <w:pStyle w:val="TableContents"/>
              <w:bidi w:val="0"/>
              <w:spacing w:before="0" w:after="283"/>
              <w:jc w:val="left"/>
              <w:rPr>
                <w:sz w:val="20"/>
              </w:rPr>
            </w:pPr>
            <w:r>
              <w:rPr>
                <w:sz w:val="20"/>
              </w:rPr>
              <w:t>The following subsidiary was disposed during the year</w:t>
            </w:r>
          </w:p>
        </w:tc>
      </w:tr>
      <w:tr>
        <w:trPr/>
        <w:tc>
          <w:tcPr>
            <w:tcW w:w="10205" w:type="dxa"/>
            <w:gridSpan w:val="7"/>
            <w:tcBorders/>
            <w:shd w:fill="FFFFFF" w:val="clear"/>
            <w:vAlign w:val="center"/>
          </w:tcPr>
          <w:p>
            <w:pPr>
              <w:pStyle w:val="TableContents"/>
              <w:bidi w:val="0"/>
              <w:spacing w:before="0" w:after="283"/>
              <w:ind w:left="0" w:right="0" w:hanging="180"/>
              <w:jc w:val="left"/>
              <w:rPr/>
            </w:pPr>
            <w:r>
              <w:rPr/>
              <w:t> </w:t>
            </w:r>
          </w:p>
        </w:tc>
      </w:tr>
      <w:tr>
        <w:trPr/>
        <w:tc>
          <w:tcPr>
            <w:tcW w:w="5815" w:type="dxa"/>
            <w:tcBorders/>
            <w:shd w:fill="CCEEFF" w:val="clear"/>
            <w:vAlign w:val="center"/>
          </w:tcPr>
          <w:p>
            <w:pPr>
              <w:pStyle w:val="TableContents"/>
              <w:bidi w:val="0"/>
              <w:spacing w:before="0" w:after="283"/>
              <w:jc w:val="left"/>
              <w:rPr/>
            </w:pPr>
            <w:r>
              <w:rPr>
                <w:rFonts w:eastAsia="Times New Roman;Times;Serif"/>
                <w:sz w:val="20"/>
              </w:rPr>
              <w:t>深圳前海豐泰仁匯健康科技有限公司</w:t>
            </w:r>
            <w:r>
              <w:rPr/>
              <w:t xml:space="preserve"> </w:t>
            </w:r>
            <w:r>
              <w:rPr>
                <w:sz w:val="20"/>
              </w:rPr>
              <w:t>(Shenzhen Qianhai Fengtai Renhui Health Technology Co., Ltd.)</w:t>
            </w:r>
          </w:p>
        </w:tc>
        <w:tc>
          <w:tcPr>
            <w:tcW w:w="60" w:type="dxa"/>
            <w:tcBorders/>
            <w:shd w:fill="CCEEFF" w:val="clear"/>
            <w:vAlign w:val="center"/>
          </w:tcPr>
          <w:p>
            <w:pPr>
              <w:pStyle w:val="TableContents"/>
              <w:bidi w:val="0"/>
              <w:spacing w:before="0" w:after="283"/>
              <w:jc w:val="left"/>
              <w:rPr/>
            </w:pPr>
            <w:r>
              <w:rPr/>
              <w:t> </w:t>
            </w:r>
          </w:p>
        </w:tc>
        <w:tc>
          <w:tcPr>
            <w:tcW w:w="2378" w:type="dxa"/>
            <w:tcBorders/>
            <w:shd w:fill="CCEEFF" w:val="cle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PRC China company</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Disposed on July 29, 2025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center"/>
              <w:rPr>
                <w:sz w:val="20"/>
              </w:rPr>
            </w:pPr>
            <w:r>
              <w:rPr>
                <w:sz w:val="20"/>
              </w:rPr>
              <w:t>100%</w:t>
            </w:r>
          </w:p>
        </w:tc>
        <w:tc>
          <w:tcPr>
            <w:tcW w:w="60"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center"/>
              <w:rPr>
                <w:sz w:val="20"/>
              </w:rPr>
            </w:pPr>
            <w:r>
              <w:rPr>
                <w:sz w:val="20"/>
              </w:rPr>
              <w:t>Marketing services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Where less than 50% of the equity of an investee is held, the Company (through its subsidiaries) holds significantly more voting rights than any other vote holder or organized company of vote holders. An assessment has been made, taking into account all the factors relevant to the relationship with the investee, to ascertain control has been established and the investee should be consolidated as a subsidiary of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Thailand’s Foreign Business Act (the “FBA”), the majority shareholdings of limited company incorporated in Thailand is required to be owned by Thai nationals.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the capital structure and voting rights structure of ordinary shares and preference shares (the “Share Structure”) of Med Holdings and FFC, all the preference share capital shall be owned by a Thai national. No preference shares, however, have been issued to date. The ordinary shares and preference shares have the same rights and status in all respects except for the distribution of profits by way of dividends with details as follow:</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Dividends from profits of Med Holdings and FFC shall be allocated to the holders of preference shares at a rate fixed from time to time by the board of directors prior to allocating to the holders of ordinary shares. In any event, such dividends to be allocated to the holders of preference shares shall not exceed 15% of the total amount of dividends declared from time to time;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(b)</w:t>
            </w:r>
          </w:p>
        </w:tc>
        <w:tc>
          <w:tcPr>
            <w:tcW w:w="9905" w:type="dxa"/>
            <w:tcBorders/>
            <w:vAlign w:val="center"/>
          </w:tcPr>
          <w:p>
            <w:pPr>
              <w:pStyle w:val="TableContents"/>
              <w:bidi w:val="0"/>
              <w:spacing w:before="0" w:after="283"/>
              <w:jc w:val="both"/>
              <w:rPr>
                <w:sz w:val="20"/>
              </w:rPr>
            </w:pPr>
            <w:r>
              <w:rPr>
                <w:sz w:val="20"/>
              </w:rPr>
              <w:t>After allocation of dividends as per (a) above, the rest of the dividends shall be distributed equally amongst the holders of ordinary shares according to their shareholding ratio;</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(c)</w:t>
            </w:r>
          </w:p>
        </w:tc>
        <w:tc>
          <w:tcPr>
            <w:tcW w:w="9924" w:type="dxa"/>
            <w:tcBorders/>
            <w:vAlign w:val="center"/>
          </w:tcPr>
          <w:p>
            <w:pPr>
              <w:pStyle w:val="TableContents"/>
              <w:bidi w:val="0"/>
              <w:spacing w:before="0" w:after="283"/>
              <w:jc w:val="both"/>
              <w:rPr>
                <w:sz w:val="20"/>
              </w:rPr>
            </w:pPr>
            <w:r>
              <w:rPr>
                <w:sz w:val="20"/>
              </w:rPr>
              <w:t>The holders of preferred shares shall be entitled to dividends only in respect of the years for which the Company has declared a dividend payment, and there shall be no cumulative dividends;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20"/>
              </w:rPr>
            </w:pPr>
            <w:r>
              <w:rPr>
                <w:sz w:val="20"/>
              </w:rPr>
              <w:t>(d)</w:t>
            </w:r>
          </w:p>
        </w:tc>
        <w:tc>
          <w:tcPr>
            <w:tcW w:w="9907" w:type="dxa"/>
            <w:tcBorders/>
            <w:vAlign w:val="center"/>
          </w:tcPr>
          <w:p>
            <w:pPr>
              <w:pStyle w:val="TableContents"/>
              <w:bidi w:val="0"/>
              <w:spacing w:before="0" w:after="283"/>
              <w:jc w:val="both"/>
              <w:rPr>
                <w:sz w:val="20"/>
              </w:rPr>
            </w:pPr>
            <w:r>
              <w:rPr>
                <w:sz w:val="20"/>
              </w:rPr>
              <w:t>Dividends allocated to the holders of preferred shares in each year shall be limited at the rate as stated in (a) only. No additional dividends shall be paid to the holders of preferred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management’s judgement on the Shares Structure, as the Company is able to exercise majority voting power in any board meeting, the Company accounts for Med Holdings and FFC as subsidiaries on the ground that the Company is able to control Med Holdings and FFC by exercising its majority voting power in any board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the Company entered into a non-binding term sheet (the “Non-Binding Term Sheet”) with European Wellness Investment Holdings Limited (“EWIHL”) for (i) the potential acquisition of the entire equity interest of EWIHL by the Company for a consideration of US$268,000,000 to be payable by issuing 53,600,000 ordinary shares of the of the Company to the shareholder(s) of EWIHL or its associate and (ii) the fund-raising activity by the Company from public or private shareholders, and in a form mutually acceptable to the parties, including structured equity investment for up to US$30 million. On December 11, 2024, NewGenIvf announced its entry into a binding term sheet with European Wellness Investment Holdings Limited (“EWIHL”) for the above proposed reverse merger, completion of which was subject to, among other conditions, the completion of due diligence, the negotiation of a definitive agreement, and obtaining adequate financing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March 31, 2025, the Company terminated the binding term sheet with healthcare company EWIHL regarding their previously announced reverse merger transaction on the grounds of non fulfilment of certain criteria as contained in the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Company received a deficiency letter from the Listing Qualifications Department of The Nasdaq Stock Market LLC (“Nasdaq”) notifying the Company of its non-compliance with two (2) listing requirements for continued listing on Nasdaq pursuant to Nasdaq Listing Rules. On November 21, 2024, a delisting notice was received from the continued non-compliance. The Company had filed to appeal the delisting determination and undertook several strategic actions to regain compliance with Nasdaq’s listing require. On February 27, 2025, the Company received approval for the transfer of the Company’s securities from the Nasdaq Global Market to the Nasdaq Capital Market and on March 10, 2025 met its compliance with the listing requirements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2024, the Company announced the execution of a non-binding term sheet (the “Term Sheet”) regarding a proposed reverse merger (the “Proposed Transaction”) with pharmaceutical company COVIRIX Medical Pty Ltd (“COVIRIX”). The consideration was to be settled by way of the issuance of issue 102,890,000 of its ordinary shares to the shareholder(s) of COVIRIX or their respective nominees (the “COVIRIX Shareholders”) in exchange for 100% equity interest of COVIRIX, at a deemed price per share of US$6, representing an aggregate amount of US$617,340,000. Simultaneously, it is proposed that COVIRIX undertakes to introduce investors to raise US$6 million at US$6 per share for NIVF, in a form mutually acceptable to both NewGen and COVIRIX. Following stockholder approval of the Proposed Transaction, COVIRIX Shareholders are expected to hold approximately 85.8% equity interest in NewGen. However, on September 21, 2024, COVIRIX withdrew from the Proposed Transaction, as such the Proposed Transaction was terminated with no cost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 Securities Purchase Agreement with certain investors named therein (collectively, the “Buyers”), pursuant to which, amongst other things: (i) the Company agreed to sell, at an initial closing with JAK Opportunities VI LLC (“JAK” and such initial closing, the “Initial Closing”), pursuant to which the Company agreed to sell to JAK (a) a senior convertible note (the “Initial Note”) in the aggregate original principal amount not exceeding $1,100,000), and which terms are further set forth below under the subheading “(ii) Initial Closing with JAK”), (b) a warrant to purchase 1,325,301 Class A Ordinary Shares of the Company, no par value (“Class A Shares” and such warrant, the Series A Warrant), and (c) a warrant to purchase 180,722 Class B Ordinary Shares of the Company, no par value (“Class B Shares” and such warrant, the Series B Warrant, and the Series B Warrants, together with the Series A Warrants, the “Warrants”);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together with the Initial Note,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and JAK consummated the Initial Closing. The Initial Note sold to JAK in connection with the Securities Purchase Agreement bears an interest rate of 14.75% per annum and is convertible into the Company’s Class A Shares as follows: the Conversion Amount (as defined below) into validly issued, fully paid and non-assessable Class A at the Conversion Rate determined by dividing the aggregate of the principal sum plus the interest rates (including late interest charges, if any) and the Make-Whole Amount, if any, by conversion price of $0.83.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Company also sold to JAK a Series A Warrant to purchase 1,325,301 Class A Shares and a Series B Warrant to purchase 180,722 Class B Shares subject to Reverse Stock Split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Securities Purchase Agreement, the Company entered into amendment and exchange agreements with certain holders of its convertible promissory notes (the “Existing Notes” and each of such amendment and exchange agreements, “Amendment and Exchange Agreement”), pursuant to which the Company will exchange the Existing Notes by issuing, among other things, (i) senior convertible notes in the aggregate principal amount of $2,700,000 (the “Exchange Notes”) and (b) a series of warrants to initially acquire up to a certain number of ordinary shares to the holders of the Existing Notes set forth therein or in the Amendment and Exchange Agreement (the “Exchange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the Company consummated the second tranche of its debt financing under the terms of the Securities Purchase Agreement. At the closing of the second tranche, the Company sold to JAK Opportunities VI LLC (“JAK”) a senior convertible note (the “Note”) in the principal amount of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2024, the Company consummated the third tranche of its debt financing under the terms of the Securities Purchase Agreement (“SPA”) referenced in the current report on Form 6-K filed with the United States Securities and Exchange Commission (the “SEC”) on August 16, 2024. The Form 6-K filed with the SEC on August 16, 2024 is incorporated by reference herein. Pursuant to the terms of the SPA, the Company may elect at the second additional mandatory closing to sell and the institutional investor party to the SPA shall be required to purchases, subject to certain conditions, an additional note (“Second Additional Mandatory Note”) in the principal amount of $1,500,000, after the effective date of the Registration Statement (as defined in the SPA). The sale of the Second Additional Mandatory Note resulted in $1,395,000 of gross proceeds to the company before fees and expenses. The Notes bears an interest rate of 14.75% per annum and may be adjustable from time to time pursuant to its terms, with maturity at the 4.5 years anniversary of the date of issuance, subject to extension at the option of the holders in certain circumstances. The Second Additional Note are convertible at any time, at an initial conversion price of $0.658.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binding term sheet (the “Term Sheet”) with White Lion Capital, LLC, (“White Lion”) a California-based institutional investor focused on high-growth, early-stage public companies, setting out the principal terms and conditions for a $100 million equity line of credit, expandable to $500 million. Pursuant to the Term Sheet, NewGen will have the option, but not the obligation, to sell to White Lion up to $100.0 million in shares of common stock over an initial 36-month period, with the potential to increase to $300.0 million upon substantial M&amp;A or merger activity, and further to $500.0 million after $250.0 million has been 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Company completed its acquisition of the MicroSort business from Genetics &amp; IVF Institute, Inc. (“GIVF”). Pursuant to a Purchase Agreement dated January 21, 2025 between the Company and GIVF (“Purchase Agreement”), the Company purchased all of the Assets (as defined in the Purchase Agreement) and IP Licenses (as defined in the Purchase Agreement) relating to the MicroSort business from GIVF for a total cash consideration of for US$5 million, which was satisfied through a combination of US$750,000 in cash and the issuance of 2,500,000 ordinary shares (as was adjusted to 42 ordinary shares after all the Reverse Stock Splits done as of this Report date at date of completion) at a deemed value of US$1.70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entered into a cooperation agreement with FERTILITY GROUP LLC (“BOBCARE”) to jointly develop fertility services in the Kyrgyzstan market. The collaboration aims to combine NewGen’s technical expertise in fertility treatments with BOBCARE’s market resources in the region. This strategic partnership is anticipated to contribute to NewGen’s market presence over the next three years, improving the competitive position of both parties in the Kyrgyzstan market. Both companies will work together on several initiatives, including enhancing clinical protocols and patient management systems, knowledge exchange between fertility specialists, coordinated marketing and brand-building activities in Kyrgyzstan, and developing specialized fertility treatment options for the regional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Company’s Board approved certain amendments to its Share Incentive Plan of 2024, the awards of which are valid for a period of 10 years from March 28, 2025, whereby the maximum aggregate number of shares with respect to which Awards may be granted under the Plan shall be 1,054,260 Shares (351 ordinary shares as adjusted for reverse stock splits in May 2025, August 2025, December 2025, January 2026 and March 2026) and has been increased in March 2026 by the Board to 454,812 ordinary shares (113,703 ordinary shares as adjusted by reverse stock split in 16 March 2026) of the Company, which may be increased from time to time as determined by the Board or Committee of the Board, in an amount equal to 20% of the then outstanding ordinary shares of the Company at the time of such increase. On May 27, 2026, the Company’s Board approved the replenishment of the Share Incentive Plan such that the maximum aggregate number of ordinary shares with respect to which awards may be granted under the Plan be increased to 20% of the total outstanding ordinary shares, which was 555,584 ordinary shares. Shares may be made available from Shares held in treasury or authorized but unissued shares of the Company not reserved for any other purpose. To date, 113,702 ordinary shares have been awarded under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new Securities Purchase Agreement (“2025 Securities Purchase Agreement”) with JAK, pursuant to which, amongst other things: (i) the Company agreed to sell, at an initial closing, a senior convertible note in the aggregate original principal amount not exceeding $3,200,000, convertible into Class A Ordinary Shares pursuant to its terms; and (ii) the Company may require JAK (or JAK may require the Company, as applicable) to participate in the sale of one or more additional convertible notes (which aggregate original principal amount for all additional convertible notes shall not exceed $25,600,000).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and July 16, 2025, the Company consummated the fourth and fifth tranche of its debt financing under the terms of its existing Securities Purchase Agreement with the investor, At the closing of the fourth and fifth tranche, the Company sold to the investor a senior convertible note in the principal amount of $2,000,000 each. The Note bears an interest rate of 14.75% per annum and may be adjustable from time to time pursuant to its terms. The funding from these arrangements with the investor is intended to be used to finance the establishment of a fertility clinic in Dubai.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signed a Purchase Agreement to acquire the Nodexus business which included certain tangible assets, company domain and six patents from Nodexus Inc, a distressed company, for a consideration of $300,000. The technology associated with the patents is related to cell sorting to be performed via a device called NX One and could be applied in different fields including In Vitro Fertilization. The Patents would allow NewGenIvf to penetrate the IVF market in the United States by leasing the NX One to clinics that provide IVF treatments in the United States. The clinics would utilize the NX One to perform gender selection services and detect potential genetic diseases during the IVF process and charge a service fee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NewGenProperty Limited (“NewGenProperty”), a wholly owned subsidiary of the Company, entered into a joint venture agreement with BNW to develop the Plot. Under the terms of the joint venture agreement, NewGenProperty shall hold 60% of the joint venture, and be responsible for funding 36% of the purchase price of the Plot to the Master Developer, while BNW shall be responsible for all the other cashflow and financing requirements of the project. In the event that BNW pays the balance of the Purchase Price of the Plot to the Master Developer, NewGenProperty shall reimburse BNW in accordance with the provisions of the joint venture agreement. NewGenProperty’s entitlement is an amount equivalent to 36% of the Gross Sales Revenue or Gross Sellable Area generated from the project, with deductions including (i) up to 10% of External and Internal Real Estate Agent and Brokerage Fees; (ii) 2% of Gross Sales Revenue for BNW’s Marketing Fees; and (iii) any amounts paid by the Developer towards the balance of the Purchase Price of the Plot on behalf of NewGenProperty.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November 4, 2025 and January 22, 2026, the Company entered into three Convertible Promissory notes with Vanguish Funding Group, in amount to $257,000, 157,000 and $107,000 respectively and also November 12, 2025, the Company entered another Convertible Promissory notes with Labrys Fund II, L.P. Note, totaling to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announced the execution of a non-binding term sheet regarding a proposed reverse merger (the “Proposed RTO”) with SAXA, Inc. (“SAXA”), an international holdings company focused on mining and processing operations. On November 5, 2025, the Company announced the signing of an service agreement with SAXA to act as the worldwide agent for the tokenization of an initial US$100 million tranche of SAXA’s gold-backed assets (“Tokenization Engagement”). The Tokenization Engagement was intended to be the first part of a two-part transaction culminating in the Proposed RTO. The Proposed RTO was subject to completion of due diligence, and negotiation of a definitive agreement, among other conditions. As the conditions set out in the term sheet, in particular, with respect to due diligence and execution of definitive agreements, had not been satisfied by SAXA by the later of: (i) the end of the 30-day period as set out in the term sheet; or (ii) the tentative timetable with completion by January 28, 2026 as set out in the term sheet, the Company will not be proceeding with the Proposed RTO, or the Tokenization Engagement. No material agreements have been entered into between SAXA and the Company, and the Company is not pursuing any transaction with SAXA.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Board of Directors (the “Board”) has authorized a share repurchase program under which the Company may repurchase up to US$2 million of its outstanding Class A ordinary shares over the next 24 months (“Share Repurchase Program”). The Company plans to adopt and implement this Share Repurchase Program in accordance with applicable rules and requirements under the Securities Exchange Act of 1934, as amended (the “Exchange Act”), and the Company’s insider trading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Yip Eng Jeremy Foo, a director of NewGenIvf Group Limited (the “Company”), has resigned from the Board of Directors of the Company, the Audit Committee of the Company, and the Compensation Committee of the Company due to personal reasons, effective April 4, 2025. Mr. Foo’s resignation did not result from any disagreement with the Board or the Company on any matter relating to the Company’s operations, policies or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Florianna Ann Chi Wan Chan was appointed as a director of the Company, effective April 15, 2025, to fill the vacancy on the Audit Committee and the Compensation Committee created by Mr. Foo’s resignation. Ms Chan has over 20 years of experience in project management, real estate development, and luxury hospitality, and is a proven leader in driving growth and operational excellence. Since 2015, Ms. Chan has led Lab Concept Company Limited, a subsidiary of The Lane Crawford Joyce Group, where she successfully restructured operations, spearheaded rebranding, and digitized processes, achieving significant revenue growth. Previously, she held senior roles at VCC Company Limited, Eton Properties, and Crown Macau, excelling in real estate development, marketing, and VIP services. She holds a Bachelor of Hospitality Management from Central Queensland University in Australia and an Advanced Diploma from William Angliss Institute of TAFE. Fluent in Cantonese, Mandarin, and English, Ms. Chan brings a deep understanding of Asia Pacific markets and a strategic vision that will drive the Company’s continued growth and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consolidation and basis of preparation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the accounts of the Company and all of its subsidiaries in which a controlling interest is maintained. All inter-company balances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transaction between Legacy NewGenIvf and SPAC I was accounted for as a reverse recapitalization under ASC 805, Business Combinations, with NewGenIvf Group Limited, and deemed to be the accounting acquirer. As SPAC I did not meet the definition of a business under ASC 805, the transaction was not treated as a business combination. Instead, it was accounted for as a recapitalization.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consolidated assets, liabilities and results of operations of the accounting acquirer will become the historical financial statements of the Company, and the accounting acquirer’s assets, liabilities and results of operations will be consolidated with the Company beginning on the acquisition date. The Legacy NewGenIvf was the legal acquiree but deemed to be the accounting acquirer. The Company was the legal acquirer but deemed to be the accounting acquiree in the reverse merger. The historical financial statements prior to the acquisition are those of the accounting acquirer (Legacy NewGenivf). After completion of the Share Exchange Transaction, the Company’s consolidated financial statements include the assets and liabilities, the operations and cash flow of the accounting acquirer. Any excess of the value of shares issued by the Company over the net book value of the accounting acquirer will be recognized as a reduction to equity (APIC).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 and gain on bargain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805, the accounting for business combinations which requires the application of the acquisition method. This method mandates that the acquiring entity recognize all assets acquired and liabilities assumed at their acquisition-date fair values. Gain on a business acquisition is recognized in earnings only in the specific circumstance of a “bargain purchase.” This occurs when the fair value of the identifiable net assets acquired exceeds the total consideration transferred (including the fair value of any non-controlling interest). It requires the acquirer to first meticulously reassess all measurements—including the identification and valuation of assets, liabilities, and the consideration—to ensure the gain is not a measurement error. Once confirmed, the resulting bargain purchase gain is recognized in profit or loss on the acquisition date. This treatment reflects the economic benefit obtained by the acquirer from purchasing net assets for less than their aggregate fair value. Under US GAAP, the distinction between acquiring a business and acquiring a group of assets is determined by a defined screen test. A transaction is accounted for as a business combination only if the acquired set meets the specific definition of a business, which requires an integrated set of activities with, at a minimum, an input and a substantive process that together significantly contribute to the ability to create outputs.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is required to apply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The Company determines its operating segments based on the information used by the Chief Operating Decision Maker (CODM) to allocate resources and assess performance. The CODM has been identified as the Chief Executive Officer.</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reviews financial information at the operating segment level on a regular basis. Based on this review process, the Company has determined its reportable segments to be IVF Revenue and Fertility Referral Revenue. These segments reflect how the CEO manages the business, evaluates performance, and makes strategic decisions regarding resource allocation.</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the performance of each segment based on segment contribution margin. Significant expenses are reviewed by CEO and it is determined that expenses related to Fertility Referral Revenue are immaterial and thus there is no need to segregate the expenses under different segments. Other segment items represent general and administrative and other miscellaneous expenses not separately reported to the CODM.</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entity with securities listed on the Nasdaq Stock Market, the Company applies the provisions of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Segment assets are not regularly provided to the CODM and are therefore not reported in the segment disclosures.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Actual results could differ from those estimates. Significant accounting estimates reflected in the Company’s consolidated financial statements includes the impairment of long-lived assets including the intangible assets, revenue recognition, fair value measurement of digital assets, assessment of whether an acquisition is that of a business or an asset and recognition of bargain purchase gain, determination of embedded derivatives requiring bifurcation and valuation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United States dollar (“$”), which is the reporting currency of the Company. The functional currency of the Company and its subsidiaries, FFPGS (HK) Limited and Well Image Limited, are Hong Kong dollar (“HK$”). Med Holdings and FFC use Thai baht (“THB”) as their functional currencies. The other subsidiaries use United States dollar (“USD”) as their functional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denominated in currencies other than the reporting currency are translated into the reporting currency at the rates of exchange prevailing at the balance sheet date. Monetary assets and liabilities denominated in currencies other than the functional currency are translated into the functional currency using the applicable exchange rates at the balance sheet dates. Translation gains and losses are recognized in the consolidated statements of operations and comprehensive income as other comprehensive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income as other income (other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foreign currencies including, the HK$, THB and RMB, may fluctuate against the United States dollar. Any significant variations of the aforementioned currencies relative to the United States dollar may materially affect the Company’s financial condition in terms of reporting in USD. The following table outlines the currency exchange rates that were used in preparing the accompanying consolidated financial statements:</w:t>
      </w:r>
    </w:p>
    <w:p>
      <w:pPr>
        <w:pStyle w:val="TextBody"/>
        <w:bidi w:val="0"/>
        <w:spacing w:before="0" w:after="0"/>
        <w:ind w:left="0" w:right="0" w:firstLine="72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445"/>
        <w:gridCol w:w="60"/>
        <w:gridCol w:w="680"/>
        <w:gridCol w:w="60"/>
        <w:gridCol w:w="60"/>
        <w:gridCol w:w="60"/>
        <w:gridCol w:w="800"/>
        <w:gridCol w:w="60"/>
        <w:gridCol w:w="60"/>
        <w:gridCol w:w="60"/>
        <w:gridCol w:w="800"/>
        <w:gridCol w:w="60"/>
        <w:gridCol w:w="60"/>
        <w:gridCol w:w="60"/>
        <w:gridCol w:w="800"/>
        <w:gridCol w:w="75"/>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7.8000</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HK$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7.8000</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THB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34.2265</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THB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35.2262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34.7867</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Period-end</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sz w:val="20"/>
              </w:rPr>
            </w:pPr>
            <w:r>
              <w:rPr>
                <w:sz w:val="20"/>
              </w:rPr>
              <w:t>$: RMB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7.0971</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Period average</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sz w:val="20"/>
              </w:rPr>
            </w:pPr>
            <w:r>
              <w:rPr>
                <w:sz w:val="20"/>
              </w:rPr>
              <w:t>$: RMB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7.2327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7.0835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financial institutions, other short-term deposits with original maturities of three months or less that are readily convertible to known amounts of cash and which are subject to an insignificant risk of changes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Deposits, prepayments other receivables,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other receivables, net primarily include deposits paid to suppliers and prepaid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incurred in connection with issuing convertible debt are deferred and amortized over the life of the debt. These costs are presented as a direct deduction from the carrying amount of the debt liability on the balance sheet (per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crypto assets in accordance with ASC 350-60, Intangibles — Goodwill and Other — Crypto Assets. We have ownership of and control over our digital assets and use third-party custodial services to store the private keys that provide access to the digital assets in its digital wallets. Digital assets are initially recorded at cost and are subsequently remeasured at fair value, with changes in fair value recognized in net income in the period of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and record the fair value of our digital assets in accordance with ASC 820, Fair Value Measurement (“ASC 820”), based on quoted prices on the active exchange(s) that we have determined is the principal market for such assets (Level I inputs). We determine the cost basis (using the first-in, first-out (“FIFO”) method) of our digital assets using the specific identification of each unit received. Realized and unrealized gains and losses are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Topic 718-10, Compensation-Stock Compensation, which requires the measurement and recognition of compensation expense for all share-based payment arrangements related to the acquisition of goods and services from both non-employees and employees based on fair values of the shares at grant date represented by the closing prices of the Company’s common stock at the respective grant date in accordance with ASC 718. Stock-based compensation expense recognized during the period is based on the value of the portion of share-based payment awards that relate to the service period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share-based compensation is recorded when the Company issues fully vested, nonforfeitable share-based payment awards to nonemployees on the grant date, when the nonemployee earns the right to receive and where no specific performance is required by the nonemployee to retain those equity instruments, in accordance with ASC 718-10-45-3. The prepayment is recorded where the shares are issued before the financial year end in accordance with the grant date and represents the fair value of goods or services that are to be received from the nonemployee subsequent to the financial period end.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cost for awards that do not have an established accounting grant date, but for which the service inception date has been established is based on the best estimate of fair value of Company’s common stock at the end of each reporting period and a corresponding accrual is recorded.</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 is recognized over the requisite service period for employees and over the service period for non employees.</w:t>
      </w:r>
    </w:p>
    <w:p>
      <w:pPr>
        <w:pStyle w:val="TextBody"/>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are stated at cost less accumulated depreciation. Depreciation is provided over their estimated useful lives, using the straight-line method. The Company typically applies a salvage value of 0%. The estimated useful lives of the plan and equipment are as follows:</w:t>
      </w:r>
    </w:p>
    <w:p>
      <w:pPr>
        <w:pStyle w:val="TextBody"/>
        <w:bidi w:val="0"/>
        <w:spacing w:before="0" w:after="0"/>
        <w:ind w:left="0" w:right="0" w:firstLine="72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405"/>
        <w:gridCol w:w="60"/>
        <w:gridCol w:w="3665"/>
      </w:tblGrid>
      <w:tr>
        <w:trPr/>
        <w:tc>
          <w:tcPr>
            <w:tcW w:w="2405"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r>
        <w:trPr/>
        <w:tc>
          <w:tcPr>
            <w:tcW w:w="240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the lesser of useful life or term of lease</w:t>
            </w:r>
          </w:p>
        </w:tc>
      </w:tr>
      <w:tr>
        <w:trPr/>
        <w:tc>
          <w:tcPr>
            <w:tcW w:w="2405"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10 years</w:t>
            </w:r>
          </w:p>
        </w:tc>
      </w:tr>
      <w:tr>
        <w:trPr/>
        <w:tc>
          <w:tcPr>
            <w:tcW w:w="2405"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3665" w:type="dxa"/>
            <w:tcBorders/>
            <w:shd w:fill="FFFFFF" w:val="clear"/>
            <w:vAlign w:val="center"/>
          </w:tcPr>
          <w:p>
            <w:pPr>
              <w:pStyle w:val="TableContents"/>
              <w:bidi w:val="0"/>
              <w:spacing w:before="0" w:after="283"/>
              <w:jc w:val="center"/>
              <w:rPr/>
            </w:pPr>
            <w:r>
              <w:rPr/>
              <w:t>3 – 5 years</w:t>
            </w:r>
          </w:p>
        </w:tc>
      </w:tr>
      <w:tr>
        <w:trPr/>
        <w:tc>
          <w:tcPr>
            <w:tcW w:w="240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3665" w:type="dxa"/>
            <w:tcBorders/>
            <w:shd w:fill="CCEEFF" w:val="clear"/>
            <w:vAlign w:val="center"/>
          </w:tcPr>
          <w:p>
            <w:pPr>
              <w:pStyle w:val="TableContents"/>
              <w:bidi w:val="0"/>
              <w:spacing w:before="0" w:after="283"/>
              <w:jc w:val="center"/>
              <w:rPr/>
            </w:pPr>
            <w:r>
              <w:rPr/>
              <w:t>3 – 5 years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related accumulated depreciation of assets sold or otherwise retired are eliminated from the accounts, and any gain or loss are included in the Company’s results of operations. The costs of maintenance and repairs are expensed as incurred. Significant renewals and betterments that extend the useful life of an assets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from third parties are measured initially at fair value and those with an infinite live are not amortized. The Company annually evaluates the recoverability of the infinite-lived intangible assets for possible impairment whenever events or circumstances indicate that the carrying amount of such assets may not be recoverable. To test indefinite-lived intangible assets for impairment, the Company first performs a qualitative assessment to determine if it is more likely than not that the carrying amount of each of its indefinite-lived intangible assets exceeds its fair value. If it is, a quantitative assessment is required. Alternatively, the Company may bypass the qualitative assessment and perform a quantitative impairment test. The qualitative assessment requires the consideration of factors such as recent market transactions, macroeconomic conditions and changes in projected future cash flows. The quantitative assessment compares the fair value of an indefinite-lived intangible asset to its carrying amount. If the carrying amount of an indefinite-lived intangible asset exceeds its fair value, an impairment loss is recognized for the excess. Fair values of indefinite-lived intangible assets are determined based on discounted cash flows or appraised values, as appropriate. If such a review indicates that the carrying amount of intangible assets is not recoverable, the carrying amount of such assets is reduced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did not record an impairment on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Impairment of long-lived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provisions of ASC Topic 360, </w:t>
      </w:r>
      <w:r>
        <w:rPr>
          <w:rFonts w:ascii="Times New Roman;Times;Serif" w:hAnsi="Times New Roman;Times;Serif"/>
          <w:b w:val="false"/>
          <w:i/>
          <w:caps w:val="false"/>
          <w:smallCaps w:val="false"/>
          <w:sz w:val="20"/>
        </w:rPr>
        <w:t>Impairment or Disposal of Long-Lived Assets</w:t>
      </w:r>
      <w:r>
        <w:rPr>
          <w:rFonts w:ascii="Times New Roman;Times;Serif" w:hAnsi="Times New Roman;Times;Serif"/>
          <w:b w:val="false"/>
          <w:i w:val="false"/>
          <w:caps w:val="false"/>
          <w:smallCaps w:val="false"/>
          <w:sz w:val="20"/>
        </w:rPr>
        <w:t>, all long-lived assets such as property, plant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loss on plant and equipment for the year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 with futures broker,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financial assets, derivative instruments, and broker margin balances in accordance with Accounting Standards Codification (“ASC”) 815, Derivatives and Hedging, ASC 820, Fair Value Measurement. The Company has engaged in trading of exchange-traded equity index futures through a margin account maintained with a regulated futures broker. Futures contracts are accounted for as derivative instruments under ASC 815.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designate any derivative instruments as hedging instruments for accounting purposes. Accordingly, all derivatives are accounted for at fair value with changes in fair value recognized in earnings as incurred. Realised and unrealised gains and losses arising from derivative trading activities are recorded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deposited with a futures broker to support margin requirements is included within deposit held by futures broker. The margin account reflects the accumulation of realised gains and losses from futures transactions, brokerage commissions, margin interest, and other related charges. Broker margin accounts may include balances denominated in multiple currencies. Amounts related to trading activity are primarily accumulated in Japanese yen (“JPY”), while margin deposits are funded principally in U.S. dollars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closure of a margin account, cash proceeds are expected to be received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incurred on negative balances within broker margin accounts is recognized as interest expense in the period incurred and included within other income (expense) or finance costs,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Exchange-traded futures contracts are measured at fair value using quoted prices in active markets. When outstanding, such instruments are classified within Level 1 of the fair value hierarchy described in ASC 820.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Costs are determined on a first-in, first-out basis. Net realizable value is based on the estimated selling prices less any estimated costs to be incurred to completion and disposal. A provision for excess and obsolete inventory will be made based primarily on products approaching expiry period and forecasts of product demand. The excess balance above the product demand as determined by this analysis becomes the basis for excess inventory charge and the written-down value of the inventory becomes its cost. Written-down inventory would not be reversed if market conditions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which consist of legal and other expenses incurred through the balance sheet date that are directly related to the proposed public offering, are capitalized, and will be charged against the gross proceeds of the offering and recorded as reduction of shareholders’ equity upon the completion of the proposed offering. Should the proposed public offering prove to be unsuccessful, these deferred costs, as well as additional expenses incurred, will be charged to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borrowings are recognized initially at fair value, net of debt issuance costs incurred. Other borrowings are subsequently stated at amortized cost; any difference between the proceeds (net of debt issuance costs) and the redemption value is recognized in the consolidated statements of operations over the period of the borrowings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Instruments are categorized as equity or debt based on the terms of the notes. Convertible Notes are recorded at amounts equal to the proceeds of the issuance, including the embedded conversion feature, and net of discounts and unamortized debt issuance in accordance with ASC 480-10-55-44 on the consolidated balance sheets. An evaluation of all conversion, purchase and redemption features contained in a debt instrument is performed to determine if there are any embedded features that require bifurcation as a derivative. The conversion feature is recorded separately as a derivative liability at its fair value, calculated using the Black-Scholes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and offering costs are amortized over the contractual term of the Convertible Notes, to the consolidated statements of operations in accordance with ASC 835-30-45-1A and presented as a reduction of the amortised cost of the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subsequently recorded at amortized cost, with interest expense recognized using the effective interest method. The derivative liability, if any is remeasured at fair value at each reporting date and any gain or loss on fair value is recognized in the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Topic 480, Distinguishing Liabilities from Equity (“ASC 480”) and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our control, among other conditions for equity classification. This assessment, which requires the use of professional judgment, is conducted at the time of warrant issuance and as of each subsequent period end date while the warrants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Warrants classified as equity instruments are initially recognized at fair value within additional paid in capital and are not subsequently remeasured. The warrants have been assessed to meet the requirements for equity classification and accounted for as equity. Upon exercise of the warrants, the Company will record the proceeds received, together with the carrying value of the warrants, as an increase to common stock and additional paid-in capital. Warrants that expire unexercised will be derecognized with no impact on the statement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do not meet all the criteria for equity classification, the warrants are required to be recorded as liabilities at their initial fair value on the date of issuance and are remeasured at each reporting date until settlement. Changes in fair value is recognized as a component of change in fair value of warrant liability in the condensed consolidated statements of operations and as a non-cash gain or loss in the condensed consolidated statement of comprehensive loss. Transaction costs allocated to warrants that are presented as a liability are immediately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classified warrants have been issued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Promissory notes, are of non-interest bearing and recorded at original cost. They are subsequently measured at amortised cost, with interest expense recognized using the effective interest method in the consolidated statement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stated at no par value. The difference between the consideration received, net of issuance cost, is recorded in additional paid-in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505, reverse stock splits are applied retrospectively. Consequently, all share and per share amounts for all periods presented in the accompanying consolidated financial statements and notes thereto have been adjusted to reflect the reverse stock split. This retrospective adjustment includes the recalculation of shares within equity and ensures that basic and diluted earnings per share, as well as all other share-based information such as stock options and warrants, are presented as if the reverse stock split had been in effect for all periods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of the Company as of December 31, 2025 represents 240,622 ordinary shares with par value of $Nil. The number of shares as above have taken into consideration the reverse stock split effected on February 11, 2025, May 6, 2025, August 4, 2025, December 1, 2025, January 26, 2026 and March 16, 2026 at an exchange ratio of one (1) share for twenty (20) shares, one (1) share for ten (10) shares, one (1) share for five (5) shares, one (1) share for five (5) shares, one (1) share for three (3) shares and one (1) share for four (4) shares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Topic 606, Revenue from Contracts with Customers, and all subsequent ASUs that modified ASC 606 on April 1, 2017 using the full retrospective method which requires the Company to present the financial statements for all periods as if Topic 606 had been applied to all prior periods. The Company derives revenue principally from provision of In vitro fertilization (“IVF”) treatment and surrogacy and ancillary caring services. Revenue from contracts with customers is recognized using the following five steps:</w:t>
      </w:r>
    </w:p>
    <w:p>
      <w:pPr>
        <w:pStyle w:val="TextBody"/>
        <w:bidi w:val="0"/>
        <w:spacing w:before="0" w:after="0"/>
        <w:ind w:left="964" w:right="0" w:hanging="48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(1)</w:t>
            </w:r>
          </w:p>
        </w:tc>
        <w:tc>
          <w:tcPr>
            <w:tcW w:w="9918" w:type="dxa"/>
            <w:tcBorders/>
            <w:vAlign w:val="center"/>
          </w:tcPr>
          <w:p>
            <w:pPr>
              <w:pStyle w:val="TableContents"/>
              <w:bidi w:val="0"/>
              <w:spacing w:before="0" w:after="283"/>
              <w:jc w:val="both"/>
              <w:rPr>
                <w:sz w:val="20"/>
              </w:rPr>
            </w:pPr>
            <w:r>
              <w:rPr>
                <w:sz w:val="20"/>
              </w:rPr>
              <w:t>identify its contracts with customers;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(2)</w:t>
            </w:r>
          </w:p>
        </w:tc>
        <w:tc>
          <w:tcPr>
            <w:tcW w:w="9918" w:type="dxa"/>
            <w:tcBorders/>
            <w:vAlign w:val="center"/>
          </w:tcPr>
          <w:p>
            <w:pPr>
              <w:pStyle w:val="TableContents"/>
              <w:bidi w:val="0"/>
              <w:spacing w:before="0" w:after="283"/>
              <w:jc w:val="both"/>
              <w:rPr>
                <w:sz w:val="20"/>
              </w:rPr>
            </w:pPr>
            <w:r>
              <w:rPr>
                <w:sz w:val="20"/>
              </w:rPr>
              <w:t>identify its performance obligations under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(3)</w:t>
            </w:r>
          </w:p>
        </w:tc>
        <w:tc>
          <w:tcPr>
            <w:tcW w:w="9918" w:type="dxa"/>
            <w:tcBorders/>
            <w:vAlign w:val="center"/>
          </w:tcPr>
          <w:p>
            <w:pPr>
              <w:pStyle w:val="TableContents"/>
              <w:bidi w:val="0"/>
              <w:spacing w:before="0" w:after="283"/>
              <w:jc w:val="both"/>
              <w:rPr>
                <w:sz w:val="20"/>
              </w:rPr>
            </w:pPr>
            <w:r>
              <w:rPr>
                <w:sz w:val="20"/>
              </w:rPr>
              <w:t>determine the transaction prices of those contracts;</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(4)</w:t>
            </w:r>
          </w:p>
        </w:tc>
        <w:tc>
          <w:tcPr>
            <w:tcW w:w="9918" w:type="dxa"/>
            <w:tcBorders/>
            <w:vAlign w:val="center"/>
          </w:tcPr>
          <w:p>
            <w:pPr>
              <w:pStyle w:val="TableContents"/>
              <w:bidi w:val="0"/>
              <w:spacing w:before="0" w:after="283"/>
              <w:jc w:val="both"/>
              <w:rPr>
                <w:sz w:val="20"/>
              </w:rPr>
            </w:pPr>
            <w:r>
              <w:rPr>
                <w:sz w:val="20"/>
              </w:rPr>
              <w:t>allocate the transaction prices to its performance obligations in those contracts;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(5)</w:t>
            </w:r>
          </w:p>
        </w:tc>
        <w:tc>
          <w:tcPr>
            <w:tcW w:w="9918" w:type="dxa"/>
            <w:tcBorders/>
            <w:vAlign w:val="center"/>
          </w:tcPr>
          <w:p>
            <w:pPr>
              <w:pStyle w:val="TableContents"/>
              <w:bidi w:val="0"/>
              <w:spacing w:before="0" w:after="283"/>
              <w:jc w:val="both"/>
              <w:rPr>
                <w:sz w:val="20"/>
              </w:rPr>
            </w:pPr>
            <w:r>
              <w:rPr>
                <w:sz w:val="20"/>
              </w:rPr>
              <w:t>recognize revenue when each performance obligation under those contracts is satisfied. Revenue is recognized when promised services are transferred to the client in an amount that reflects the consideration expected in exchange for those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verbal agreements with its customers that outline the rights, responsibilities, and obligations of each party. The agreements also identify the scope of services, service fees, and payment terms. Agreements are acknowledged and consent forms are signed by the customers prior to each promised service or bundle of services are inter dependent. All the contracts have commercial substance, and it is probable that the Company will collect considerations from its customers for service component as settlement is predominantly required prior to performance of the promised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two sources: (1) revenue from IVF treatment, and (2) revenue from fertility referral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fertilization (“IVF”) treatment is an assisted reproductive technique where eggs and sperm are collected and fertilized in laboratory to become embryo. Fertilized embryo is then implanted to the customer or a surrogate mother. IVF treatment involves the performance of a series of medical treatment as well as procedures and brings benefits to clients as the service of bundles service is completed. Revenue from IVF treatment is recognized at a point in time when different treatment and/or procedure or bundles thereof, are completed in clinic. The full completion of the various procedures and treatments are evidenced by treatment cards and reports included within the patient files indicating successful completion of the service. Collections from customer who are individuals are received in advance of the service, whereas for entities, a credit term of 30 days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Fertility Referral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arranges fertility referral services for customers seeking IVF and/or surrogacy services and earns referral fee income. Upon a customer inquiry, the Company evaluates the customer’s needs and, if appropriate, refers them to independent third-party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arrangements, the Company’s performance obligation is satisfied upon the successful referral of the customer to the independent agent. Referral fee revenue is recognized when the Company transfers control of the service by completing the referral, as this represents the point at which the Company’s obligation is fulfilled and the customer (the agent) simultaneously receives and consumes the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consists of a referral fee, which is negotiated with the agent on a case-by-case basis. As the referral fee is contingent upon the agent’s acceptance of the referral and subsequent income received from the agent, revenue is constrained until it is probable that a significant reversal will not occur. Accordingly, revenue is recognized at the point in time when the referral fee is received from the agent, as this is when the uncertainty surrounding the consideration is resolved and the Company’s right to consideration becomes unconditional.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from egg freezing and storage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access the facility to its customers. Upon request for the service, which is agreed verbally and followed by signed consent form from the customer, the Company makes available access to the facility with no further substantial involvement. Revenue is recognized at a point in time when the facility is made available to the customer at the agreed consideration by the provision of specific address within the facility as maintained in the patient file. The receipt of consideration is assured as payment is required upfront.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versus agency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provided in ASC 606, Revenue from Contracts with Customers, for determining whether the Company is the principal or an agent in arrangements with customers that involve another party that contributes to the provision of services to a customer. In these instances, the Company determines whether it has promised to provide the service itself (as principal) or to arrange for the specified service to be provided by another party (as an agent). This determination is a matter of judgment that depends on the facts and circumstances of each arrangement. The Company recognizes revenue from the performance of the procedures and treatment on a gross basis as the Company is responsible for the fulfillment, controls the delivery of the promised service, and has full discretion in establishing prices and therefore is the principal in the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related assets and liabilities are classified as current assets and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original amount less an allowance for expected credit loss on such receivables. The allowance for expected credit loss is estimated based upon the Company’s assessment of various factors including historical experience, the age of the accounts receivable balances, current general economic conditions, future expectations and customer specific quantitative and qualitative factors that may affect the Company’s customers’ ability to pay. An allowance is also made when there is objective evidence for the Company to reasonably estimate the amount of probable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represent considerations received from customers in advance of satisfying the Company’s performance obligations under the contract. These amounts are expected to be earned within 12 months and are classified as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Expected credit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Expected credit losses are probability-weighted estimates of credit losses. Credit losses are measured at the present value of all cash shortfalls (i.e., the difference between the cash flows due to the entity in accordance with the contract and the cash flows that the Company expects to receive). ECLs are discounted at the effective interest rate of the financial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Retirement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in the form of mandatory government-sponsored defined contribution plans are charged to either expense as incurred or allocated to wages as part of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lease in accordance to ASU 2016-02, “Leases” (Topic 842). 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income tax assets or liabilities for expected future tax consequences of events recognized in the consolidated financial statements or tax returns. Under this method, deferred income tax assets and liabilities are determined based on the differences between the financial reporting and income tax bases of assets and liabilities and are measured using the income tax rates that will be in effect when the differences are expected to reverse. Valuation allowances are provided when it is more likely than not that a deferred tax asset is not realizable or recoverable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the tax position is more likely than not to be sustained and records the largest amount of benefit that is more likely than not to be realized when the tax position is settled. the Company recognizes interest and penalties, if any, related to uncertain tax positions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comprehensive income in accordance with ASC Topic 220, </w:t>
      </w:r>
      <w:r>
        <w:rPr>
          <w:rFonts w:ascii="Times New Roman;Times;Serif" w:hAnsi="Times New Roman;Times;Serif"/>
          <w:b w:val="false"/>
          <w:i/>
          <w:caps w:val="false"/>
          <w:smallCaps w:val="false"/>
          <w:sz w:val="20"/>
        </w:rPr>
        <w:t>Comprehensive Income</w:t>
      </w:r>
      <w:r>
        <w:rPr>
          <w:rFonts w:ascii="Times New Roman;Times;Serif" w:hAnsi="Times New Roman;Times;Serif"/>
          <w:b w:val="false"/>
          <w:i w:val="false"/>
          <w:caps w:val="false"/>
          <w:smallCaps w:val="false"/>
          <w:sz w:val="20"/>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following ASC Topic 260, “Earnings per share”. Basic EPS is measured as the income or loss available to common shareholders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as-if method. Potentially anti-dilutive securities (i.e., those that increase income per share or decrease loss per share) are excluded from diluted EPS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ASC 850, Related Party Disclosures, for the identification of related parties and disclosure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contingencies, including legal proceedings and claims arising out of the business that relate to a wide range of matters, such as government investigations and tax matters. The Company recognizes its liability for such contingency if it determines it is probable that a loss has occurred and a reasonable estimate of the loss can be made. The Company may consider many factors in making these assessments including historical and the specific facts and circumstances of each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presented as a separate component of equity on the consolidated balance sheets and net (loss) income and other comprehensive loss are attributed to controlling and non-controlling interests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us to concentrations of credit risk consist primarily of cash and cash equivalents and account receivable. The Company places cash and cash equivalents with financial institutions with high credit ratings and quality.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primarily comprise of amounts receivable from the service customers. The Company conducts credit evaluations of customers, and generally does not require collateral or other security from its customers. The Company establishes an allowance for doubtful accounts primarily based upon the factors surrounding the credit risk of specific customers. Furthermore, the risk is mitigated by ascertaining upfront payments for services prior to their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including cash and cash equivalents, accounts receivables, net, deposits, other receivables and deferred IPO cost, net, loan to A SPAC I, accounts payables, accrued liabilities and other payables, and due from (to) shareholders,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consolidated balance sheets for cash and cash equivalents, accounts and other receivables, accounts and other payables,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pStyle w:val="TextBody"/>
        <w:bidi w:val="0"/>
        <w:spacing w:before="0" w:after="0"/>
        <w:ind w:left="960" w:right="0" w:hanging="48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30" w:type="dxa"/>
            <w:tcBorders/>
            <w:vAlign w:val="center"/>
          </w:tcPr>
          <w:p>
            <w:pPr>
              <w:pStyle w:val="TableContents"/>
              <w:bidi w:val="0"/>
              <w:spacing w:before="0" w:after="283"/>
              <w:jc w:val="both"/>
              <w:rPr>
                <w:sz w:val="20"/>
              </w:rPr>
            </w:pPr>
            <w:r>
              <w:rPr>
                <w:sz w:val="20"/>
              </w:rPr>
              <w:t>Level 1 — inputs to the valuation methodology used quoted prices for identical assets or liabilities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tc>
      </w:tr>
    </w:tbl>
    <w:p>
      <w:pPr>
        <w:pStyle w:val="TextBody"/>
        <w:bidi w:val="0"/>
        <w:spacing w:before="0" w:after="0"/>
        <w:ind w:left="960" w:right="0" w:hanging="48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080" w:type="dxa"/>
            <w:tcBorders/>
            <w:vAlign w:val="center"/>
          </w:tcPr>
          <w:p>
            <w:pPr>
              <w:pStyle w:val="TableContents"/>
              <w:bidi w:val="0"/>
              <w:spacing w:before="0" w:after="283"/>
              <w:jc w:val="both"/>
              <w:rPr>
                <w:sz w:val="20"/>
              </w:rPr>
            </w:pPr>
            <w:r>
              <w:rPr>
                <w:sz w:val="20"/>
              </w:rPr>
              <w:t>Level 3 — inputs to the valuation methodology are unobservable and significant to the fair value measurement.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analyzes all financial instruments with features of both liabilities and equity under ASC 480, “Distinguishing Liabilities from Equity” and ASC 815.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Recently issued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introduced expanded income tax disclosure requirements under ASU 2023-09 to improve transparency. Companies will now need to provide a detailed reconciliation of their effective tax rate, breaking down federal, state, and foreign taxes, as well as specific categories like tax credits and foreign earnings. Additionally, businesses must disclose income taxes paid by jurisdiction, offering investors greater clarity on tax obligations. These changes apply to both public and private companies, with annual reporting periods beginning after December 15, 2024 (2025 for calendar-year entities). This update aims to reduce ambiguity in tax reporting and align disclosures with investor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shift in digital asset accounting, ASU 2023-08 requires companies to measure certain crypto assets (e.g., Bitcoin, Ethereum) at fair value rather than applying the previous impairment-only model. This means entities must recognize quarterly fair value adjustments in their financial statements, increasing volatility in reported earnings but improving transparency. The standard applies to fiscal years beginning after December 15, 2024, and impacts both corporate treasuries and investment firms holding cryptocurrencies. This change aligns GAAP closer to fair value accounting seen in other investment holdings, addressing criticisms of the old impairment approach.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in a tabular format in the notes to the financial statements, specific information about certain costs included in common expense captions. This standard mandates the disaggregation of natural expenses—such as employee compensation, depreciation, and inventory costs—from broader captions like “cost of services” or “selling, general and administrative expenses.” Although this ASU is effective for annual reporting periods beginning after December 15, 2026, and interim periods thereafter, with early adoption permitted, the Company is currently evaluating the potential impact of this new guidance on its financial statement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which introduces a practical expedient to simplify the application of the current expected credit loss (CECL) model for current accounts receivable and contract assets arising from ASC 606 revenue transactions. Such practical expedient permits entities to assume that current economic conditions as of the balance sheet date will remain unchanged for the remaining life of these short-term assets, eliminating the need to develop and document forward-looking macroeconomic forecasts. For healthcare entities with significant patient accounts receivable, third-party payor contract assets, or government reimbursement receivables, this simplification reduces compliance costs and complexity while continuing to require consideration of historical loss experience and current conditions such as customer-specific financial distress or changes in credit policies. The guidance is effective for annual periods beginning after December 15, 2025, applied prospectively, and early adoption is permitted. The Company plans to adopt this practical expedient and will update its credit loss estimation policies and related disclosures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elsewhere disclosed, the Company does not believe other recently issued but not yet effective accounting standards, if currently adopted, would have a material effect on the Company’s consolidated balance sheet, statement of operations and comprehensive income (loss) and statement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3 — 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consists of the following:</w:t>
      </w:r>
    </w:p>
    <w:p>
      <w:pPr>
        <w:pStyle w:val="TextBody"/>
        <w:bidi w:val="0"/>
        <w:spacing w:before="0" w:after="0"/>
        <w:ind w:left="0" w:right="0" w:firstLine="72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3785"/>
        <w:gridCol w:w="60"/>
        <w:gridCol w:w="145"/>
        <w:gridCol w:w="1329"/>
        <w:gridCol w:w="95"/>
        <w:gridCol w:w="60"/>
        <w:gridCol w:w="218"/>
        <w:gridCol w:w="1256"/>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166,552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  </w:t>
            </w:r>
            <w:r>
              <w:rPr/>
              <w:t>49,264</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of the financial year, the aging analysis of accounts receivable, net of allowance for expected credit loss, based on the invoice date is as follows:</w:t>
      </w:r>
    </w:p>
    <w:p>
      <w:pPr>
        <w:pStyle w:val="TextBody"/>
        <w:bidi w:val="0"/>
        <w:spacing w:before="0" w:after="0"/>
        <w:ind w:left="0" w:right="0" w:firstLine="720"/>
        <w:jc w:val="left"/>
        <w:rPr>
          <w:caps w:val="false"/>
          <w:smallCaps w:val="false"/>
        </w:rPr>
      </w:pPr>
      <w:r>
        <w:rPr>
          <w:caps w:val="false"/>
          <w:smallCaps w:val="false"/>
        </w:rPr>
        <w:t> </w:t>
      </w:r>
    </w:p>
    <w:tbl>
      <w:tblPr>
        <w:tblW w:w="5008" w:type="dxa"/>
        <w:jc w:val="left"/>
        <w:tblInd w:w="0" w:type="dxa"/>
        <w:tblLayout w:type="fixed"/>
        <w:tblCellMar>
          <w:top w:w="0" w:type="dxa"/>
          <w:left w:w="0" w:type="dxa"/>
          <w:bottom w:w="0" w:type="dxa"/>
          <w:right w:w="0" w:type="dxa"/>
        </w:tblCellMar>
      </w:tblPr>
      <w:tblGrid>
        <w:gridCol w:w="1805"/>
        <w:gridCol w:w="60"/>
        <w:gridCol w:w="218"/>
        <w:gridCol w:w="1256"/>
        <w:gridCol w:w="60"/>
        <w:gridCol w:w="60"/>
        <w:gridCol w:w="218"/>
        <w:gridCol w:w="1256"/>
        <w:gridCol w:w="7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25,548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Within 60 days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6,677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Within 90 days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r>
              <w:rPr/>
              <w:t>49,245</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More than 90 days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132,365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166,531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49,245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488" w:type="dxa"/>
        <w:jc w:val="left"/>
        <w:tblInd w:w="0" w:type="dxa"/>
        <w:tblLayout w:type="fixed"/>
        <w:tblCellMar>
          <w:top w:w="0" w:type="dxa"/>
          <w:left w:w="0" w:type="dxa"/>
          <w:bottom w:w="0" w:type="dxa"/>
          <w:right w:w="0" w:type="dxa"/>
        </w:tblCellMar>
      </w:tblPr>
      <w:tblGrid>
        <w:gridCol w:w="3215"/>
        <w:gridCol w:w="60"/>
        <w:gridCol w:w="433"/>
        <w:gridCol w:w="1041"/>
        <w:gridCol w:w="95"/>
        <w:gridCol w:w="60"/>
        <w:gridCol w:w="433"/>
        <w:gridCol w:w="1041"/>
        <w:gridCol w:w="110"/>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Reversal of expected credit losses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4 — INVENTORIES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at cost,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10204" w:type="dxa"/>
        <w:jc w:val="left"/>
        <w:tblInd w:w="0" w:type="dxa"/>
        <w:tblLayout w:type="fixed"/>
        <w:tblCellMar>
          <w:top w:w="0" w:type="dxa"/>
          <w:left w:w="0" w:type="dxa"/>
          <w:bottom w:w="0" w:type="dxa"/>
          <w:right w:w="0" w:type="dxa"/>
        </w:tblCellMar>
      </w:tblPr>
      <w:tblGrid>
        <w:gridCol w:w="6935"/>
        <w:gridCol w:w="60"/>
        <w:gridCol w:w="145"/>
        <w:gridCol w:w="1329"/>
        <w:gridCol w:w="60"/>
        <w:gridCol w:w="60"/>
        <w:gridCol w:w="140"/>
        <w:gridCol w:w="1400"/>
        <w:gridCol w:w="7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Medicines, consumables and reagents for clinical and laboratory analyses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329" w:type="dxa"/>
            <w:tcBorders/>
            <w:shd w:fill="CCEEFF" w:val="clear"/>
            <w:vAlign w:val="center"/>
          </w:tcPr>
          <w:p>
            <w:pPr>
              <w:pStyle w:val="TableContents"/>
              <w:bidi w:val="0"/>
              <w:spacing w:before="0" w:after="283"/>
              <w:jc w:val="right"/>
              <w:rPr/>
            </w:pPr>
            <w:r>
              <w:rPr/>
              <w:t>          </w:t>
            </w:r>
            <w:r>
              <w:rPr/>
              <w:t>77,296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80,813</w:t>
            </w:r>
          </w:p>
        </w:tc>
        <w:tc>
          <w:tcPr>
            <w:tcW w:w="7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pPr>
            <w:r>
              <w:rPr/>
              <w:t>Supplements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12" w:space="0" w:color="000000"/>
            </w:tcBorders>
            <w:shd w:fill="FFFFFF" w:val="clear"/>
            <w:tcMar>
              <w:bottom w:w="28" w:type="dxa"/>
            </w:tcMar>
            <w:vAlign w:val="center"/>
          </w:tcPr>
          <w:p>
            <w:pPr>
              <w:pStyle w:val="TableContents"/>
              <w:bidi w:val="0"/>
              <w:spacing w:before="0" w:after="283"/>
              <w:jc w:val="right"/>
              <w:rPr/>
            </w:pPr>
            <w:r>
              <w:rPr/>
              <w:t>258,064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9" w:type="dxa"/>
            <w:tcBorders>
              <w:bottom w:val="double" w:sz="10" w:space="0" w:color="000000"/>
            </w:tcBorders>
            <w:shd w:fill="CCEEFF" w:val="clear"/>
            <w:tcMar>
              <w:bottom w:w="28" w:type="dxa"/>
            </w:tcMar>
            <w:vAlign w:val="center"/>
          </w:tcPr>
          <w:p>
            <w:pPr>
              <w:pStyle w:val="TableContents"/>
              <w:bidi w:val="0"/>
              <w:spacing w:before="0" w:after="283"/>
              <w:jc w:val="right"/>
              <w:rPr/>
            </w:pPr>
            <w:r>
              <w:rPr/>
              <w:t>335,360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80,813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5 — DEPOSITS, PREPAYMENT AND OTHER RECEIVABLES,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 and other receivables cost,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3785"/>
        <w:gridCol w:w="60"/>
        <w:gridCol w:w="140"/>
        <w:gridCol w:w="1400"/>
        <w:gridCol w:w="95"/>
        <w:gridCol w:w="60"/>
        <w:gridCol w:w="140"/>
        <w:gridCol w:w="1520"/>
        <w:gridCol w:w="110"/>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u w:val="single"/>
              </w:rPr>
            </w:pPr>
            <w:r>
              <w:rPr>
                <w:u w:val="single"/>
              </w:rPr>
              <w:t>Current</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33,442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            </w:t>
            </w:r>
            <w:r>
              <w:rPr/>
              <w:t>121,533</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199,935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73,917</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Prepayment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120,542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197,706</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Loan receivable from a third party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Advanced payment to supplier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74,674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503,588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393,152</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with a digital asset broker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34,987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Receivables from agents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794,116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1,191,795</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Deposit for land acquisition (b)</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4,614,749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u w:val="single"/>
              </w:rPr>
            </w:pPr>
            <w:r>
              <w:rPr>
                <w:u w:val="single"/>
              </w:rPr>
              <w:t>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Prepayment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10" w:space="0" w:color="000000"/>
            </w:tcBorders>
            <w:shd w:fill="FFFFFF" w:val="clear"/>
            <w:tcMar>
              <w:bottom w:w="28" w:type="dxa"/>
            </w:tcMar>
            <w:vAlign w:val="center"/>
          </w:tcPr>
          <w:p>
            <w:pPr>
              <w:pStyle w:val="TableContents"/>
              <w:bidi w:val="0"/>
              <w:spacing w:before="0" w:after="283"/>
              <w:jc w:val="right"/>
              <w:rPr/>
            </w:pPr>
            <w:r>
              <w:rPr/>
              <w:t>33,333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45"/>
        <w:gridCol w:w="5195"/>
      </w:tblGrid>
      <w:tr>
        <w:trPr/>
        <w:tc>
          <w:tcPr>
            <w:tcW w:w="245" w:type="dxa"/>
            <w:tcBorders/>
            <w:vAlign w:val="center"/>
          </w:tcPr>
          <w:p>
            <w:pPr>
              <w:pStyle w:val="TableContents"/>
              <w:bidi w:val="0"/>
              <w:spacing w:before="0" w:after="283"/>
              <w:jc w:val="left"/>
              <w:rPr>
                <w:sz w:val="20"/>
              </w:rPr>
            </w:pPr>
            <w:r>
              <w:rPr>
                <w:sz w:val="20"/>
              </w:rPr>
              <w:t>(a)</w:t>
            </w:r>
          </w:p>
        </w:tc>
        <w:tc>
          <w:tcPr>
            <w:tcW w:w="5195" w:type="dxa"/>
            <w:tcBorders/>
            <w:vAlign w:val="center"/>
          </w:tcPr>
          <w:p>
            <w:pPr>
              <w:pStyle w:val="TableContents"/>
              <w:bidi w:val="0"/>
              <w:spacing w:before="0" w:after="283"/>
              <w:jc w:val="left"/>
              <w:rPr>
                <w:sz w:val="20"/>
              </w:rPr>
            </w:pPr>
            <w:r>
              <w:rPr>
                <w:sz w:val="20"/>
              </w:rPr>
              <w:t>The loan is unsecured, interest free and is repayable on demand.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(b)</w:t>
            </w:r>
          </w:p>
        </w:tc>
        <w:tc>
          <w:tcPr>
            <w:tcW w:w="9950" w:type="dxa"/>
            <w:tcBorders/>
            <w:vAlign w:val="center"/>
          </w:tcPr>
          <w:p>
            <w:pPr>
              <w:pStyle w:val="TableContents"/>
              <w:bidi w:val="0"/>
              <w:spacing w:before="0" w:after="283"/>
              <w:jc w:val="left"/>
              <w:rPr>
                <w:sz w:val="20"/>
              </w:rPr>
            </w:pPr>
            <w:r>
              <w:rPr>
                <w:sz w:val="20"/>
              </w:rPr>
              <w:t>No definitive agreement has been concluded to date regarding this deposit paid for the acquisition of land in Ras Al Khaimah, UAE.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344" w:type="dxa"/>
        <w:jc w:val="left"/>
        <w:tblInd w:w="0" w:type="dxa"/>
        <w:tblLayout w:type="fixed"/>
        <w:tblCellMar>
          <w:top w:w="0" w:type="dxa"/>
          <w:left w:w="0" w:type="dxa"/>
          <w:bottom w:w="0" w:type="dxa"/>
          <w:right w:w="0" w:type="dxa"/>
        </w:tblCellMar>
      </w:tblPr>
      <w:tblGrid>
        <w:gridCol w:w="3170"/>
        <w:gridCol w:w="60"/>
        <w:gridCol w:w="140"/>
        <w:gridCol w:w="1295"/>
        <w:gridCol w:w="95"/>
        <w:gridCol w:w="60"/>
        <w:gridCol w:w="415"/>
        <w:gridCol w:w="999"/>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Provision during the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Reversal of provision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6 — PROPERTY AND EQUIPMENT,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 net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2990"/>
        <w:gridCol w:w="60"/>
        <w:gridCol w:w="165"/>
        <w:gridCol w:w="1249"/>
        <w:gridCol w:w="95"/>
        <w:gridCol w:w="60"/>
        <w:gridCol w:w="172"/>
        <w:gridCol w:w="1302"/>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At cost:</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Building improvement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247,515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196,929</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1,550,061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25,390</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Medical instruments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1,052,578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785,776</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142,936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167,234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361,385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3,017,388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1,512,416</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(1,228,278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(1,239,320</w:t>
            </w:r>
          </w:p>
        </w:tc>
        <w:tc>
          <w:tcPr>
            <w:tcW w:w="110"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1,789,110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273,096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December 31, 2025 and December 31, 2024 were $188,109 and $19,502,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 was recorded for the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7 —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comprise: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20"/>
              </w:rPr>
            </w:pPr>
            <w:r>
              <w:rPr>
                <w:sz w:val="20"/>
              </w:rPr>
              <w:t>(ii)</w:t>
            </w:r>
          </w:p>
        </w:tc>
        <w:tc>
          <w:tcPr>
            <w:tcW w:w="9886" w:type="dxa"/>
            <w:tcBorders/>
            <w:vAlign w:val="center"/>
          </w:tcPr>
          <w:p>
            <w:pPr>
              <w:pStyle w:val="TableContents"/>
              <w:bidi w:val="0"/>
              <w:spacing w:before="0" w:after="283"/>
              <w:jc w:val="both"/>
              <w:rPr>
                <w:sz w:val="20"/>
              </w:rPr>
            </w:pPr>
            <w:r>
              <w:rPr>
                <w:sz w:val="20"/>
              </w:rPr>
              <w:t>A trademark and technology upon the acquisition of MicroSort Lab Services, LLC (“MicroSort”) on February 28, 2025 valued at $3,495,335, refer Note 21,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20"/>
              </w:rPr>
            </w:pPr>
            <w:r>
              <w:rPr>
                <w:sz w:val="20"/>
              </w:rPr>
              <w:t>(ii)</w:t>
            </w:r>
          </w:p>
        </w:tc>
        <w:tc>
          <w:tcPr>
            <w:tcW w:w="9881" w:type="dxa"/>
            <w:tcBorders/>
            <w:vAlign w:val="center"/>
          </w:tcPr>
          <w:p>
            <w:pPr>
              <w:pStyle w:val="TableContents"/>
              <w:bidi w:val="0"/>
              <w:spacing w:before="0" w:after="283"/>
              <w:jc w:val="both"/>
              <w:rPr>
                <w:sz w:val="20"/>
              </w:rPr>
            </w:pPr>
            <w:r>
              <w:rPr>
                <w:sz w:val="20"/>
              </w:rPr>
              <w:t>An intellectual property upon the acquisition of the business of Nodexus Inc (“Nodexus”) on July 29, 2025 valued at $19,166,000, refer Note 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exclusively owns the MicroSort Technology. MicroSort technology is a form of pre-conception gender selection technology for humans. MicroSort technology aims to separate male sperm cells based on which gender chromosome they contain, which results in separated semen samples that contain a higher percentage of sperm cells that carry the same gender chromosome. The technology ultimately helps couples choose the gender of their future child by choosing semen samples that predominately contain sperm with the X chromosome for a female or Y chromosome for a male. Traditionally and naturally, gender selection occurs after conception, meaning after the eggs are fertilized. As a result, some fertilized eggs will go unused. However, with MicroSort technology, NewGenIvf is able to increase the ratio of male or female embryos, based on the patient’s preference. Eggs are more likely to be fertilized according to the preferences of the parents. Other improvements that MicroSort treatment could help achieve include prevention of certain gender-related hereditary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acquired patents from Nodexus Inc, in 2025, which is a biotechnology company revolutionizing live cell analysis and isolation through its advanced microfluidic technology. The company’s flagship NX One platform is an automated, benchtop system designed to make high-precision cell sorting more accessible and affordable for a wide range of laboratories, from academic institutions to biopharma firms. Unlike traditional, high-pressure sorters that can damage fragile cells, Nodexus utilizes a proprietary technology that operates at incredibly low pressures (under 1 psi), ensuring high cell viability during the sorting process. The system employs single-use, closed cartridges that maintain sterility, prevent cross-contamination, and support the sorting of diverse particle types, from small yeast cells and nuclei to large, delicate organoids up to 200 micrometers in size. This versatile and gentle approach has critical applications in cutting-edge research areas, including CRISPR gene editing, stem cell therapy development, cancer biology, and single-cell genomics. This technology can facilitate the gender selection as well as avoiding genetic diseases in the IVF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these intangible assets as indefinite life intangible assets as there are currently no legal, competitive, economic or other factors that materially limit the useful life of the Company’s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350-30-35, Intangibles - Goodwill and Other, provides for an option to first perform a qualitative assessment to determine whether it is more likely than not that an asset is impaired. If the qualitative assessment supports that it is more likely than not that the fair value of the asset exceeds its carrying value, a quantitative impairment test is not required. If the qualitative assessment does not support the fair value of the asset, then a quantitative assessment is performed. Our annual impairment assessment of our identifiable indefinite lived intangible assets is performed as of the fourth quarter of each year. An assessment is performed at other times if an event occurs or circumstances change that would more likely than not reduce the fair value of the asset below its carrying value. If the carrying value of the intangible assets exceeds its fair value, an impairment loss is recognized in an amount equal to that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performed a qualitative assessment, during the fourth quarter of 2025, to determine whether it was more likely than not that the carrying amounts of its intangible assets were impaired. This assessment considered a number of qualitative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80"/>
        <w:gridCol w:w="231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315" w:type="dxa"/>
            <w:tcBorders/>
            <w:vAlign w:val="center"/>
          </w:tcPr>
          <w:p>
            <w:pPr>
              <w:pStyle w:val="TableContents"/>
              <w:bidi w:val="0"/>
              <w:spacing w:before="0" w:after="283"/>
              <w:jc w:val="both"/>
              <w:rPr>
                <w:sz w:val="20"/>
              </w:rPr>
            </w:pPr>
            <w:r>
              <w:rPr>
                <w:sz w:val="20"/>
              </w:rPr>
              <w:t>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80"/>
        <w:gridCol w:w="22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2240" w:type="dxa"/>
            <w:tcBorders/>
            <w:vAlign w:val="center"/>
          </w:tcPr>
          <w:p>
            <w:pPr>
              <w:pStyle w:val="TableContents"/>
              <w:bidi w:val="0"/>
              <w:spacing w:before="0" w:after="283"/>
              <w:jc w:val="both"/>
              <w:rPr>
                <w:sz w:val="20"/>
              </w:rPr>
            </w:pPr>
            <w:r>
              <w:rPr>
                <w:sz w:val="20"/>
              </w:rPr>
              <w:t>Industry and market trends,</w:t>
            </w:r>
          </w:p>
        </w:tc>
      </w:tr>
    </w:tbl>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75"/>
        <w:gridCol w:w="80"/>
        <w:gridCol w:w="10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1040" w:type="dxa"/>
            <w:tcBorders/>
            <w:vAlign w:val="center"/>
          </w:tcPr>
          <w:p>
            <w:pPr>
              <w:pStyle w:val="TableContents"/>
              <w:bidi w:val="0"/>
              <w:spacing w:before="0" w:after="283"/>
              <w:jc w:val="both"/>
              <w:rPr>
                <w:sz w:val="20"/>
              </w:rPr>
            </w:pPr>
            <w:r>
              <w:rPr>
                <w:sz w:val="20"/>
              </w:rPr>
              <w:t>Cost factors,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80"/>
        <w:gridCol w:w="344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440" w:type="dxa"/>
            <w:tcBorders/>
            <w:vAlign w:val="center"/>
          </w:tcPr>
          <w:p>
            <w:pPr>
              <w:pStyle w:val="TableContents"/>
              <w:bidi w:val="0"/>
              <w:spacing w:before="0" w:after="283"/>
              <w:jc w:val="both"/>
              <w:rPr>
                <w:sz w:val="20"/>
              </w:rPr>
            </w:pPr>
            <w:r>
              <w:rPr>
                <w:sz w:val="20"/>
              </w:rPr>
              <w:t>Overall financial performance of the asset,</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80"/>
        <w:gridCol w:w="320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3200" w:type="dxa"/>
            <w:tcBorders/>
            <w:vAlign w:val="center"/>
          </w:tcPr>
          <w:p>
            <w:pPr>
              <w:pStyle w:val="TableContents"/>
              <w:bidi w:val="0"/>
              <w:spacing w:before="0" w:after="283"/>
              <w:jc w:val="both"/>
              <w:rPr>
                <w:sz w:val="20"/>
              </w:rPr>
            </w:pPr>
            <w:r>
              <w:rPr>
                <w:sz w:val="20"/>
              </w:rPr>
              <w:t>Legal and regulatory environment, and</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80"/>
        <w:gridCol w:w="428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both"/>
              <w:rPr>
                <w:sz w:val="20"/>
              </w:rPr>
            </w:pPr>
            <w:r>
              <w:rPr>
                <w:sz w:val="20"/>
              </w:rPr>
              <w:t>-</w:t>
            </w:r>
          </w:p>
        </w:tc>
        <w:tc>
          <w:tcPr>
            <w:tcW w:w="4280" w:type="dxa"/>
            <w:tcBorders/>
            <w:vAlign w:val="center"/>
          </w:tcPr>
          <w:p>
            <w:pPr>
              <w:pStyle w:val="TableContents"/>
              <w:bidi w:val="0"/>
              <w:spacing w:before="0" w:after="283"/>
              <w:jc w:val="both"/>
              <w:rPr>
                <w:sz w:val="20"/>
              </w:rPr>
            </w:pPr>
            <w:r>
              <w:rPr>
                <w:sz w:val="20"/>
              </w:rPr>
              <w:t>Relevant internal reporting and management’s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qualitative assessment, management did not identify any events or changes in circumstances that would indicate that the carrying amounts of the Company’s intangible assets are not recoverable. The qualitative impairment assessment of the indefinite intangible assets indicated that the fair value of such assets exceeded their carrying value and therefore were not at risk of impairment. Accordingly, no quantitative impairment test was deemed necessary, and no impairment losses were recognized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8 — DIGITAL ASSETS,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began investing excess treasury balances in certain digital assets, comprising Solana (“SOL”), Bitcoin (“BTC”), Ethereum (“ETH”), and a cryptographic token native to the XRP Ledger (“XRP”), all of which are blockchain-based crypto assets, as part of its capital allocation strategy. The Company’s primary business remains the provision of in-vitro fertilization (“IVF”) services, and digital asset activities are not part of its core operating activities. The Company does not engage in mining, staking, lending, nor other yield-generating crypto asset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and dispositions in digital assets during the year ended December 31, 2025 are made in cash through a third-party trading platform. The Company did not receive digital assets from customers nor use digital assets as payment for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Holdings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crypto asset holdings at December 31, 2025:</w:t>
      </w:r>
    </w:p>
    <w:p>
      <w:pPr>
        <w:pStyle w:val="TextBody"/>
        <w:bidi w:val="0"/>
        <w:spacing w:before="0" w:after="0"/>
        <w:ind w:left="0" w:right="0" w:hanging="0"/>
        <w:jc w:val="both"/>
        <w:rPr>
          <w:caps w:val="false"/>
          <w:smallCaps w:val="false"/>
        </w:rPr>
      </w:pPr>
      <w:r>
        <w:rPr>
          <w:caps w:val="false"/>
          <w:smallCaps w:val="false"/>
        </w:rPr>
        <w:t> </w:t>
      </w:r>
    </w:p>
    <w:tbl>
      <w:tblPr>
        <w:tblW w:w="5309" w:type="dxa"/>
        <w:jc w:val="left"/>
        <w:tblInd w:w="0" w:type="dxa"/>
        <w:tblLayout w:type="fixed"/>
        <w:tblCellMar>
          <w:top w:w="0" w:type="dxa"/>
          <w:left w:w="0" w:type="dxa"/>
          <w:bottom w:w="28" w:type="dxa"/>
          <w:right w:w="0" w:type="dxa"/>
        </w:tblCellMar>
      </w:tblPr>
      <w:tblGrid>
        <w:gridCol w:w="1640"/>
        <w:gridCol w:w="60"/>
        <w:gridCol w:w="60"/>
        <w:gridCol w:w="994"/>
        <w:gridCol w:w="60"/>
        <w:gridCol w:w="60"/>
        <w:gridCol w:w="140"/>
        <w:gridCol w:w="980"/>
        <w:gridCol w:w="60"/>
        <w:gridCol w:w="60"/>
        <w:gridCol w:w="140"/>
        <w:gridCol w:w="980"/>
        <w:gridCol w:w="75"/>
      </w:tblGrid>
      <w:tr>
        <w:trPr/>
        <w:tc>
          <w:tcPr>
            <w:tcW w:w="1640" w:type="dxa"/>
            <w:tcBorders>
              <w:bottom w:val="single" w:sz="12" w:space="0" w:color="000000"/>
            </w:tcBorders>
            <w:vAlign w:val="center"/>
          </w:tcPr>
          <w:p>
            <w:pPr>
              <w:pStyle w:val="TableContents"/>
              <w:bidi w:val="0"/>
              <w:spacing w:before="0" w:after="283"/>
              <w:jc w:val="left"/>
              <w:rPr>
                <w:b/>
              </w:rPr>
            </w:pPr>
            <w:r>
              <w:rPr>
                <w:b/>
              </w:rPr>
              <w:t>Crypto asset</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Units 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Cost basis</w:t>
              <w:br/>
              <w:t>(USD)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Fair value</w:t>
              <w:br/>
              <w:t>(USD)</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Solana (SOL)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13,000.23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Bitcoin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Ethereum (ETH)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XRP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2,906,222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1,630,827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per unit of Solana as at December 31, 2025 was approximately $125, based on quoted prices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Digital Asset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activity in digital assets for the year ended December 31, 2025 (in units):</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00"/>
        <w:gridCol w:w="60"/>
        <w:gridCol w:w="60"/>
        <w:gridCol w:w="905"/>
        <w:gridCol w:w="80"/>
        <w:gridCol w:w="60"/>
        <w:gridCol w:w="60"/>
        <w:gridCol w:w="440"/>
        <w:gridCol w:w="80"/>
        <w:gridCol w:w="60"/>
        <w:gridCol w:w="60"/>
        <w:gridCol w:w="440"/>
        <w:gridCol w:w="80"/>
        <w:gridCol w:w="60"/>
        <w:gridCol w:w="60"/>
        <w:gridCol w:w="1010"/>
        <w:gridCol w:w="95"/>
      </w:tblGrid>
      <w:tr>
        <w:trPr/>
        <w:tc>
          <w:tcPr>
            <w:tcW w:w="2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SOL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BTC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ETH </w:t>
              <w:br/>
              <w:t>Units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XRP </w:t>
              <w:br/>
              <w:t>Units</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sz w:val="20"/>
              </w:rPr>
            </w:pPr>
            <w:r>
              <w:rPr>
                <w:sz w:val="20"/>
              </w:rPr>
              <w:t>Purchases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sz w:val="20"/>
              </w:rPr>
            </w:pPr>
            <w:r>
              <w:rPr>
                <w:sz w:val="20"/>
              </w:rPr>
              <w:t>46,118.55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sz w:val="20"/>
              </w:rPr>
            </w:pPr>
            <w:r>
              <w:rPr>
                <w:sz w:val="20"/>
              </w:rPr>
              <w:t>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146,432.14</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sz w:val="20"/>
              </w:rPr>
            </w:pPr>
            <w:r>
              <w:rPr>
                <w:sz w:val="20"/>
              </w:rPr>
              <w:t>Sales during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(33,118.32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(146,432.14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6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b/>
                <w:sz w:val="20"/>
              </w:rPr>
            </w:pPr>
            <w:r>
              <w:rPr>
                <w:b/>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13,000.23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390"/>
        <w:gridCol w:w="60"/>
        <w:gridCol w:w="60"/>
        <w:gridCol w:w="1055"/>
        <w:gridCol w:w="95"/>
        <w:gridCol w:w="60"/>
        <w:gridCol w:w="60"/>
        <w:gridCol w:w="680"/>
        <w:gridCol w:w="60"/>
        <w:gridCol w:w="60"/>
        <w:gridCol w:w="90"/>
        <w:gridCol w:w="574"/>
        <w:gridCol w:w="60"/>
        <w:gridCol w:w="60"/>
        <w:gridCol w:w="60"/>
        <w:gridCol w:w="680"/>
        <w:gridCol w:w="60"/>
        <w:gridCol w:w="60"/>
        <w:gridCol w:w="60"/>
        <w:gridCol w:w="1055"/>
        <w:gridCol w:w="11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SOL </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BTC</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ETH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XRP </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(USD)</w:t>
            </w:r>
          </w:p>
        </w:tc>
        <w:tc>
          <w:tcPr>
            <w:tcW w:w="11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Realised gains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919,720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942,915</w:t>
            </w:r>
          </w:p>
        </w:tc>
        <w:tc>
          <w:tcPr>
            <w:tcW w:w="11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Unrealized gains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(1,275,395</w:t>
            </w:r>
          </w:p>
        </w:tc>
        <w:tc>
          <w:tcPr>
            <w:tcW w:w="110" w:type="dxa"/>
            <w:tcBorders/>
            <w:shd w:fill="FFFFFF" w:val="clear"/>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both"/>
              <w:rPr>
                <w:b/>
              </w:rPr>
            </w:pPr>
            <w:r>
              <w:rPr>
                <w:b/>
              </w:rPr>
              <w:t>Net Gain/Loss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(355,675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(332,480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and presented the Net loss as a separate line item within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Solana remained held at year-end; all BTC, ETH, and XRP positions were fully liquidated prior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crypto assets were not subject to contractual sale restrictions, pledges, or lock-up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are measured using Level 1 inputs within the fair value hierarchy under ASC 820, based on quoted prices for identical assets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9 — DEPOSIT WITH FUTURES BROKER,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engaged in trading of exchange-traded equity index futures through a margin account maintained with a regulated futures broker. These contracts were accounted for as derivative instruments under ASC 815, Derivatives and Hedging, and were not designated as hedging instruments for accounting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 deposit, which is denominated in US$, represents cash funds placed with the futures broker to support margin requirements and trading activities denominated in Japanese yen (“JPY) within the margin account. Realised gains and losses from futures transactions, along with brokerage fees, margin interest, and other associated charges, were accumulated within the margin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margin deposit held with the broker of US$ 760,000, and a margin account of accumulated trading losses and margin-related charges of JPY 109,875,291 (US$700,631), which are presented as a net amount of US59,368.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 the Company has ceased all derivative trading activities. Upon subsequent closure of the margin account in the near term, any remaining cash balances are expected to be remitted to the Company net of outstanding broker charges and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realised and unrealised gains and losses arising from futures trading activities during the year were recognized in earnings within other income (expense) in the consolidated statement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futures contracts traded during the year were exchange-traded instruments valued using quoted prices in active markets and, when outstanding, would have been classified within Level 1 of the fair value hierarchy under ASC 820,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held no derivative assets or liabilities subject to recurring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10 — ACCRUED LIABILITIES AND OTHER PAYABLES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3125"/>
        <w:gridCol w:w="60"/>
        <w:gridCol w:w="210"/>
        <w:gridCol w:w="1204"/>
        <w:gridCol w:w="60"/>
        <w:gridCol w:w="60"/>
        <w:gridCol w:w="219"/>
        <w:gridCol w:w="1255"/>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514,169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201,455</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Customer deposit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6,349</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Withholding tax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4,361</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Independent director fee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Compensation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105,446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100,802</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both"/>
              <w:rPr/>
            </w:pPr>
            <w:r>
              <w:rPr/>
              <w:t>Other payables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90,388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167,762</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711,892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500,729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payable represents a claim relating to an employee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11 — 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7523" w:type="dxa"/>
        <w:jc w:val="left"/>
        <w:tblInd w:w="0" w:type="dxa"/>
        <w:tblLayout w:type="fixed"/>
        <w:tblCellMar>
          <w:top w:w="0" w:type="dxa"/>
          <w:left w:w="0" w:type="dxa"/>
          <w:bottom w:w="0" w:type="dxa"/>
          <w:right w:w="0" w:type="dxa"/>
        </w:tblCellMar>
      </w:tblPr>
      <w:tblGrid>
        <w:gridCol w:w="4370"/>
        <w:gridCol w:w="60"/>
        <w:gridCol w:w="210"/>
        <w:gridCol w:w="1204"/>
        <w:gridCol w:w="95"/>
        <w:gridCol w:w="60"/>
        <w:gridCol w:w="221"/>
        <w:gridCol w:w="1193"/>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Balance at beginning of year</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63,489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7,937</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pPr>
            <w:r>
              <w:rPr/>
              <w:t>Advance billings to customers during the year</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57,274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75,340</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Recognized to revenue during the year</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(8,782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(19,788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both"/>
              <w:rPr/>
            </w:pPr>
            <w:r>
              <w:rPr/>
              <w:t>Balance at end of year</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FFFFFF" w:val="clear"/>
            <w:tcMar>
              <w:bottom w:w="28" w:type="dxa"/>
            </w:tcMar>
            <w:vAlign w:val="center"/>
          </w:tcPr>
          <w:p>
            <w:pPr>
              <w:pStyle w:val="TableContents"/>
              <w:bidi w:val="0"/>
              <w:spacing w:before="0" w:after="283"/>
              <w:jc w:val="right"/>
              <w:rPr/>
            </w:pPr>
            <w:r>
              <w:rPr/>
              <w:t>111,981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10" w:space="0" w:color="000000"/>
            </w:tcBorders>
            <w:shd w:fill="FFFFFF" w:val="clear"/>
            <w:tcMar>
              <w:bottom w:w="28" w:type="dxa"/>
            </w:tcMar>
            <w:vAlign w:val="center"/>
          </w:tcPr>
          <w:p>
            <w:pPr>
              <w:pStyle w:val="TableContents"/>
              <w:bidi w:val="0"/>
              <w:spacing w:before="0" w:after="283"/>
              <w:jc w:val="right"/>
              <w:rPr/>
            </w:pPr>
            <w:r>
              <w:rPr/>
              <w:t>63,489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12 — CONVERTIBLE NOTES AND DERIVATIVE LIABILITY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at amortised cost are as follows:</w:t>
      </w:r>
    </w:p>
    <w:p>
      <w:pPr>
        <w:pStyle w:val="TextBody"/>
        <w:bidi w:val="0"/>
        <w:spacing w:before="0" w:after="0"/>
        <w:ind w:left="0" w:right="0" w:hanging="0"/>
        <w:jc w:val="both"/>
        <w:rPr>
          <w:caps w:val="false"/>
          <w:smallCaps w:val="false"/>
        </w:rPr>
      </w:pPr>
      <w:r>
        <w:rPr>
          <w:caps w:val="false"/>
          <w:smallCaps w:val="false"/>
        </w:rPr>
        <w:t> </w:t>
      </w:r>
    </w:p>
    <w:tbl>
      <w:tblPr>
        <w:tblW w:w="6399" w:type="dxa"/>
        <w:jc w:val="left"/>
        <w:tblInd w:w="0" w:type="dxa"/>
        <w:tblLayout w:type="fixed"/>
        <w:tblCellMar>
          <w:top w:w="0" w:type="dxa"/>
          <w:left w:w="0" w:type="dxa"/>
          <w:bottom w:w="0" w:type="dxa"/>
          <w:right w:w="0" w:type="dxa"/>
        </w:tblCellMar>
      </w:tblPr>
      <w:tblGrid>
        <w:gridCol w:w="3185"/>
        <w:gridCol w:w="60"/>
        <w:gridCol w:w="176"/>
        <w:gridCol w:w="1239"/>
        <w:gridCol w:w="95"/>
        <w:gridCol w:w="60"/>
        <w:gridCol w:w="84"/>
        <w:gridCol w:w="1390"/>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issued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4,701,738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3,059,595</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Less: Deferred debt issuance cost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(348,316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(648,232</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4,353,422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2,411,363</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Presented as: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Current liability</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256,056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82,447</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Non-current liability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4,097,366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2,328,916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4,353,422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2,411,363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the following outstanding convertible notes: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5"/>
        <w:gridCol w:w="60"/>
        <w:gridCol w:w="140"/>
        <w:gridCol w:w="980"/>
        <w:gridCol w:w="60"/>
        <w:gridCol w:w="60"/>
        <w:gridCol w:w="1851"/>
        <w:gridCol w:w="60"/>
        <w:gridCol w:w="1232"/>
        <w:gridCol w:w="215"/>
        <w:gridCol w:w="60"/>
        <w:gridCol w:w="908"/>
        <w:gridCol w:w="60"/>
        <w:gridCol w:w="950"/>
        <w:gridCol w:w="60"/>
        <w:gridCol w:w="190"/>
        <w:gridCol w:w="1339"/>
        <w:gridCol w:w="60"/>
        <w:gridCol w:w="60"/>
        <w:gridCol w:w="625"/>
      </w:tblGrid>
      <w:tr>
        <w:trPr/>
        <w:tc>
          <w:tcPr>
            <w:tcW w:w="1235" w:type="dxa"/>
            <w:tcBorders>
              <w:bottom w:val="single" w:sz="12" w:space="0" w:color="000000"/>
            </w:tcBorders>
            <w:vAlign w:val="center"/>
          </w:tcPr>
          <w:p>
            <w:pPr>
              <w:pStyle w:val="TableContents"/>
              <w:bidi w:val="0"/>
              <w:spacing w:before="0" w:after="283"/>
              <w:ind w:left="0" w:right="0" w:hanging="180"/>
              <w:jc w:val="left"/>
              <w:rPr>
                <w:b/>
              </w:rPr>
            </w:pPr>
            <w:r>
              <w:rPr>
                <w:b/>
              </w:rPr>
              <w:t>Note Holders</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 xml:space="preserve">Principal </w:t>
              <w:br/>
              <w:t>Amount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Conversion Price</w:t>
            </w:r>
          </w:p>
        </w:tc>
        <w:tc>
          <w:tcPr>
            <w:tcW w:w="60" w:type="dxa"/>
            <w:tcBorders/>
            <w:tcMar>
              <w:bottom w:w="0" w:type="dxa"/>
            </w:tcMar>
            <w:vAlign w:val="center"/>
          </w:tcPr>
          <w:p>
            <w:pPr>
              <w:pStyle w:val="TableContents"/>
              <w:bidi w:val="0"/>
              <w:spacing w:before="0" w:after="283"/>
              <w:jc w:val="center"/>
              <w:rPr/>
            </w:pPr>
            <w:r>
              <w:rPr/>
              <w:t> </w:t>
            </w:r>
          </w:p>
        </w:tc>
        <w:tc>
          <w:tcPr>
            <w:tcW w:w="1232" w:type="dxa"/>
            <w:tcBorders>
              <w:bottom w:val="single" w:sz="12" w:space="0" w:color="000000"/>
            </w:tcBorders>
            <w:vAlign w:val="center"/>
          </w:tcPr>
          <w:p>
            <w:pPr>
              <w:pStyle w:val="TableContents"/>
              <w:bidi w:val="0"/>
              <w:spacing w:before="0" w:after="283"/>
              <w:jc w:val="center"/>
              <w:rPr>
                <w:b/>
              </w:rPr>
            </w:pPr>
            <w:r>
              <w:rPr>
                <w:b/>
              </w:rPr>
              <w:t xml:space="preserve">Coupon </w:t>
              <w:br/>
              <w:t>Rate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8" w:type="dxa"/>
            <w:tcBorders>
              <w:bottom w:val="single" w:sz="12" w:space="0" w:color="000000"/>
            </w:tcBorders>
            <w:vAlign w:val="center"/>
          </w:tcPr>
          <w:p>
            <w:pPr>
              <w:pStyle w:val="TableContents"/>
              <w:bidi w:val="0"/>
              <w:spacing w:before="0" w:after="283"/>
              <w:jc w:val="center"/>
              <w:rPr>
                <w:b/>
              </w:rPr>
            </w:pPr>
            <w:r>
              <w:rPr>
                <w:b/>
              </w:rPr>
              <w:t xml:space="preserve">Issuance </w:t>
              <w:br/>
              <w:t>Date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12" w:space="0" w:color="000000"/>
            </w:tcBorders>
            <w:vAlign w:val="center"/>
          </w:tcPr>
          <w:p>
            <w:pPr>
              <w:pStyle w:val="TableContents"/>
              <w:bidi w:val="0"/>
              <w:spacing w:before="0" w:after="283"/>
              <w:jc w:val="center"/>
              <w:rPr>
                <w:b/>
              </w:rPr>
            </w:pPr>
            <w:r>
              <w:rPr>
                <w:b/>
              </w:rPr>
              <w:t xml:space="preserve">Maturity </w:t>
              <w:br/>
              <w:t>Date</w:t>
            </w:r>
          </w:p>
        </w:tc>
        <w:tc>
          <w:tcPr>
            <w:tcW w:w="60" w:type="dxa"/>
            <w:tcBorders/>
            <w:tcMar>
              <w:bottom w:w="0" w:type="dxa"/>
            </w:tcMar>
            <w:vAlign w:val="center"/>
          </w:tcPr>
          <w:p>
            <w:pPr>
              <w:pStyle w:val="TableContents"/>
              <w:bidi w:val="0"/>
              <w:spacing w:before="0" w:after="283"/>
              <w:jc w:val="center"/>
              <w:rPr/>
            </w:pPr>
            <w:r>
              <w:rPr/>
              <w:t> </w:t>
            </w:r>
          </w:p>
        </w:tc>
        <w:tc>
          <w:tcPr>
            <w:tcW w:w="1529" w:type="dxa"/>
            <w:gridSpan w:val="2"/>
            <w:tcBorders>
              <w:bottom w:val="single" w:sz="12" w:space="0" w:color="000000"/>
            </w:tcBorders>
            <w:vAlign w:val="center"/>
          </w:tcPr>
          <w:p>
            <w:pPr>
              <w:pStyle w:val="TableContents"/>
              <w:bidi w:val="0"/>
              <w:spacing w:before="0" w:after="283"/>
              <w:jc w:val="center"/>
              <w:rPr>
                <w:b/>
              </w:rPr>
            </w:pPr>
            <w:r>
              <w:rPr>
                <w:b/>
              </w:rPr>
              <w:t xml:space="preserve">Fair Value at December 31, </w:t>
              <w:br/>
              <w:t>2025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5" w:type="dxa"/>
            <w:tcBorders>
              <w:bottom w:val="single" w:sz="12" w:space="0" w:color="000000"/>
            </w:tcBorders>
            <w:vAlign w:val="center"/>
          </w:tcPr>
          <w:p>
            <w:pPr>
              <w:pStyle w:val="TableContents"/>
              <w:bidi w:val="0"/>
              <w:spacing w:before="0" w:after="283"/>
              <w:ind w:left="0" w:right="0" w:hanging="180"/>
              <w:jc w:val="center"/>
              <w:rPr>
                <w:b/>
              </w:rPr>
            </w:pPr>
            <w:r>
              <w:rPr>
                <w:b/>
              </w:rPr>
              <w:t xml:space="preserve">Fair Value </w:t>
              <w:br/>
              <w:t>level</w:t>
            </w:r>
          </w:p>
        </w:tc>
      </w:tr>
      <w:tr>
        <w:trPr/>
        <w:tc>
          <w:tcPr>
            <w:tcW w:w="1235" w:type="dxa"/>
            <w:tcBorders/>
            <w:shd w:fill="CCEEFF" w:val="clear"/>
            <w:tcMar>
              <w:bottom w:w="0" w:type="dxa"/>
            </w:tcMar>
            <w:vAlign w:val="center"/>
          </w:tcPr>
          <w:p>
            <w:pPr>
              <w:pStyle w:val="TableContents"/>
              <w:bidi w:val="0"/>
              <w:spacing w:before="0" w:after="283"/>
              <w:jc w:val="left"/>
              <w:rPr/>
            </w:pPr>
            <w:r>
              <w:rPr/>
              <w:t>JAK &amp; affiliated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2025-06-03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2028-06-02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339" w:type="dxa"/>
            <w:tcBorders/>
            <w:shd w:fill="CCEEFF" w:val="clear"/>
            <w:tcMar>
              <w:bottom w:w="0" w:type="dxa"/>
            </w:tcMar>
            <w:vAlign w:val="center"/>
          </w:tcPr>
          <w:p>
            <w:pPr>
              <w:pStyle w:val="TableContents"/>
              <w:bidi w:val="0"/>
              <w:spacing w:before="0" w:after="283"/>
              <w:jc w:val="right"/>
              <w:rPr/>
            </w:pPr>
            <w:r>
              <w:rPr/>
              <w:t>2,831,611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JAK &amp; affiliated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14.75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2025-07-16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2030-01-16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1,736,145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257,673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FFFFFF" w:val="clear"/>
            <w:tcMar>
              <w:bottom w:w="0" w:type="dxa"/>
            </w:tcMar>
            <w:vAlign w:val="center"/>
          </w:tcPr>
          <w:p>
            <w:pPr>
              <w:pStyle w:val="TableContents"/>
              <w:bidi w:val="0"/>
              <w:spacing w:before="0" w:after="283"/>
              <w:jc w:val="left"/>
              <w:rPr/>
            </w:pPr>
            <w:r>
              <w:rPr/>
              <w:t>Labrys Fund II,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1" w:type="dxa"/>
            <w:tcBorders/>
            <w:shd w:fill="FFFFFF" w:val="clear"/>
            <w:tcMar>
              <w:bottom w:w="0" w:type="dxa"/>
            </w:tcMar>
            <w:vAlign w:val="center"/>
          </w:tcPr>
          <w:p>
            <w:pPr>
              <w:pStyle w:val="TableContents"/>
              <w:bidi w:val="0"/>
              <w:spacing w:before="0" w:after="283"/>
              <w:jc w:val="center"/>
              <w:rPr/>
            </w:pPr>
            <w:r>
              <w:rPr/>
              <w:t>15% discount of lowest traded price during 10 trading days immediately preceding the conversion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USD 39,285.71 for 6 instalments</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center"/>
              <w:rPr/>
            </w:pPr>
            <w:r>
              <w:rPr/>
              <w:t>2025-11-12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pPr>
            <w:r>
              <w:rPr/>
              <w:t>2026-11-11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339" w:type="dxa"/>
            <w:tcBorders/>
            <w:shd w:fill="FFFFFF" w:val="clear"/>
            <w:tcMar>
              <w:bottom w:w="0" w:type="dxa"/>
            </w:tcMar>
            <w:vAlign w:val="center"/>
          </w:tcPr>
          <w:p>
            <w:pPr>
              <w:pStyle w:val="TableContents"/>
              <w:bidi w:val="0"/>
              <w:spacing w:before="0" w:after="283"/>
              <w:jc w:val="right"/>
              <w:rPr/>
            </w:pPr>
            <w:r>
              <w:rPr/>
              <w:t>156,063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5" w:type="dxa"/>
            <w:tcBorders/>
            <w:shd w:fill="FFFFFF" w:val="clear"/>
            <w:tcMar>
              <w:bottom w:w="0" w:type="dxa"/>
            </w:tcMar>
            <w:vAlign w:val="center"/>
          </w:tcPr>
          <w:p>
            <w:pPr>
              <w:pStyle w:val="TableContents"/>
              <w:bidi w:val="0"/>
              <w:spacing w:before="0" w:after="283"/>
              <w:ind w:left="0" w:right="0" w:hanging="180"/>
              <w:jc w:val="center"/>
              <w:rPr/>
            </w:pPr>
            <w:r>
              <w:rPr/>
              <w:t>Level 2</w:t>
            </w:r>
          </w:p>
        </w:tc>
      </w:tr>
      <w:tr>
        <w:trPr/>
        <w:tc>
          <w:tcPr>
            <w:tcW w:w="1235" w:type="dxa"/>
            <w:tcBorders/>
            <w:shd w:fill="CCEEFF" w:val="clear"/>
            <w:tcMar>
              <w:bottom w:w="0" w:type="dxa"/>
            </w:tcMar>
            <w:vAlign w:val="center"/>
          </w:tcPr>
          <w:p>
            <w:pPr>
              <w:pStyle w:val="TableContents"/>
              <w:bidi w:val="0"/>
              <w:spacing w:before="0" w:after="283"/>
              <w:jc w:val="left"/>
              <w:rPr/>
            </w:pPr>
            <w:r>
              <w:rPr/>
              <w:t>Vanquish Funding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1" w:type="dxa"/>
            <w:tcBorders/>
            <w:shd w:fill="CCEEFF" w:val="clear"/>
            <w:tcMar>
              <w:bottom w:w="0" w:type="dxa"/>
            </w:tcMar>
            <w:vAlign w:val="center"/>
          </w:tcPr>
          <w:p>
            <w:pPr>
              <w:pStyle w:val="TableContents"/>
              <w:bidi w:val="0"/>
              <w:spacing w:before="0" w:after="283"/>
              <w:jc w:val="center"/>
              <w:rPr/>
            </w:pPr>
            <w:r>
              <w:rPr/>
              <w:t>25% discount of lowest traded price during 10 trading days immediately preceding the conversion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center"/>
              <w:rPr/>
            </w:pPr>
            <w:r>
              <w:rPr/>
              <w:t>2025-11-04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pPr>
            <w:r>
              <w:rPr/>
              <w:t>2026-07-30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235,900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5" w:type="dxa"/>
            <w:tcBorders/>
            <w:shd w:fill="CCEEFF" w:val="clear"/>
            <w:tcMar>
              <w:bottom w:w="0" w:type="dxa"/>
            </w:tcMar>
            <w:vAlign w:val="center"/>
          </w:tcPr>
          <w:p>
            <w:pPr>
              <w:pStyle w:val="TableContents"/>
              <w:bidi w:val="0"/>
              <w:spacing w:before="0" w:after="283"/>
              <w:jc w:val="center"/>
              <w:rPr/>
            </w:pPr>
            <w:r>
              <w:rPr/>
              <w:t>Level 2</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period ended December 31, 2025, a total of $7,200,000 of convertible promissory notes were issued with a discount of 7% to JAK. These Notes are to be settled by way of cash or may be converted to Class A ordinary shares. The conversion of these notes is subject to certain criterions as mentioned in the Convertible Note Agreements, which include a beneficiary cap of 9.9% of shareholdings in the Company by JAK.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an additional Securities Purchase Agreement with Vanquish Funding Group Inc.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The third tranche of $107,000 was received on January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 total of $ 2,725,000 of convertible notes were converted into 58,424 ordinary shares by the note holder (adjusted by Reverse Stock Splits in 2025 and 2026 as of this report date), thereby increasing our shareholder equity by the same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 total of $5,800,000 of convertible promissory notes were issued with a discount of 7%. These Notes are to be settled by way of cash or may be converted to Class A ordinary shares. The conversion of these notes are subject to certain criterions as mentioned in the Convertible Note Agreements, which include a beneficiary cap of 9.99% of shareholdings in the Company by JAK.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a total of $2,650,000 of convertible notes were converted into 117 (adjusted by four Reverse Stock Splits in 2025 and two Reverse Stock Splits on January 26, 2026 and March 16, 2026) ordinary shares by the note holder, thereby increasing our shareholder equity by the same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amounted to $504,136 and $765,177 for the period ended December 31, 2025 and December 31, 2024 respectively and has been calculated based on the effective interest rate for each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costs incurred on issuance of the Notes are capitalized and amortised over the term of the Notes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26"/>
        <w:gridCol w:w="60"/>
        <w:gridCol w:w="191"/>
        <w:gridCol w:w="1206"/>
        <w:gridCol w:w="95"/>
        <w:gridCol w:w="60"/>
        <w:gridCol w:w="199"/>
        <w:gridCol w:w="1255"/>
        <w:gridCol w:w="113"/>
      </w:tblGrid>
      <w:tr>
        <w:trPr/>
        <w:tc>
          <w:tcPr>
            <w:tcW w:w="70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3" w:type="dxa"/>
            <w:tcBorders/>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206" w:type="dxa"/>
            <w:tcBorders/>
            <w:shd w:fill="CCEEFF" w:val="clear"/>
            <w:vAlign w:val="center"/>
          </w:tcPr>
          <w:p>
            <w:pPr>
              <w:pStyle w:val="TableContents"/>
              <w:bidi w:val="0"/>
              <w:spacing w:before="0" w:after="283"/>
              <w:jc w:val="right"/>
              <w:rPr/>
            </w:pPr>
            <w:r>
              <w:rPr/>
              <w:t>648,232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Add: capitalized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564,000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929,500</w:t>
            </w:r>
          </w:p>
        </w:tc>
        <w:tc>
          <w:tcPr>
            <w:tcW w:w="113" w:type="dxa"/>
            <w:tcBorders/>
            <w:shd w:fill="FFFFFF" w:val="clear"/>
            <w:vAlign w:val="center"/>
          </w:tcPr>
          <w:p>
            <w:pPr>
              <w:pStyle w:val="TableContents"/>
              <w:bidi w:val="0"/>
              <w:spacing w:before="0" w:after="283"/>
              <w:jc w:val="left"/>
              <w:rPr/>
            </w:pPr>
            <w:r>
              <w:rPr/>
              <w:t> </w:t>
            </w:r>
          </w:p>
        </w:tc>
      </w:tr>
      <w:tr>
        <w:trPr/>
        <w:tc>
          <w:tcPr>
            <w:tcW w:w="7026" w:type="dxa"/>
            <w:tcBorders/>
            <w:shd w:fill="CCEEFF" w:val="clear"/>
            <w:vAlign w:val="center"/>
          </w:tcPr>
          <w:p>
            <w:pPr>
              <w:pStyle w:val="TableContents"/>
              <w:bidi w:val="0"/>
              <w:spacing w:before="0" w:after="283"/>
              <w:jc w:val="left"/>
              <w:rPr/>
            </w:pPr>
            <w:r>
              <w:rPr/>
              <w:t>Less: charged to additional paid in capital for converted notes during the year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(777,836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pPr>
            <w:r>
              <w:rPr/>
              <w:t>Less: amortized during the year</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12" w:space="0" w:color="000000"/>
            </w:tcBorders>
            <w:shd w:fill="FFFFFF" w:val="clear"/>
            <w:tcMar>
              <w:bottom w:w="28" w:type="dxa"/>
            </w:tcMar>
            <w:vAlign w:val="center"/>
          </w:tcPr>
          <w:p>
            <w:pPr>
              <w:pStyle w:val="TableContents"/>
              <w:bidi w:val="0"/>
              <w:spacing w:before="0" w:after="283"/>
              <w:jc w:val="right"/>
              <w:rPr/>
            </w:pPr>
            <w:r>
              <w:rPr/>
              <w:t>(86,080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(281,268</w:t>
            </w:r>
          </w:p>
        </w:tc>
        <w:tc>
          <w:tcPr>
            <w:tcW w:w="113" w:type="dxa"/>
            <w:tcBorders/>
            <w:shd w:fill="FFFFFF" w:val="clear"/>
            <w:vAlign w:val="center"/>
          </w:tcPr>
          <w:p>
            <w:pPr>
              <w:pStyle w:val="TableContents"/>
              <w:bidi w:val="0"/>
              <w:spacing w:before="0" w:after="283"/>
              <w:jc w:val="left"/>
              <w:rPr/>
            </w:pPr>
            <w:r>
              <w:rPr/>
              <w:t>)</w:t>
            </w:r>
          </w:p>
        </w:tc>
      </w:tr>
      <w:tr>
        <w:trPr/>
        <w:tc>
          <w:tcPr>
            <w:tcW w:w="7026"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6" w:type="dxa"/>
            <w:tcBorders>
              <w:bottom w:val="double" w:sz="10" w:space="0" w:color="000000"/>
            </w:tcBorders>
            <w:shd w:fill="CCEEFF" w:val="clear"/>
            <w:tcMar>
              <w:bottom w:w="28" w:type="dxa"/>
            </w:tcMar>
            <w:vAlign w:val="center"/>
          </w:tcPr>
          <w:p>
            <w:pPr>
              <w:pStyle w:val="TableContents"/>
              <w:bidi w:val="0"/>
              <w:spacing w:before="0" w:after="283"/>
              <w:jc w:val="right"/>
              <w:rPr/>
            </w:pPr>
            <w:r>
              <w:rPr/>
              <w:t>348,316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648,232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 a derivative liability had arisen from the issuance of convertible bonds which have the option of being converted to or exchanged for Class A ordinary shares at any time from date of issuance. The derivative liability is assessed to be a debt requiring to be bifurcated from the host contract and recorded at the fair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conversion to ordinary shares is subject to certain terms and criteria as set within the Agreement, which includes restriction of conversion if the shareholdings by the note holder before and after the conversion exceeds 9.99%, for JAK &amp; affiliated holders and Labrys Fund II, LP, as revised and 4.99% for Vanquish Funding Group Inc. As of December 31, 2025, the threshold has not been met, and accordingly the derivative is assessed to have a value of US$262,616 for the portions convertible to the extent of threshold, where relevant.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standing instruments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ending December 31, 2025 and 2024, JAK &amp; affiliated holders were issued with 2,142,940 and 3,555,678 warrants respectively to purchase additional Class A ordinary shares at an exercise price of $2.71 and $2.71, respectively (as adjusted for the effects of the reverse stock split in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these warrants is subject to a 9.99% beneficial cap, as revised, which restricts the holder from exceeding shareholdings in excess of the cap in the Company. As of December 31, 2025 and 2024, the derivative is assessed to have a nil value in view of the cap assessed to have been met with the exercise of the tab convertible notes above.</w:t>
      </w:r>
    </w:p>
    <w:p>
      <w:pPr>
        <w:pStyle w:val="TextBody"/>
        <w:bidi w:val="0"/>
        <w:spacing w:before="0" w:after="0"/>
        <w:ind w:left="0" w:right="0" w:hanging="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2765"/>
        <w:gridCol w:w="60"/>
        <w:gridCol w:w="76"/>
        <w:gridCol w:w="1338"/>
        <w:gridCol w:w="95"/>
        <w:gridCol w:w="60"/>
        <w:gridCol w:w="83"/>
        <w:gridCol w:w="1391"/>
        <w:gridCol w:w="7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Warrant units: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sz w:val="20"/>
              </w:rPr>
            </w:pPr>
            <w:r>
              <w:rPr>
                <w:sz w:val="20"/>
              </w:rPr>
              <w:t>Balance at beginning of the year</w:t>
            </w:r>
            <w:r>
              <w:rPr>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3,555,678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Warrants issued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2,142,940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Less : Exercised</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(4,474,290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FFFFFF" w:val="clear"/>
            <w:tcMar>
              <w:bottom w:w="28" w:type="dxa"/>
            </w:tcMar>
            <w:vAlign w:val="center"/>
          </w:tcPr>
          <w:p>
            <w:pPr>
              <w:pStyle w:val="TableContents"/>
              <w:bidi w:val="0"/>
              <w:spacing w:before="0" w:after="283"/>
              <w:jc w:val="right"/>
              <w:rPr/>
            </w:pPr>
            <w:r>
              <w:rPr/>
              <w:t>1,224,328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1" w:type="dxa"/>
            <w:tcBorders>
              <w:bottom w:val="double" w:sz="10" w:space="0" w:color="000000"/>
            </w:tcBorders>
            <w:shd w:fill="FFFFFF" w:val="clear"/>
            <w:tcMar>
              <w:bottom w:w="28" w:type="dxa"/>
            </w:tcMar>
            <w:vAlign w:val="center"/>
          </w:tcPr>
          <w:p>
            <w:pPr>
              <w:pStyle w:val="TableContents"/>
              <w:bidi w:val="0"/>
              <w:spacing w:before="0" w:after="283"/>
              <w:jc w:val="right"/>
              <w:rPr/>
            </w:pPr>
            <w:r>
              <w:rPr/>
              <w:t>3,555,678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40"/>
        <w:gridCol w:w="3950"/>
      </w:tblGrid>
      <w:tr>
        <w:trPr/>
        <w:tc>
          <w:tcPr>
            <w:tcW w:w="140" w:type="dxa"/>
            <w:tcBorders/>
            <w:vAlign w:val="center"/>
          </w:tcPr>
          <w:p>
            <w:pPr>
              <w:pStyle w:val="TableContents"/>
              <w:bidi w:val="0"/>
              <w:spacing w:before="0" w:after="283"/>
              <w:jc w:val="left"/>
              <w:rPr>
                <w:sz w:val="20"/>
              </w:rPr>
            </w:pPr>
            <w:r>
              <w:rPr>
                <w:sz w:val="20"/>
              </w:rPr>
              <w:t>*</w:t>
            </w:r>
          </w:p>
        </w:tc>
        <w:tc>
          <w:tcPr>
            <w:tcW w:w="3950" w:type="dxa"/>
            <w:tcBorders/>
            <w:vAlign w:val="center"/>
          </w:tcPr>
          <w:p>
            <w:pPr>
              <w:pStyle w:val="TableContents"/>
              <w:bidi w:val="0"/>
              <w:spacing w:before="0" w:after="283"/>
              <w:jc w:val="left"/>
              <w:rPr>
                <w:sz w:val="20"/>
              </w:rPr>
            </w:pPr>
            <w:r>
              <w:rPr>
                <w:sz w:val="20"/>
              </w:rPr>
              <w:t>Adjusted for the effects of the RSS in May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initial public offering, the Company had issued 5,175,000 public warrants and 3,145,000 private warrants in a private placement transaction. Each warrant entitles the holder to purchase one ordinary share of the Company at an exercise price of $11.50 per share (subject to adjustment for share capital reorganisations and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or on a cashless basis at the holder’s option and are not redeemable by the Company. The warrants are exercisable commencing on the later of:</w:t>
      </w:r>
    </w:p>
    <w:p>
      <w:pPr>
        <w:pStyle w:val="TextBody"/>
        <w:bidi w:val="0"/>
        <w:spacing w:before="0" w:after="0"/>
        <w:ind w:left="0" w:right="0" w:hanging="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twelve months after the date of the IPO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sz w:val="20"/>
              </w:rPr>
            </w:pPr>
            <w:r>
              <w:rPr>
                <w:sz w:val="20"/>
              </w:rPr>
              <w:t>the completion of the Company’s initial business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expire five years after the completion of the business combination, or earlier upon liquidation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and 2024, there were 5,175,000 public warrants and 3,145,000 private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since issuance, the Company completed multiple reverse stock splits. As a result, the number of ordinary shares issuable upon exercise of the warrants and the exercise price have been proportionately adjusted in accordance with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December 2025, the market price of the Company’s ordinary shares was significantly below the adjusted exercise price of the warrants. Accordingly, the warrants were out of the money as at the reporting date. Management does not expect the warrants to be exercised unless the market price of the ordinary shares exceeds the exercise price prior to expiry.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13 — 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clinics and office spaces.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right-of-use assets totaled $504,192, and $98,570,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lease liabilities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560"/>
        <w:gridCol w:w="60"/>
        <w:gridCol w:w="140"/>
        <w:gridCol w:w="800"/>
        <w:gridCol w:w="60"/>
        <w:gridCol w:w="60"/>
        <w:gridCol w:w="140"/>
        <w:gridCol w:w="800"/>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Operating lease</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Lease liabilities –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238,105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108,526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Lease liabilities –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10,231</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510,464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future minimum payments under operating leases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4295"/>
        <w:gridCol w:w="60"/>
        <w:gridCol w:w="140"/>
        <w:gridCol w:w="800"/>
        <w:gridCol w:w="110"/>
      </w:tblGrid>
      <w:tr>
        <w:trPr/>
        <w:tc>
          <w:tcPr>
            <w:tcW w:w="4295" w:type="dxa"/>
            <w:tcBorders/>
            <w:shd w:fill="CCEEFF" w:val="clear"/>
            <w:vAlign w:val="center"/>
          </w:tcPr>
          <w:p>
            <w:pPr>
              <w:pStyle w:val="TableContents"/>
              <w:bidi w:val="0"/>
              <w:spacing w:before="0" w:after="283"/>
              <w:jc w:val="both"/>
              <w:rPr/>
            </w:pPr>
            <w:r>
              <w:rPr/>
              <w:t>Not later than 1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262,244</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Between 1 to 2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184,041</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Between 2 to 5 years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118,800</w:t>
            </w:r>
          </w:p>
        </w:tc>
        <w:tc>
          <w:tcPr>
            <w:tcW w:w="11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both"/>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565,085</w:t>
            </w:r>
          </w:p>
        </w:tc>
        <w:tc>
          <w:tcPr>
            <w:tcW w:w="11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(54,621</w:t>
            </w:r>
          </w:p>
        </w:tc>
        <w:tc>
          <w:tcPr>
            <w:tcW w:w="11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both"/>
              <w:rPr/>
            </w:pPr>
            <w:r>
              <w:rPr/>
              <w:t>Total operating lease liabilities, net of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510,464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lease information is as follows:</w:t>
      </w:r>
    </w:p>
    <w:p>
      <w:pPr>
        <w:pStyle w:val="TextBody"/>
        <w:bidi w:val="0"/>
        <w:spacing w:before="0" w:after="0"/>
        <w:ind w:left="0" w:right="0" w:firstLine="720"/>
        <w:jc w:val="left"/>
        <w:rPr>
          <w:caps w:val="false"/>
          <w:smallCaps w:val="false"/>
        </w:rPr>
      </w:pPr>
      <w:r>
        <w:rPr>
          <w:caps w:val="false"/>
          <w:smallCaps w:val="false"/>
        </w:rPr>
        <w:t> </w:t>
      </w:r>
    </w:p>
    <w:tbl>
      <w:tblPr>
        <w:tblW w:w="7295" w:type="dxa"/>
        <w:jc w:val="left"/>
        <w:tblInd w:w="0" w:type="dxa"/>
        <w:tblLayout w:type="fixed"/>
        <w:tblCellMar>
          <w:top w:w="0" w:type="dxa"/>
          <w:left w:w="0" w:type="dxa"/>
          <w:bottom w:w="0" w:type="dxa"/>
          <w:right w:w="0" w:type="dxa"/>
        </w:tblCellMar>
      </w:tblPr>
      <w:tblGrid>
        <w:gridCol w:w="4760"/>
        <w:gridCol w:w="60"/>
        <w:gridCol w:w="140"/>
        <w:gridCol w:w="845"/>
        <w:gridCol w:w="215"/>
        <w:gridCol w:w="60"/>
        <w:gridCol w:w="140"/>
        <w:gridCol w:w="845"/>
        <w:gridCol w:w="23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2.37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2.75 years</w:t>
            </w:r>
          </w:p>
        </w:tc>
        <w:tc>
          <w:tcPr>
            <w:tcW w:w="230"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w:t>
            </w:r>
          </w:p>
        </w:tc>
      </w:tr>
      <w:tr>
        <w:trPr/>
        <w:tc>
          <w:tcPr>
            <w:tcW w:w="4760" w:type="dxa"/>
            <w:tcBorders/>
            <w:shd w:fill="CCEEFF" w:val="clear"/>
            <w:vAlign w:val="center"/>
          </w:tcPr>
          <w:p>
            <w:pPr>
              <w:pStyle w:val="TableContents"/>
              <w:bidi w:val="0"/>
              <w:spacing w:before="0" w:after="283"/>
              <w:jc w:val="left"/>
              <w:rPr/>
            </w:pPr>
            <w:r>
              <w:rPr/>
              <w:t>Short term lease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207,787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234,767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there were $504,192 and $98,570 right of use (“ROU”) assets and $510,464 and $118,757 lease liabilities based on the present value of the future minimum rental payments of leases, respectively. The Company’s management believes that using an incremental borrowing rate of the minimum loan rate and the Hong Kong Dollar Best Lending Rate (“BLR”) minus 0.125% was the most indicative rate of the Company’s borrowing cost for the calculation of the present value of the lease payments; the rate used by the Company was 6.6% and 5.5%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14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and December 31, 2024, the Company is authorized to issue unlimited and 50,000,000 ordinary shares respectively. Each ordinary share is entitled to one vote. The holders of ordinary shares are also entitled to receive dividends whenever funds are legally available and when declared by the Board of Directors of the Company. On July 4, 2025, the Board of Directors of the Company approved unlimited authorized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of the Company as of December 31, 2025 and December 31, 2024 represents 240,622 and 380 ordinary shares with par value of $Nil. The number of shares as above have taken into consideration the reverse stock split effected on February 11, 2025, May 6, 2025 and August 4, 2025, December 1, 2025, January 26, 2026 and March 16, 2026 at an exchange ratio of one (1) share for twenty (20) shares, one (1) share for ten (10) shares and one (1) share for five (5) share, one (1) share for five (5) shares, one (1) share for three (3) and one (1) share for four (4) shares, respectively. Pursuant to ASC 505 the reverse stock split has been applied retrospectively.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paid-in capital</w:t>
      </w:r>
    </w:p>
    <w:p>
      <w:pPr>
        <w:pStyle w:val="TextBody"/>
        <w:bidi w:val="0"/>
        <w:spacing w:before="0" w:after="0"/>
        <w:ind w:left="0" w:right="0" w:hanging="0"/>
        <w:jc w:val="both"/>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7010"/>
        <w:gridCol w:w="60"/>
        <w:gridCol w:w="140"/>
        <w:gridCol w:w="1100"/>
        <w:gridCol w:w="110"/>
      </w:tblGrid>
      <w:tr>
        <w:trPr/>
        <w:tc>
          <w:tcPr>
            <w:tcW w:w="7010" w:type="dxa"/>
            <w:tcBorders/>
            <w:shd w:fill="CCEEFF" w:val="clear"/>
            <w:vAlign w:val="center"/>
          </w:tcPr>
          <w:p>
            <w:pPr>
              <w:pStyle w:val="TableContents"/>
              <w:bidi w:val="0"/>
              <w:spacing w:before="0" w:after="283"/>
              <w:jc w:val="left"/>
              <w:rPr/>
            </w:pPr>
            <w:r>
              <w:rPr/>
              <w:t>Balance as at January 1,2023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1,464,959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as compensation for services (</w:t>
            </w:r>
            <w:r>
              <w:rPr>
                <w:i/>
                <w:sz w:val="20"/>
              </w:rPr>
              <w:t>Note 1</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2,866,856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4,331,815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Issuance of shares through Equity Line of Credit (</w:t>
            </w:r>
            <w:r>
              <w:rPr>
                <w:i/>
                <w:sz w:val="20"/>
              </w:rPr>
              <w:t>Note 2</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1,936,236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2,650,000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Decrease in subscription receivable due to reduction of work by professionals </w:t>
            </w:r>
            <w:r>
              <w:rPr>
                <w:i/>
                <w:sz w:val="20"/>
              </w:rPr>
              <w:t>(Note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(2,766,856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sz w:val="20"/>
              </w:rPr>
            </w:pPr>
            <w:r>
              <w:rPr>
                <w:sz w:val="20"/>
              </w:rPr>
              <w:t>Business Combination (</w:t>
            </w:r>
            <w:r>
              <w:rPr>
                <w:i/>
                <w:sz w:val="20"/>
              </w:rPr>
              <w:t>Note 3</w:t>
            </w: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(6,028,690</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Balance as at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122,505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sz w:val="20"/>
              </w:rPr>
            </w:pPr>
            <w:r>
              <w:rPr>
                <w:sz w:val="20"/>
              </w:rPr>
              <w:t xml:space="preserve">Issuance of shares for share-based compensation to consultant </w:t>
            </w:r>
            <w:r>
              <w:rPr>
                <w:i/>
                <w:sz w:val="20"/>
              </w:rPr>
              <w:t>(Note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20,250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sz w:val="20"/>
              </w:rPr>
            </w:pPr>
            <w:r>
              <w:rPr>
                <w:sz w:val="20"/>
              </w:rPr>
              <w:t xml:space="preserve">Issuance of shares through Equity Line of Credit </w:t>
            </w:r>
            <w:r>
              <w:rPr>
                <w:i/>
                <w:sz w:val="20"/>
              </w:rPr>
              <w:t>(Note 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12,620,494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Issuance of shares through 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4,860,427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Issuance of shares for business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17,881,176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the number of shares below have been amended to apply the reverse stock split in February 11, May 6, 2025 and August 4, 2025, December 1, 2025, January 26, 2026 and March 16, 2026 retrospectively.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On January 10, 2023, the Company issued 1,365 ordinary shares (0.45 Ordinary Shares as adjusted by all Reverse Stock Splits done as of this report) to professional party for consulting service of 10 years, increasing the additional paid-in capital by $812,300. On December 4, 2023, the Company issued additional 3,450 shares (1.15 Ordinary Shares as adjusted by all Reverse Stock Splits done as of this report) to DoubleClick Services Limited for consulting service of 10 years, increasing the additional paid-in capital by $2,054,556. During 2024, the service scope and duration were reduced and the service value was adjusted accordingly pursuant to addendums to respective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 2:</w:t>
      </w:r>
      <w:r>
        <w:rPr>
          <w:rFonts w:ascii="Times New Roman;Times;Serif" w:hAnsi="Times New Roman;Times;Serif"/>
          <w:b w:val="false"/>
          <w:i w:val="false"/>
          <w:caps w:val="false"/>
          <w:smallCaps w:val="false"/>
          <w:sz w:val="20"/>
        </w:rPr>
        <w:t xml:space="preserve"> 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within 36 months from the Agreement effective date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35,000 Class A Ordinary Shares (0.58 Ordinary Shares as adjusted by all reverse stock splits done as of this report) were issued to White Lion amounting $276,850, in consideration for White Lion’s commitment pursuant to the White Lion Purchase Agreement. In addition, on December 12, 2024, pursuant to this Agreement, the Company issued 9,500 (0.15 Ordinary Shares as adjusted by all reverse stock splits done as of this report) Class A Ordinary Shares for a purchase price of $1,572,186. On December 24, 2024, the Company issued 25,000 Class A Ordinary Shares (0.42 Ordinary Shares as adjusted by all reverse stock splits done as of this report) for a purchase price of $160,050. On December 31, 2024, the Company issued 30,000 Class A Ordinary Shares (0.5 Ordinary Shares as adjusted by all reverse stock splits done as of this report) for a purchase price of $204,000.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Upon de-spac business combination, additional paid-in capital and capital reserve of Legacy NewGenIvf was combined with additional paid-in capital and accumulated net losses of the A SPAC I Acquisition Corp and added into the additional paid-in capital of NewGenIvf Group upon the reverse take-over.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Company had issued 50 Class A Ordinary Shares to A SPAC (Holdings) Group Corp, pursuant to a one year consulting services agreement commencing on February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During the year ended December 31, 2025, the Company had issued 141,661 shares after taking account of the reverse stock split on Feb 11, 2025 and May 6, 2025, August 3, 2025, December 1, 2025, January 26, 2026 and March 16,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The Company had issued 125,000 Class A Ordinary Shares (42 Ordinary Shares as adjusted by all reverse stock splits done as of this report) valued at US$2.06 per share for acquiring of MicroSort Reproductive Technology on January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15 —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w:t>
      </w:r>
    </w:p>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obliged to make social security payments within the first 15 days of the month over which it is accrued. During period ended December 31 2025, the Company and its employees are each required to make contributions to the scheme calculated at 5% of the employee’s salary with a cap of THB750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business employing one or more workers must register its business and workers with the National Social Security Fund (the “NSSF”) for the Occupational Risk Scheme (for work-related accidents and occupational diseases), the Health Care Scheme and the Pension Scheme.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registered, the business must pay to the NSSF: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0.8% of each worker’s monthly average wages (between $0.40 and $2.40 per month per worker) for the Occupational Risk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equivalent to 2.6% of a worker’s monthly average wages (between $1.30 and $7.80 per month per worker) for the Health Care Scheme.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monthly contribution to the compulsory Pension Scheme, which is jointly paid by the employer and the employee at the same rate of 2% (total of 4%) of the contributable wage for the first five years. The contributable wage for the Pension Scheme ranges from between KHR400,000 (approximately $100) up to KHR1,200,000 (approximately $300).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pension scheme for its qualifying employees. The scheme assets are held under a provident fund managed by an independent fund manager. The Company and its employees are each required to make contributions to the scheme calculated at 15% and 8%, respectively of the employees’ basic salaries on monthly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16 —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Limited was incorporated in the Cayman Islands and is not subject to tax on income or capital gains under current Cayman Islands law. In addition, upon payment of dividends by these entities to the shareholders, no Cayman Islands withholding tax will be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HK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two-tiered profits tax rates regime, Hong Kong tax residents are subject to Hong Kong Profits Tax in respect of profits arising in or derived from Hong Kong at 8.25% for the first HK$2 million of profits of the qualifying group entity, and profits above HK$2 million will be taxed at 16.5%. The profits of group entities not qualifying for the two-tiered profits tax rates regime will continue to be taxed at a flat rate of 16.5%.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HK SAR profits tax is calculated at 8.25% on the first HK$2 million of the estimated assessable profits and at 16.5% on the remaining estimated assessable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Thailand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incorporated in Thailand are taxed on worldwide income. A company incorporated abroad is taxed on its profits arising from or in consequence of the business carried on in Thailand. The corporate income tax (CIT) rate is 20%. A foreign company not carrying on business in Thailand is subject to a final withholding tax (WHT) on certain types of assessable income (e.g. interest, dividends, royalties, rentals, and service fees) paid from or in Thailand. The rate of tax is generally 15%, except for dividends, which is 10%, while other rates may apply under the provisions of a double tax treaty (DTT).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Cambodia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standard rate of corporate income tax (“CIT”) for companies and permanent establishments who are classified as medium and large taxpayers is 20%. For companies and permanent establishments who are classified as small taxpayers, the CIT rates are progressive rates from 0% to 20%. In view of the annual turnover of the company, the annual turnover ranges from KHR1 billion to KHR6 billion for service and commercial sectors, the company shall consider as the medium-sized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corporate income tax on their aggregate annual income earned worldwide. Non-resident legal entities carrying out business activities through a permanent establishment in Kyrgyzstan are subject to profit tax on the income attributed to the activities of that permanent establishments. During the period ended June 30, 2025, no tax payable is accrued and reversed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tax is calculated at a rate of 10% of aggregate annual income less allowed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subject to a corporate income tax on its aggregate annual income earned worldwide from its U.S. operations at a flat 21% on net income. In addition to federal obligations, there is a graduated state income tax rate that applies to corporate income, with a top rate of 6.6% on income over $60,000. Moreover, when the Company’s US operation pays a dividend to its offshore parent company, the payment is generally subject to a US federal withholding tax, typically at a statutory rate of 30% on the gross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provisions for income taxes for the years ended December 31, 2024, and December 31, 2025 were as follows:</w:t>
      </w:r>
    </w:p>
    <w:p>
      <w:pPr>
        <w:pStyle w:val="TextBody"/>
        <w:bidi w:val="0"/>
        <w:spacing w:before="0" w:after="0"/>
        <w:ind w:left="0" w:right="0" w:firstLine="72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4430"/>
        <w:gridCol w:w="60"/>
        <w:gridCol w:w="380"/>
        <w:gridCol w:w="1035"/>
        <w:gridCol w:w="60"/>
        <w:gridCol w:w="60"/>
        <w:gridCol w:w="143"/>
        <w:gridCol w:w="1331"/>
        <w:gridCol w:w="110"/>
      </w:tblGrid>
      <w:tr>
        <w:trPr/>
        <w:tc>
          <w:tcPr>
            <w:tcW w:w="4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Current tax provision Kyrgyzstan</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Over provision of tax in prior year Kyrgyzstan</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r>
              <w:rPr/>
              <w:t>(486,706</w:t>
            </w:r>
          </w:p>
        </w:tc>
        <w:tc>
          <w:tcPr>
            <w:tcW w:w="110" w:type="dxa"/>
            <w:tcBorders/>
            <w:shd w:fill="FFFFFF" w:val="clear"/>
            <w:vAlign w:val="center"/>
          </w:tcPr>
          <w:p>
            <w:pPr>
              <w:pStyle w:val="TableContents"/>
              <w:bidi w:val="0"/>
              <w:spacing w:before="0" w:after="283"/>
              <w:jc w:val="left"/>
              <w:rPr/>
            </w:pPr>
            <w:r>
              <w:rPr/>
              <w:t>)</w:t>
            </w:r>
          </w:p>
        </w:tc>
      </w:tr>
      <w:tr>
        <w:trPr/>
        <w:tc>
          <w:tcPr>
            <w:tcW w:w="4430" w:type="dxa"/>
            <w:tcBorders/>
            <w:shd w:fill="CCEEFF" w:val="clear"/>
            <w:vAlign w:val="center"/>
          </w:tcPr>
          <w:p>
            <w:pPr>
              <w:pStyle w:val="TableContents"/>
              <w:bidi w:val="0"/>
              <w:spacing w:before="0" w:after="283"/>
              <w:jc w:val="both"/>
              <w:rPr/>
            </w:pPr>
            <w:r>
              <w:rPr/>
              <w:t>Current tax provision Cambodia</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Total tax (income) expense</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1" w:type="dxa"/>
            <w:tcBorders>
              <w:bottom w:val="double" w:sz="10"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4250"/>
        <w:gridCol w:w="60"/>
        <w:gridCol w:w="140"/>
        <w:gridCol w:w="1340"/>
        <w:gridCol w:w="95"/>
        <w:gridCol w:w="60"/>
        <w:gridCol w:w="140"/>
        <w:gridCol w:w="1355"/>
        <w:gridCol w:w="11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Profit / (Loss) Income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9,728,723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(960,807</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credit (expense) at the effective tax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1,705,862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(179,863</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effect on non-taxable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(3,682,167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(81,323</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Tax effect on non-deductible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1,975,290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129,814</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131,991</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Tax effect on utilization of tax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(127,521</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losses unable to be utilized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126,902</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Over provision of tax in prior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FFFFFF" w:val="clear"/>
            <w:tcMar>
              <w:bottom w:w="28" w:type="dxa"/>
            </w:tcMar>
            <w:vAlign w:val="center"/>
          </w:tcPr>
          <w:p>
            <w:pPr>
              <w:pStyle w:val="TableContents"/>
              <w:bidi w:val="0"/>
              <w:spacing w:before="0" w:after="283"/>
              <w:jc w:val="right"/>
              <w:rPr/>
            </w:pPr>
            <w:r>
              <w:rPr/>
              <w:t>(486,706</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Tax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10" w:space="0" w:color="000000"/>
            </w:tcBorders>
            <w:shd w:fill="CCEEFF" w:val="clear"/>
            <w:tcMar>
              <w:bottom w:w="28" w:type="dxa"/>
            </w:tcMar>
            <w:vAlign w:val="center"/>
          </w:tcPr>
          <w:p>
            <w:pPr>
              <w:pStyle w:val="TableContents"/>
              <w:bidi w:val="0"/>
              <w:spacing w:before="0" w:after="283"/>
              <w:jc w:val="right"/>
              <w:rPr/>
            </w:pPr>
            <w:r>
              <w:rPr/>
              <w:t>(486,706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deferred tax assets, net were as follows:</w:t>
      </w:r>
    </w:p>
    <w:p>
      <w:pPr>
        <w:pStyle w:val="TextBody"/>
        <w:bidi w:val="0"/>
        <w:spacing w:before="0" w:after="0"/>
        <w:ind w:left="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275"/>
        <w:gridCol w:w="60"/>
        <w:gridCol w:w="275"/>
        <w:gridCol w:w="1199"/>
        <w:gridCol w:w="60"/>
        <w:gridCol w:w="60"/>
        <w:gridCol w:w="93"/>
        <w:gridCol w:w="1381"/>
        <w:gridCol w:w="110"/>
      </w:tblGrid>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xml:space="preserve">– </w:t>
            </w:r>
            <w:r>
              <w:rPr/>
              <w:t>Net operating loss carry forward</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160,432</w:t>
            </w:r>
          </w:p>
        </w:tc>
        <w:tc>
          <w:tcPr>
            <w:tcW w:w="11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12" w:space="0" w:color="000000"/>
            </w:tcBorders>
            <w:shd w:fill="FFFFFF" w:val="clear"/>
            <w:tcMar>
              <w:bottom w:w="28" w:type="dxa"/>
            </w:tcMar>
            <w:vAlign w:val="center"/>
          </w:tcPr>
          <w:p>
            <w:pPr>
              <w:pStyle w:val="TableContents"/>
              <w:bidi w:val="0"/>
              <w:spacing w:before="0" w:after="283"/>
              <w:jc w:val="right"/>
              <w:rPr/>
            </w:pPr>
            <w:r>
              <w:rPr/>
              <w:t>(160,432</w:t>
            </w:r>
          </w:p>
        </w:tc>
        <w:tc>
          <w:tcPr>
            <w:tcW w:w="110" w:type="dxa"/>
            <w:tcBorders/>
            <w:shd w:fill="FFFFFF" w:val="clear"/>
            <w:vAlign w:val="center"/>
          </w:tcPr>
          <w:p>
            <w:pPr>
              <w:pStyle w:val="TableContents"/>
              <w:bidi w:val="0"/>
              <w:spacing w:before="0" w:after="283"/>
              <w:jc w:val="left"/>
              <w:rPr/>
            </w:pPr>
            <w:r>
              <w:rPr/>
              <w:t>)</w:t>
            </w:r>
          </w:p>
        </w:tc>
      </w:tr>
      <w:tr>
        <w:trPr/>
        <w:tc>
          <w:tcPr>
            <w:tcW w:w="327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2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8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had net operating loss carry forward of Nil and $160,432. The Company believes it is less likely than not that its operations will be able to fully utilize its deferred tax assets related to the net operating loss carry forward. As a result, the Company provided 100% allowance on deferred tax assets on net 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17 — DISAGGREGATED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main business operations are to provide: (i) IVF treatment service; and (ii) fertility referral services.</w:t>
      </w:r>
    </w:p>
    <w:p>
      <w:pPr>
        <w:pStyle w:val="TextBody"/>
        <w:bidi w:val="0"/>
        <w:spacing w:before="0" w:after="0"/>
        <w:ind w:left="0" w:right="0" w:firstLine="720"/>
        <w:jc w:val="left"/>
        <w:rPr>
          <w:caps w:val="false"/>
          <w:smallCaps w:val="false"/>
        </w:rPr>
      </w:pPr>
      <w:r>
        <w:rPr>
          <w:caps w:val="false"/>
          <w:smallCaps w:val="false"/>
        </w:rPr>
        <w:t> </w:t>
      </w:r>
    </w:p>
    <w:tbl>
      <w:tblPr>
        <w:tblW w:w="6523" w:type="dxa"/>
        <w:jc w:val="left"/>
        <w:tblInd w:w="0" w:type="dxa"/>
        <w:tblLayout w:type="fixed"/>
        <w:tblCellMar>
          <w:top w:w="0" w:type="dxa"/>
          <w:left w:w="0" w:type="dxa"/>
          <w:bottom w:w="28" w:type="dxa"/>
          <w:right w:w="0" w:type="dxa"/>
        </w:tblCellMar>
      </w:tblPr>
      <w:tblGrid>
        <w:gridCol w:w="3440"/>
        <w:gridCol w:w="60"/>
        <w:gridCol w:w="176"/>
        <w:gridCol w:w="1238"/>
        <w:gridCol w:w="60"/>
        <w:gridCol w:w="60"/>
        <w:gridCol w:w="176"/>
        <w:gridCol w:w="1238"/>
        <w:gridCol w:w="75"/>
      </w:tblGrid>
      <w:tr>
        <w:trPr/>
        <w:tc>
          <w:tcPr>
            <w:tcW w:w="3440" w:type="dxa"/>
            <w:tcBorders>
              <w:bottom w:val="single" w:sz="12" w:space="0" w:color="000000"/>
            </w:tcBorders>
            <w:vAlign w:val="center"/>
          </w:tcPr>
          <w:p>
            <w:pPr>
              <w:pStyle w:val="TableContents"/>
              <w:bidi w:val="0"/>
              <w:spacing w:before="0" w:after="283"/>
              <w:jc w:val="left"/>
              <w:rPr>
                <w:b/>
              </w:rPr>
            </w:pPr>
            <w:r>
              <w:rPr>
                <w:b/>
              </w:rPr>
              <w:t>Revenue from external customers</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IVF treatment service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3,905,863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40" w:type="dxa"/>
            <w:tcBorders/>
            <w:shd w:fill="FFFFFF" w:val="clear"/>
            <w:tcMar>
              <w:bottom w:w="0" w:type="dxa"/>
            </w:tcMar>
            <w:vAlign w:val="center"/>
          </w:tcPr>
          <w:p>
            <w:pPr>
              <w:pStyle w:val="TableContents"/>
              <w:bidi w:val="0"/>
              <w:spacing w:before="0" w:after="283"/>
              <w:jc w:val="both"/>
              <w:rPr/>
            </w:pPr>
            <w:r>
              <w:rPr/>
              <w:t>Fertility referral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820,570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40" w:type="dxa"/>
            <w:tcBorders/>
            <w:shd w:fill="CCEEFF" w:val="clear"/>
            <w:tcMar>
              <w:bottom w:w="0" w:type="dxa"/>
            </w:tcMar>
            <w:vAlign w:val="center"/>
          </w:tcPr>
          <w:p>
            <w:pPr>
              <w:pStyle w:val="TableContents"/>
              <w:bidi w:val="0"/>
              <w:spacing w:before="0" w:after="283"/>
              <w:jc w:val="both"/>
              <w:rPr/>
            </w:pPr>
            <w:r>
              <w:rPr/>
              <w:t>Total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4,726,433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double" w:sz="10" w:space="0" w:color="000000"/>
            </w:tcBorders>
            <w:shd w:fill="CCEEFF" w:val="clear"/>
            <w:vAlign w:val="center"/>
          </w:tcPr>
          <w:p>
            <w:pPr>
              <w:pStyle w:val="TableContents"/>
              <w:bidi w:val="0"/>
              <w:spacing w:before="0" w:after="283"/>
              <w:jc w:val="left"/>
              <w:rPr/>
            </w:pPr>
            <w:r>
              <w:rPr/>
              <w:t>$</w:t>
            </w:r>
          </w:p>
        </w:tc>
        <w:tc>
          <w:tcPr>
            <w:tcW w:w="1238" w:type="dxa"/>
            <w:tcBorders>
              <w:bottom w:val="double" w:sz="10" w:space="0" w:color="000000"/>
            </w:tcBorders>
            <w:shd w:fill="CCEEFF" w:val="clear"/>
            <w:vAlign w:val="center"/>
          </w:tcPr>
          <w:p>
            <w:pPr>
              <w:pStyle w:val="TableContents"/>
              <w:bidi w:val="0"/>
              <w:spacing w:before="0" w:after="283"/>
              <w:jc w:val="right"/>
              <w:rPr/>
            </w:pPr>
            <w:r>
              <w:rPr/>
              <w:t>5,433,375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ind w:left="0" w:right="0" w:hanging="0"/>
        <w:jc w:val="left"/>
        <w:rPr>
          <w:caps w:val="false"/>
          <w:smallCaps w:val="false"/>
        </w:rPr>
      </w:pPr>
      <w:r>
        <w:rPr>
          <w:caps w:val="false"/>
          <w:smallCaps w:val="false"/>
        </w:rPr>
        <w:t> </w:t>
      </w:r>
    </w:p>
    <w:tbl>
      <w:tblPr>
        <w:tblW w:w="8234" w:type="dxa"/>
        <w:jc w:val="left"/>
        <w:tblInd w:w="0" w:type="dxa"/>
        <w:tblLayout w:type="fixed"/>
        <w:tblCellMar>
          <w:top w:w="0" w:type="dxa"/>
          <w:left w:w="0" w:type="dxa"/>
          <w:bottom w:w="28" w:type="dxa"/>
          <w:right w:w="0" w:type="dxa"/>
        </w:tblCellMar>
      </w:tblPr>
      <w:tblGrid>
        <w:gridCol w:w="5090"/>
        <w:gridCol w:w="60"/>
        <w:gridCol w:w="81"/>
        <w:gridCol w:w="1334"/>
        <w:gridCol w:w="60"/>
        <w:gridCol w:w="60"/>
        <w:gridCol w:w="183"/>
        <w:gridCol w:w="1291"/>
        <w:gridCol w:w="75"/>
      </w:tblGrid>
      <w:tr>
        <w:trPr/>
        <w:tc>
          <w:tcPr>
            <w:tcW w:w="5090" w:type="dxa"/>
            <w:tcBorders>
              <w:bottom w:val="single" w:sz="12" w:space="0" w:color="000000"/>
            </w:tcBorders>
            <w:vAlign w:val="center"/>
          </w:tcPr>
          <w:p>
            <w:pPr>
              <w:pStyle w:val="TableContents"/>
              <w:bidi w:val="0"/>
              <w:spacing w:before="0" w:after="283"/>
              <w:jc w:val="left"/>
              <w:rPr>
                <w:b/>
              </w:rPr>
            </w:pPr>
            <w:r>
              <w:rPr>
                <w:b/>
              </w:rPr>
              <w:t>Revenue from external customers originated from</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2024</w:t>
            </w:r>
          </w:p>
        </w:tc>
        <w:tc>
          <w:tcPr>
            <w:tcW w:w="75"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China / 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41,555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Kyrgyzstan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2,312,348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2,656,596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635,188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601,526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Thailand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4" w:type="dxa"/>
            <w:tcBorders/>
            <w:shd w:fill="FFFFFF" w:val="clear"/>
            <w:tcMar>
              <w:bottom w:w="0" w:type="dxa"/>
            </w:tcMar>
            <w:vAlign w:val="center"/>
          </w:tcPr>
          <w:p>
            <w:pPr>
              <w:pStyle w:val="TableContents"/>
              <w:bidi w:val="0"/>
              <w:spacing w:before="0" w:after="283"/>
              <w:jc w:val="right"/>
              <w:rPr/>
            </w:pPr>
            <w:r>
              <w:rPr/>
              <w:t>1,691,862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2,175,253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pPr>
            <w:r>
              <w:rPr/>
              <w:t>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334" w:type="dxa"/>
            <w:tcBorders>
              <w:bottom w:val="single" w:sz="12" w:space="0" w:color="000000"/>
            </w:tcBorders>
            <w:shd w:fill="CCEEFF" w:val="clear"/>
            <w:vAlign w:val="center"/>
          </w:tcPr>
          <w:p>
            <w:pPr>
              <w:pStyle w:val="TableContents"/>
              <w:bidi w:val="0"/>
              <w:spacing w:before="0" w:after="283"/>
              <w:jc w:val="right"/>
              <w:rPr/>
            </w:pPr>
            <w:r>
              <w:rPr/>
              <w:t>45,480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1291"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pPr>
            <w:r>
              <w:rPr/>
              <w:t>Total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double" w:sz="10" w:space="0" w:color="000000"/>
            </w:tcBorders>
            <w:shd w:fill="FFFFFF" w:val="clear"/>
            <w:vAlign w:val="center"/>
          </w:tcPr>
          <w:p>
            <w:pPr>
              <w:pStyle w:val="TableContents"/>
              <w:bidi w:val="0"/>
              <w:spacing w:before="0" w:after="283"/>
              <w:jc w:val="left"/>
              <w:rPr/>
            </w:pPr>
            <w:r>
              <w:rPr/>
              <w:t> </w:t>
            </w:r>
          </w:p>
        </w:tc>
        <w:tc>
          <w:tcPr>
            <w:tcW w:w="1334" w:type="dxa"/>
            <w:tcBorders>
              <w:bottom w:val="double" w:sz="10" w:space="0" w:color="000000"/>
            </w:tcBorders>
            <w:shd w:fill="FFFFFF" w:val="clear"/>
            <w:vAlign w:val="center"/>
          </w:tcPr>
          <w:p>
            <w:pPr>
              <w:pStyle w:val="TableContents"/>
              <w:bidi w:val="0"/>
              <w:spacing w:before="0" w:after="283"/>
              <w:jc w:val="right"/>
              <w:rPr/>
            </w:pPr>
            <w:r>
              <w:rPr/>
              <w:t>4,726,433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double" w:sz="10" w:space="0" w:color="000000"/>
            </w:tcBorders>
            <w:shd w:fill="FFFFFF" w:val="clear"/>
            <w:vAlign w:val="center"/>
          </w:tcPr>
          <w:p>
            <w:pPr>
              <w:pStyle w:val="TableContents"/>
              <w:bidi w:val="0"/>
              <w:spacing w:before="0" w:after="283"/>
              <w:jc w:val="left"/>
              <w:rPr/>
            </w:pPr>
            <w:r>
              <w:rPr/>
              <w:t>$</w:t>
            </w:r>
          </w:p>
        </w:tc>
        <w:tc>
          <w:tcPr>
            <w:tcW w:w="1291" w:type="dxa"/>
            <w:tcBorders>
              <w:bottom w:val="double" w:sz="10" w:space="0" w:color="000000"/>
            </w:tcBorders>
            <w:shd w:fill="FFFFFF" w:val="clear"/>
            <w:vAlign w:val="center"/>
          </w:tcPr>
          <w:p>
            <w:pPr>
              <w:pStyle w:val="TableContents"/>
              <w:bidi w:val="0"/>
              <w:spacing w:before="0" w:after="283"/>
              <w:jc w:val="right"/>
              <w:rPr/>
            </w:pPr>
            <w:r>
              <w:rPr/>
              <w:t>5,433,375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where the revenue originated.</w:t>
      </w:r>
    </w:p>
    <w:p>
      <w:pPr>
        <w:pStyle w:val="TextBody"/>
        <w:bidi w:val="0"/>
        <w:spacing w:before="0" w:after="0"/>
        <w:ind w:left="0" w:right="0" w:firstLine="72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795"/>
        <w:gridCol w:w="60"/>
        <w:gridCol w:w="159"/>
        <w:gridCol w:w="1256"/>
        <w:gridCol w:w="60"/>
        <w:gridCol w:w="60"/>
        <w:gridCol w:w="98"/>
        <w:gridCol w:w="1317"/>
        <w:gridCol w:w="75"/>
      </w:tblGrid>
      <w:tr>
        <w:trPr/>
        <w:tc>
          <w:tcPr>
            <w:tcW w:w="2795" w:type="dxa"/>
            <w:tcBorders>
              <w:bottom w:val="single" w:sz="12" w:space="0" w:color="000000"/>
            </w:tcBorders>
            <w:vAlign w:val="center"/>
          </w:tcPr>
          <w:p>
            <w:pPr>
              <w:pStyle w:val="TableContents"/>
              <w:bidi w:val="0"/>
              <w:spacing w:before="0" w:after="283"/>
              <w:jc w:val="left"/>
              <w:rPr>
                <w:b/>
              </w:rPr>
            </w:pPr>
            <w:r>
              <w:rPr>
                <w:b/>
              </w:rPr>
              <w:t>Long-lived assets located at</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2024</w:t>
            </w:r>
          </w:p>
        </w:tc>
        <w:tc>
          <w:tcPr>
            <w:tcW w:w="75" w:type="dxa"/>
            <w:tcBorders/>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both"/>
              <w:rPr/>
            </w:pPr>
            <w:r>
              <w:rPr/>
              <w:t>HK 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209,630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3,081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both"/>
              <w:rPr/>
            </w:pPr>
            <w:r>
              <w:rPr/>
              <w: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22,832,236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8,370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Cambodia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354,660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47,902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CCEEFF" w:val="clear"/>
            <w:tcMar>
              <w:bottom w:w="0" w:type="dxa"/>
            </w:tcMar>
            <w:vAlign w:val="center"/>
          </w:tcPr>
          <w:p>
            <w:pPr>
              <w:pStyle w:val="TableContents"/>
              <w:bidi w:val="0"/>
              <w:spacing w:before="0" w:after="283"/>
              <w:jc w:val="left"/>
              <w:rPr/>
            </w:pPr>
            <w:r>
              <w:rPr/>
              <w:t>Thailand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 </w:t>
            </w:r>
          </w:p>
        </w:tc>
        <w:tc>
          <w:tcPr>
            <w:tcW w:w="1256" w:type="dxa"/>
            <w:tcBorders>
              <w:bottom w:val="single" w:sz="12" w:space="0" w:color="000000"/>
            </w:tcBorders>
            <w:shd w:fill="CCEEFF" w:val="clear"/>
            <w:vAlign w:val="center"/>
          </w:tcPr>
          <w:p>
            <w:pPr>
              <w:pStyle w:val="TableContents"/>
              <w:bidi w:val="0"/>
              <w:spacing w:before="0" w:after="283"/>
              <w:jc w:val="right"/>
              <w:rPr/>
            </w:pPr>
            <w:r>
              <w:rPr/>
              <w:t>311,845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pPr>
            <w:r>
              <w:rPr/>
              <w:t>312,313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10" w:space="0" w:color="000000"/>
            </w:tcBorders>
            <w:shd w:fill="FFFFFF" w:val="clear"/>
            <w:vAlign w:val="center"/>
          </w:tcPr>
          <w:p>
            <w:pPr>
              <w:pStyle w:val="TableContents"/>
              <w:bidi w:val="0"/>
              <w:spacing w:before="0" w:after="283"/>
              <w:jc w:val="left"/>
              <w:rPr/>
            </w:pPr>
            <w:r>
              <w:rPr/>
              <w:t>$</w:t>
            </w:r>
          </w:p>
        </w:tc>
        <w:tc>
          <w:tcPr>
            <w:tcW w:w="1256" w:type="dxa"/>
            <w:tcBorders>
              <w:bottom w:val="double" w:sz="10" w:space="0" w:color="000000"/>
            </w:tcBorders>
            <w:shd w:fill="FFFFFF" w:val="clear"/>
            <w:vAlign w:val="center"/>
          </w:tcPr>
          <w:p>
            <w:pPr>
              <w:pStyle w:val="TableContents"/>
              <w:bidi w:val="0"/>
              <w:spacing w:before="0" w:after="283"/>
              <w:jc w:val="right"/>
              <w:rPr/>
            </w:pPr>
            <w:r>
              <w:rPr/>
              <w:t>23,708,371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double" w:sz="10" w:space="0" w:color="000000"/>
            </w:tcBorders>
            <w:shd w:fill="FFFFFF" w:val="clear"/>
            <w:vAlign w:val="center"/>
          </w:tcPr>
          <w:p>
            <w:pPr>
              <w:pStyle w:val="TableContents"/>
              <w:bidi w:val="0"/>
              <w:spacing w:before="0" w:after="283"/>
              <w:jc w:val="left"/>
              <w:rPr/>
            </w:pPr>
            <w:r>
              <w:rPr/>
              <w:t> </w:t>
            </w:r>
          </w:p>
        </w:tc>
        <w:tc>
          <w:tcPr>
            <w:tcW w:w="1317" w:type="dxa"/>
            <w:tcBorders>
              <w:bottom w:val="double" w:sz="10" w:space="0" w:color="000000"/>
            </w:tcBorders>
            <w:shd w:fill="FFFFFF" w:val="clear"/>
            <w:vAlign w:val="center"/>
          </w:tcPr>
          <w:p>
            <w:pPr>
              <w:pStyle w:val="TableContents"/>
              <w:bidi w:val="0"/>
              <w:spacing w:before="0" w:after="283"/>
              <w:jc w:val="right"/>
              <w:rPr/>
            </w:pPr>
            <w:r>
              <w:rPr/>
              <w:t>371,666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consist of plant and equipment, net, intangible assets, net and operating leases right-of-use assets,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18 — RISKS</w:t>
      </w:r>
    </w:p>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480" w:right="0" w:hanging="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the credit risk, the management of the Company monitors and ensures that follow-up action is taken to recover overdue debts. The Company considers the probability of default upon initial recognition of asset and whether there has been a significant increase in credit risk on an ongoing basis throughout each reporting period. To assess whether there is a significant increase in credit risk, the Company compares the risk of a default occurring on the asset as at the reporting date with the risk of default as at the date of initial recognition. It considers available reasonable and supportive forward-looking information, such as GDP growth rate and nominal GDP per capita. Based on the impairment assessment performed by the Company, the directors consider the loss allowance for account receivables as of December 31, 2025 and December 31, 2024 to be $21 and $19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 on liquid funds is limited because the counterparties are banks with high credit ratings assigned by international credit-rating agencies. The Company is exposed to concentration of credit risk on liquid funds which are deposited with several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Deposits, prepayments and other receivables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deposits and other receivables, due from shareholders individually based on internal credit rating and ageing of these debtors which, in the opinion of the directors, have no significant increase in credit risk since initial recognition. Based on the impairment assessment performed by the Company, the management consider the loss allowance for deposits and other receivables, due from shareholders as of December 31, 2025 and December 31, 2024 is $5, and $4, respectively. The loss allowance for deposits and other receivables, due from shareholders as of December 30, 2025 and December 31, 2024 is $0, and $0, respectively.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from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impairment for receivables from agents based on ageing of these debts and the recoverability of the deposits distributed by the agents to their sub-agents. Based on the assessment performed by the Company, the management have written off an amount of $818,780 during the year which were deemed not recoverable. The loss allowance for receivables from agents as of December 31, 2025 and December 31, 2024 were $nil.</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 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cash flow interest rate risk through the changes in interest rates related mainly to the Company’s variable-rates bank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does not have any interest rate hedging policy in relation to fair value interest rate risk and cash flow interest rate risk. The directors monitor the Company’s exposures on an ongoing basis and will consider hedging the interest rate should the need arises.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by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1% higher or lower and all other variables were held constant, the Company’s net (loss) income for the period/years ended December 31, 2025 and December 31, 2024 would have increased or decreased by approximately $52,890 and $26,894,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holding of foreign currency assets will affect the Company’s financial position as a result of a change in foreign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monetary assets and liabilities are mainly denominated in HK$, THB and RMB which are the same as the functional currencies of the relevant group entities. Hence, in the opinion of the directors of the Company, the currency risk of US$ is considered insignificant. The Company currently does not have a foreign currency hedging policy to eliminate currency exposures. However, the directors monitor the related foreign currency exposure closely and will consider hedging significant foreign currency exposures should the need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is exposed to market liquidity risk with respect to certain assets held on our balance sheet. Market liquidity risk is the risk that we cannot realize the fair value of our assets when needed due to insufficient market depth, disruption, or the absence of willing buyers. As of December 31, 2025, we held Solana as treasury investment. These assets trade in markets that may experience periods of reduced liquidity, particularly during periods of economic stress or market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Economic and political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mainly conducted in Thailand, Cambodia and Kyrgyzstan. Accordingly, the Company’s business, financial condition, and results of operations may be influenced by changes in the political, economic, and legal environments in Thailand, Cambodia and Kyrgyzstan.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 Thailand, Cambodia and Kyrgyzstan are subject to special considerations and significant risks. These include risks associated with, among others, the political, economic and legal environment and foreign currency exchange. The Company’s results may be adversely affected by changes in the political and social conditions in Thailand, Cambodia and Kyrgyzstan, and by changes in governmental policies with respect to laws and regulations, anti-inflationary measures, currency conversion, remittances abroad, and rates and methods of taxation, among other things including natural disasters and wars.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war involving the US, Israel, and Iran has severely disrupted international travel, beginning with the immediate closure of airspace over several Middle Eastern countries and the suspension of flights through critical hubs like Dubai and Doha, which has stranded hundreds of thousands of passengers. This has forced airlines to cancel thousands of flights or take longer, more expensive routes, leading to a surge in ticket prices and the imposition of new fuel surcharges that are affecting travelers globally. Governments have responded by issuing widespread “do not travel” warnings for the region and organizing evacuations, while embassies have halted routine visa services, further complicating international mobility. The compounded effect is a climate of uncertainty where even trips not destined for the Middle East face potential delays, higher costs, and complex rebooking challenges.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Inflation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changes in prices levels. Historically inflation has not materially impacted the Company’s consolidated financial statements; however, significant increases in the price of labor that cannot be passed to the Company’s customers could adversely impact the Company’s results of operations. Moreover, the recent escalation of the US-Israel-Iran conflict poses a significant threat to the global economy, primarily through the disruption of oil supplies, with cascading effects on the real estate sector in the UAE and a broad economic downturn across Asia, including Hong Kong and China. As the conflict intensifies around the Strait of Hormuz—through which nearly 20% of the world’s oil passes—global oil prices have surged past $100 per barrel, raising fears of an extended energy crisis. Such increase in oil prices might lead to domino effect on the overall costs of business operation for NewGenIvf and NewGenIvf might not be able to pass the cost pressure to its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19 — RELATED PARTY BALANCES AND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amount due from and due to related parties as the following:</w:t>
      </w:r>
    </w:p>
    <w:p>
      <w:pPr>
        <w:pStyle w:val="TextBody"/>
        <w:bidi w:val="0"/>
        <w:spacing w:before="0" w:after="0"/>
        <w:ind w:left="0" w:right="0" w:firstLine="720"/>
        <w:jc w:val="left"/>
        <w:rPr>
          <w:caps w:val="false"/>
          <w:smallCaps w:val="false"/>
        </w:rPr>
      </w:pPr>
      <w:r>
        <w:rPr>
          <w:caps w:val="false"/>
          <w:smallCaps w:val="false"/>
        </w:rPr>
        <w:t> </w:t>
      </w:r>
    </w:p>
    <w:tbl>
      <w:tblPr>
        <w:tblW w:w="10093" w:type="dxa"/>
        <w:jc w:val="left"/>
        <w:tblInd w:w="0" w:type="dxa"/>
        <w:tblLayout w:type="fixed"/>
        <w:tblCellMar>
          <w:top w:w="0" w:type="dxa"/>
          <w:left w:w="0" w:type="dxa"/>
          <w:bottom w:w="0" w:type="dxa"/>
          <w:right w:w="0" w:type="dxa"/>
        </w:tblCellMar>
      </w:tblPr>
      <w:tblGrid>
        <w:gridCol w:w="4535"/>
        <w:gridCol w:w="60"/>
        <w:gridCol w:w="2345"/>
        <w:gridCol w:w="60"/>
        <w:gridCol w:w="194"/>
        <w:gridCol w:w="1220"/>
        <w:gridCol w:w="95"/>
        <w:gridCol w:w="203"/>
        <w:gridCol w:w="1271"/>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Due from shareholders consist of the following:</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404,549</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Harcourt Limited</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A related party (note 1)</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110,232</w:t>
            </w:r>
          </w:p>
        </w:tc>
        <w:tc>
          <w:tcPr>
            <w:tcW w:w="95"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Due to a related party consist of the following: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Mr. Siu Wing Fung, Alfred (“Mr. Siu”)</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Shareholder and director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(116,653</w:t>
            </w:r>
          </w:p>
        </w:tc>
        <w:tc>
          <w:tcPr>
            <w:tcW w:w="95"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pPr>
            <w:r>
              <w:rPr/>
              <w:t>Ms. Fong Hei Yue, Tina (“Ms. Fong”)</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left"/>
              <w:rPr/>
            </w:pPr>
            <w:r>
              <w:rPr/>
              <w:t>Shareholder and director</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(497,200</w:t>
            </w:r>
          </w:p>
        </w:tc>
        <w:tc>
          <w:tcPr>
            <w:tcW w:w="110" w:type="dxa"/>
            <w:tcBorders/>
            <w:shd w:fill="FFFFFF" w:val="clear"/>
            <w:vAlign w:val="center"/>
          </w:tcPr>
          <w:p>
            <w:pPr>
              <w:pStyle w:val="TableContents"/>
              <w:bidi w:val="0"/>
              <w:spacing w:before="0" w:after="283"/>
              <w:jc w:val="left"/>
              <w:rPr/>
            </w:pPr>
            <w:r>
              <w:rPr/>
              <w:t>)</w:t>
            </w:r>
          </w:p>
        </w:tc>
      </w:tr>
      <w:tr>
        <w:trPr/>
        <w:tc>
          <w:tcPr>
            <w:tcW w:w="4535" w:type="dxa"/>
            <w:tcBorders/>
            <w:shd w:fill="CCEEFF" w:val="clear"/>
            <w:vAlign w:val="center"/>
          </w:tcPr>
          <w:p>
            <w:pPr>
              <w:pStyle w:val="TableContents"/>
              <w:bidi w:val="0"/>
              <w:spacing w:before="0" w:after="283"/>
              <w:jc w:val="both"/>
              <w:rPr/>
            </w:pPr>
            <w:r>
              <w:rPr/>
              <w:t>Harcourt Limited</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left"/>
              <w:rPr/>
            </w:pPr>
            <w:r>
              <w:rPr/>
              <w:t>A related party (note 1)</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(61,802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48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sz w:val="20"/>
              </w:rPr>
            </w:pPr>
            <w:r>
              <w:rPr>
                <w:sz w:val="20"/>
              </w:rPr>
              <w:t>The directors and shareholders of Harcourt Limited are Mr. Siu and Ms. Fong, Harcourt Limited therefore has the common ultimate beneficial owners with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due from shareholders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3935"/>
        <w:gridCol w:w="60"/>
        <w:gridCol w:w="140"/>
        <w:gridCol w:w="1295"/>
        <w:gridCol w:w="95"/>
        <w:gridCol w:w="60"/>
        <w:gridCol w:w="140"/>
        <w:gridCol w:w="1535"/>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Due from/ (to) shareholders/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           </w:t>
            </w: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           </w:t>
            </w:r>
            <w:r>
              <w:rPr/>
              <w:t>(154,453</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both"/>
              <w:rPr/>
            </w:pPr>
            <w:r>
              <w:rPr/>
              <w:t>Less: allowance for expected credit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(6,421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double" w:sz="10" w:space="0" w:color="000000"/>
            </w:tcBorders>
            <w:shd w:fill="CCEEFF" w:val="clear"/>
            <w:tcMar>
              <w:bottom w:w="28" w:type="dxa"/>
            </w:tcMar>
            <w:vAlign w:val="center"/>
          </w:tcPr>
          <w:p>
            <w:pPr>
              <w:pStyle w:val="TableContents"/>
              <w:bidi w:val="0"/>
              <w:spacing w:before="0" w:after="283"/>
              <w:jc w:val="right"/>
              <w:rPr/>
            </w:pPr>
            <w:r>
              <w:rPr/>
              <w:t>(154,453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allowances for expected credit loss is as follow:</w:t>
      </w:r>
    </w:p>
    <w:p>
      <w:pPr>
        <w:pStyle w:val="TextBody"/>
        <w:bidi w:val="0"/>
        <w:spacing w:before="0" w:after="0"/>
        <w:ind w:left="0" w:right="0" w:firstLine="72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3305"/>
        <w:gridCol w:w="60"/>
        <w:gridCol w:w="494"/>
        <w:gridCol w:w="920"/>
        <w:gridCol w:w="60"/>
        <w:gridCol w:w="60"/>
        <w:gridCol w:w="140"/>
        <w:gridCol w:w="1415"/>
        <w:gridCol w:w="11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15" w:type="dxa"/>
            <w:tcBorders/>
            <w:shd w:fill="CCEEFF" w:val="clear"/>
            <w:vAlign w:val="center"/>
          </w:tcPr>
          <w:p>
            <w:pPr>
              <w:pStyle w:val="TableContents"/>
              <w:bidi w:val="0"/>
              <w:spacing w:before="0" w:after="283"/>
              <w:jc w:val="right"/>
              <w:rPr/>
            </w:pPr>
            <w:r>
              <w:rPr/>
              <w:t>           </w:t>
            </w:r>
            <w:r>
              <w:rPr/>
              <w:t>(17,818</w:t>
            </w:r>
          </w:p>
        </w:tc>
        <w:tc>
          <w:tcPr>
            <w:tcW w:w="11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Reversal of Provision / (Provision)</w:t>
            </w:r>
          </w:p>
        </w:tc>
        <w:tc>
          <w:tcPr>
            <w:tcW w:w="60" w:type="dxa"/>
            <w:tcBorders/>
            <w:shd w:fill="FFFFFF" w:val="clear"/>
            <w:vAlign w:val="center"/>
          </w:tcPr>
          <w:p>
            <w:pPr>
              <w:pStyle w:val="TableContents"/>
              <w:bidi w:val="0"/>
              <w:spacing w:before="0" w:after="283"/>
              <w:jc w:val="left"/>
              <w:rPr/>
            </w:pPr>
            <w:r>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pPr>
            <w:r>
              <w:rPr/>
              <w:t>(17,818</w:t>
            </w:r>
          </w:p>
        </w:tc>
        <w:tc>
          <w:tcPr>
            <w:tcW w:w="11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4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transactions and balances detailed elsewhere in these consolidated financial statements, the Company had the following transactions with related parties: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0"/>
        <w:gridCol w:w="60"/>
        <w:gridCol w:w="140"/>
        <w:gridCol w:w="1460"/>
        <w:gridCol w:w="60"/>
        <w:gridCol w:w="60"/>
        <w:gridCol w:w="140"/>
        <w:gridCol w:w="1460"/>
        <w:gridCol w:w="75"/>
      </w:tblGrid>
      <w:tr>
        <w:trPr/>
        <w:tc>
          <w:tcPr>
            <w:tcW w:w="6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remuneration to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190,000</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remuneration to Ms. Fong Hei Yue, Tina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190,000</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Director’s bonus of Mr. Siu Wing Fung, Alfred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Director’s welfare, accommodation and insurance to Mr. Siu Wing Fung, Alfred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393,103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Advisory services on fund raising project to Mr Siu, Daniel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219,045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50" w:type="dxa"/>
            <w:tcBorders/>
            <w:shd w:fill="FFFFFF" w:val="clear"/>
            <w:vAlign w:val="center"/>
          </w:tcPr>
          <w:p>
            <w:pPr>
              <w:pStyle w:val="TableContents"/>
              <w:bidi w:val="0"/>
              <w:spacing w:before="0" w:after="283"/>
              <w:jc w:val="both"/>
              <w:rPr/>
            </w:pPr>
            <w:r>
              <w:rPr/>
              <w:t>Consulting services on fund raising project to Mr Siu, Jasper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50" w:type="dxa"/>
            <w:tcBorders/>
            <w:shd w:fill="CCEEFF" w:val="clear"/>
            <w:vAlign w:val="center"/>
          </w:tcPr>
          <w:p>
            <w:pPr>
              <w:pStyle w:val="TableContents"/>
              <w:bidi w:val="0"/>
              <w:spacing w:before="0" w:after="283"/>
              <w:jc w:val="both"/>
              <w:rPr/>
            </w:pPr>
            <w:r>
              <w:rPr/>
              <w:t>Marketing service fee to Harcourt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230,769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20 —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MicroSort Lab Services,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NewGenIvf Group Limited (the “Company”) completed the acquisition of 100% of the outstanding equity interests of MicroSort Lab Services, LLC (“MicroSort”), a Delaware limited liability company established by Genetics &amp; IVF Institute, Inc. (“Seller”). The Seller transferred to MicroSort a portfolio of assets including registered trademarks, domain names, customer contracts, and a consultant agreement. MicroSort technology is a form of pre-conception gender selection technology for humans and this Preimplantation Genetic Screening (“PGS”) is used in parallel with an IVF treatment cycle. Prior to the acquisition, the Company had been a licensee of the MicroSort® technology in Thailand and Cambodia. The company’s strategic acquisition of the MicroSort technology provide the company with the exclusive right to this technology for its continued use within its clinics as well as to licence it out to other clinics globally. In accordance with ASC 805, The acquisition was accounted for as a business combination in accordance with ASC 805, Business Combinations, as the Company obtained control of an integrated set of activities and assets that constitute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purchase consideration amounted to US$5,000,000, consisting of cash consideration of US$750,000 and 2,500,000 Class A Ordinary Shares of the Company (42 shares, post–reverse stock splits) at a deemed share price of $1.7 per share. After the 2nd reverse stock split in February 2025, the Company issued 125,000 shares were when the share price was $2.06 per share. Accordingly, the share consideration was valued at US$257,500 at the acquisition date. The total fair value of the purchase consideration on acquisition date amounts to $1,007,500 measured in accordance with ASC 805-30-30-7. No contingent consideration or seller financing arrangements were included in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an independent valuation firm, to determine the fair value of the acquired trademarks and technology. Using the income approach (discounted cash flow method), the fair value of the trademarks and technology were determined to be US$5,284,000 as of December 31, 2024. The acquired trademark was valued at $5,284,000, using an income approach, primarily applying a discounted cash flow methodology, which considered projected revenues attributable to the trademark, licensing income and expenses, and a risk-adjusted discount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obtained control over the Company and its related business and assets on February 28, 2025. Accordingly, February 28, 2026 which been determined by management as the acquisition date. No liabilities were assumed as part of the transaction. As at acquisition date management had re-evaluated the fair value assessment of the trademarks and determined the fair value to be $3.5 million. As the fair value of net assets acquired exceeded the fair value of the purchase consideration, the Company recognized a bargain purchase gain of US$2.5 million, in accordance with ASC 805-30-25-2. In accordance with ASC 805-30-25-2, the Company reassessed the identification and measurement of all acquired assets and liabilities and the consideration transferred. Management concluded that the bargain purchase gain resulted primarily from the Seller’s decision to exit non-core operations, as well as a decline in the Company’s stock price between the signing date and the Acquisition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MicroSort,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5090"/>
        <w:gridCol w:w="60"/>
        <w:gridCol w:w="82"/>
        <w:gridCol w:w="1347"/>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recognized</w:t>
              <w:br/>
              <w:t>on acquisition</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Intangible Asset – intellectual property and trademark</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Liabilities assumed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Total identifiable net assets at fair value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3,495,335</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Cash consideration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(750,000</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Share consideration</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FFFFFF" w:val="clear"/>
            <w:tcMar>
              <w:bottom w:w="28" w:type="dxa"/>
            </w:tcMar>
            <w:vAlign w:val="center"/>
          </w:tcPr>
          <w:p>
            <w:pPr>
              <w:pStyle w:val="TableContents"/>
              <w:bidi w:val="0"/>
              <w:spacing w:before="0" w:after="283"/>
              <w:jc w:val="right"/>
              <w:rPr/>
            </w:pPr>
            <w:r>
              <w:rPr/>
              <w:t>(257,500</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b/>
              </w:rPr>
            </w:pPr>
            <w:r>
              <w:rPr>
                <w:b/>
              </w:rPr>
              <w:t>2,487,835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MicroSort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MicroSort business, while being established by the Seller in prior years, it had not generated significant revenue and earnings prior to the acquisition due to MicroSort not being the core business focus of the Seller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Nodexus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NewGenIvf Group Limited (the “Company”) acquired substantially all of the operating assets of Nodexus Inc (“Nodexus”) through an assignment for the benefit of creditors process administered by Sherwood Partners, Inc. The acquired assets included a patent portfolio and proprietary cell-sorting technology (five granted U.S. patents and one granted Japan patent), 18 Nodexus NX One units, partially constructed NX One units, cartridges, spare parts, and the Nodexus.com domain. Nodexus technology is a form of pre-conception gender selection technology for humans and this Preimplantation Genetic Screening (“PGS”) is used in parallel with an IVF treatment cycle. The company’s strategic acquisition of the Nodexus technology provide the company with the exclusive right to this technology for its continued use within its clinics as well as to license it out to other clinics globally. In accordance with ASC 805, The acquisition was accounted for as a business combination in accordance with ASC 805, Business Combinations, as the Company obtained control of an integrated set of activities and assets that constitute a business. Although Nodexus did not generate revenue and did not have outputs as of the acquisition date, management concluded that the acquired set met the definition of a business under ASC 805-10-55-5A through 55-9 because it included inputs and a substantive process that together are capable of producing outputs.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an independent valuation of the acquired patents. Using the relief-from-royalty method, the fair value of the patents was determined to be US$17,900,000 primarily applying a relief-from-royalty method, which estimates the present value of royalty payments avoided by owning the technology rather than licensing it. Key assumptions included estimated market-participant revenue projections, an indicative royalty rate, a discount rate reflective of early-stage technological risk. The Company also estimated the fair value of other acquired assets at US$1,566,000. No liabilities were assumed as part of the transaction. The aggregate fair value of net assets acquired was US$19,466,000. As the fair value of net assets acquired significantly exceeded the consideration transferred, the Company recognized a bargain purchase gain of US$19,166,000 in accordance with ASC 805-30-25-2. The gain reflects the distressed nature of the sale process, limited market participants, and the Seller’s inability to execute commercialization, rather than any measurement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cash consideration paid was US$300,000. The company obtained control over the Company and its related business and assets on July 29, 2025. Accordingly, July 29, 2025 has been determined by management as the acquisition date. No liabilities were assumed as part of the transaction. The Company also estimated the fair value of other acquired assets at US$1,566,000. No liabilities were assumed as part of the transaction. The aggregate fair value of net assets acquired was US$19.5 million. As the fair value of net assets acquired significantly exceeded the consideration transferred, the Company recognized a bargain purchase gain of US$19,166,000 in accordance with ASC 805-30-25-2. In accordance with ASC 805-30-25-2, the Company reassessed the identification and measurement of all acquired assets and liabilities and the consideration transferred. Management concluded that the gain represents a unique, non-recurring event arising from the acquisition of high-potential assets in a forced liquidation process at a price substantially below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identifiable assets and liabilities of Nodexus, as at the date of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5534" w:type="dxa"/>
        <w:jc w:val="left"/>
        <w:tblInd w:w="0" w:type="dxa"/>
        <w:tblLayout w:type="fixed"/>
        <w:tblCellMar>
          <w:top w:w="0" w:type="dxa"/>
          <w:left w:w="0" w:type="dxa"/>
          <w:bottom w:w="0" w:type="dxa"/>
          <w:right w:w="0" w:type="dxa"/>
        </w:tblCellMar>
      </w:tblPr>
      <w:tblGrid>
        <w:gridCol w:w="3935"/>
        <w:gridCol w:w="60"/>
        <w:gridCol w:w="73"/>
        <w:gridCol w:w="1356"/>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w:t>
              <w:br/>
              <w:t xml:space="preserve">recognized </w:t>
              <w:br/>
              <w:t>on acquisition</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Intangible assets - patented Technology</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17,900,000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 NX One Unit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1,530,000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Catridges for Nodexus NX</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16,000</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Nodexus.com domain and hosting access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20,000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identifiable net assets at fair value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19,466,000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FFFFFF" w:val="clear"/>
            <w:tcMar>
              <w:bottom w:w="28" w:type="dxa"/>
            </w:tcMar>
            <w:vAlign w:val="center"/>
          </w:tcPr>
          <w:p>
            <w:pPr>
              <w:pStyle w:val="TableContents"/>
              <w:bidi w:val="0"/>
              <w:spacing w:before="0" w:after="283"/>
              <w:jc w:val="right"/>
              <w:rPr/>
            </w:pPr>
            <w:r>
              <w:rPr/>
              <w:t>(300,000</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b/>
              </w:rPr>
            </w:pPr>
            <w:r>
              <w:rPr>
                <w:b/>
              </w:rPr>
              <w:t>Bargain purchase gain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b/>
              </w:rPr>
            </w:pPr>
            <w:r>
              <w:rPr>
                <w:b/>
              </w:rPr>
              <w:t>19,166,000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did not have any trade receivables outstanding as of the Acquisition Date. Accordingly, no receivables were recognized as part of the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transaction costs were immaterial and were expensed as incurred within general and administrative expenses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tangible assets will be amortized on a straight-line basis over their estimated useful life of 5 years in accordance with ASC 360. The intangible assets have been classified as indefinite-lived intangible assets acquired will be subject to annual impairment testing in accordance with ASC 350. The bargain purchase gain has been which has been recorded as a separate line item within Other income (expense), net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Nodexus was a development-stage entity and did not generate revenue or earnings prior to the acquisition. Accordingly, the unaudited pro forma consolidated revenue and net income of the Company, as if the acquisition had occurred on January 1, 2024, would not have differed materially from the amounts reported in the Company’s consolidated financial statements for the periods presented. While the Nodexus business had been established in prior years, it had not generated significant revenue and earnings prior to the acquisition due to it being used primarily for research and development purposes. Accordingly, the unaudited pro forma consolidated revenue and net income of the Company, as if the acquisition had occurred on January 1, 2024, would not have differed materially from the amounts reported in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21 — DISPOSAL OF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2025, the Company completed the sale of its Shenzhen Qianhai Fengtai Renhui Health Technology Co., Ltd. (“SZ QianHai”) to an unrelated third party for total consideration of US$ 0 (RMB 1), consisting of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disposal, all the outstanding account payables and receivables as well as all outstanding balances were transferred to the Buyer. Any tax liabilities in People’s Republic of China (PRC) arising from the transfer of these balances shall be borne by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financial impact of the disposal:</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shd w:fill="FFFFFF" w:val="clear"/>
        <w:tblLayout w:type="fixed"/>
        <w:tblCellMar>
          <w:top w:w="0" w:type="dxa"/>
          <w:left w:w="0" w:type="dxa"/>
          <w:bottom w:w="0" w:type="dxa"/>
          <w:right w:w="0" w:type="dxa"/>
        </w:tblCellMar>
      </w:tblPr>
      <w:tblGrid>
        <w:gridCol w:w="75"/>
        <w:gridCol w:w="170"/>
        <w:gridCol w:w="395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950" w:type="dxa"/>
            <w:tcBorders/>
            <w:shd w:fill="FFFFFF" w:val="clear"/>
            <w:vAlign w:val="center"/>
          </w:tcPr>
          <w:p>
            <w:pPr>
              <w:pStyle w:val="TableContents"/>
              <w:bidi w:val="0"/>
              <w:spacing w:before="0" w:after="283"/>
              <w:jc w:val="both"/>
              <w:rPr>
                <w:sz w:val="20"/>
              </w:rPr>
            </w:pPr>
            <w:r>
              <w:rPr>
                <w:sz w:val="20"/>
              </w:rPr>
              <w:t>Consideration received: Cash of US$ 0 (RMB 1)</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shd w:fill="FFFFFF" w:val="clear"/>
        <w:tblLayout w:type="fixed"/>
        <w:tblCellMar>
          <w:top w:w="0" w:type="dxa"/>
          <w:left w:w="0" w:type="dxa"/>
          <w:bottom w:w="0" w:type="dxa"/>
          <w:right w:w="0" w:type="dxa"/>
        </w:tblCellMar>
      </w:tblPr>
      <w:tblGrid>
        <w:gridCol w:w="75"/>
        <w:gridCol w:w="170"/>
        <w:gridCol w:w="3860"/>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3860" w:type="dxa"/>
            <w:tcBorders/>
            <w:shd w:fill="FFFFFF" w:val="clear"/>
            <w:vAlign w:val="center"/>
          </w:tcPr>
          <w:p>
            <w:pPr>
              <w:pStyle w:val="TableContents"/>
              <w:bidi w:val="0"/>
              <w:spacing w:before="0" w:after="283"/>
              <w:jc w:val="both"/>
              <w:rPr>
                <w:sz w:val="20"/>
              </w:rPr>
            </w:pPr>
            <w:r>
              <w:rPr>
                <w:sz w:val="20"/>
              </w:rPr>
              <w:t>Net assets disposed of $47,702 (RMB 352,826)</w:t>
            </w:r>
          </w:p>
        </w:tc>
      </w:tr>
    </w:tbl>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shd w:fill="FFFFFF" w:val="clear"/>
        <w:tblLayout w:type="fixed"/>
        <w:tblCellMar>
          <w:top w:w="0" w:type="dxa"/>
          <w:left w:w="0" w:type="dxa"/>
          <w:bottom w:w="0" w:type="dxa"/>
          <w:right w:w="0" w:type="dxa"/>
        </w:tblCellMar>
      </w:tblPr>
      <w:tblGrid>
        <w:gridCol w:w="75"/>
        <w:gridCol w:w="170"/>
        <w:gridCol w:w="4745"/>
      </w:tblGrid>
      <w:tr>
        <w:trPr/>
        <w:tc>
          <w:tcPr>
            <w:tcW w:w="75" w:type="dxa"/>
            <w:tcBorders/>
            <w:shd w:fill="FFFFFF" w:val="clear"/>
            <w:vAlign w:val="center"/>
          </w:tcPr>
          <w:p>
            <w:pPr>
              <w:pStyle w:val="TableContents"/>
              <w:bidi w:val="0"/>
              <w:spacing w:before="0" w:after="283"/>
              <w:jc w:val="both"/>
              <w:rPr/>
            </w:pPr>
            <w:r>
              <w:rPr/>
              <w:t> </w:t>
            </w:r>
          </w:p>
        </w:tc>
        <w:tc>
          <w:tcPr>
            <w:tcW w:w="170" w:type="dxa"/>
            <w:tcBorders/>
            <w:shd w:fill="FFFFFF" w:val="clear"/>
            <w:vAlign w:val="center"/>
          </w:tcPr>
          <w:p>
            <w:pPr>
              <w:pStyle w:val="TableContents"/>
              <w:bidi w:val="0"/>
              <w:spacing w:before="0" w:after="283"/>
              <w:jc w:val="both"/>
              <w:rPr/>
            </w:pPr>
            <w:r>
              <w:rPr/>
              <w:t>●</w:t>
            </w:r>
          </w:p>
        </w:tc>
        <w:tc>
          <w:tcPr>
            <w:tcW w:w="4745" w:type="dxa"/>
            <w:tcBorders/>
            <w:shd w:fill="FFFFFF" w:val="clear"/>
            <w:vAlign w:val="center"/>
          </w:tcPr>
          <w:p>
            <w:pPr>
              <w:pStyle w:val="TableContents"/>
              <w:bidi w:val="0"/>
              <w:spacing w:before="0" w:after="283"/>
              <w:jc w:val="both"/>
              <w:rPr>
                <w:sz w:val="20"/>
              </w:rPr>
            </w:pPr>
            <w:r>
              <w:rPr>
                <w:sz w:val="20"/>
              </w:rPr>
              <w:t>Loss on disposal of subsidiary of $47,702 (RMB 352,826)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was accounted for in accordance with ASC 810, Consolidation. As a result, the Company deconsolidated Shenzhen Qianhai Fengtai Renhui Health Technology Co. and recognized a loss on disposal of subsidiary (after netting against the cash consideration received) in the amount of US$47,702 in other income, net in the 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did not represent a strategic shift and, therefore, was not classified as a discontinued operation under ASC 205-20.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NOTE 22 — COMMITMENTS &amp; </w:t>
      </w:r>
      <w:r>
        <w:rPr>
          <w:rFonts w:ascii="Times New Roman;Times;Serif" w:hAnsi="Times New Roman;Times;Serif"/>
          <w:b/>
          <w:i w:val="false"/>
          <w:caps/>
          <w:sz w:val="20"/>
          <w:u w:val="single"/>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was not a party to any legal or administrative proceedings. As of December 31, 2025, the Company had commitment as described in Notes 13 and 14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committed to honor its obligations pursuant to the convertible note agreements as described in Note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 23 — SUBSEQUENT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and to the date of this report, $600,000 convertible notes outstanding as of December 31, 2025 had been converted to additional 190,319 Class A ordinary shares (adjusted by Reverse Stock Splits on December 2, 2025, January 26, 2026 and March 16,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2026, NewGenBiz Limited, a 100% directly owned subsidiary of NewGenIvf Group Limited, was incorporated in British Virgin Islands as an investment holding company for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Vanquish Funding Group Inc., pursuant to which, amongst other things, the Company agreed to sell a convertible note in the aggregate principal amount of $107,000,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Boot Capital LLC, pursuant to which, amongst other things, the Company agreed to sell a convertible note in the aggregate principal amount of $50,000,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NewGenOman Limited, a 100% directly owned subsidiary of NewGenIvf Group Limited, was incorporated in British Virgin Islands as an investment holding company for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February 27, 2026, NewGenBiz Limited, a 100% directly owned subsidiary of NewGenIvf Group Limited, was incorporated in Hong Kong as a foundation for charitable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entered into a Securities Purchase Agreement with CFI Capital LLC, pursuant to which, amongst other things, the Company agreed to sell a convertible note in the aggregate principal amount of $200,000, convertible into Class A Ordinary Shares pursuant to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entered into a Securities Purchase Agreement with Firstfire Global Opportunities Fund, LLC, pursuant to which, amongst other things, the Company agreed to sell a convertible note in the aggregate principal amount of $220,000, convertible into Class A Ordinary Shares pursuant to its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such provision may be held by the British Virgin Islands courts to be contrary to public policy, such as to provide indemnification against willful default, civil fraud or the consequences of committing a crime. Under our Memorandum and Articles of Association, we may indemnify our directors, officers and liquidators against all expenses, including legal fees, and against all judgments, fines and amounts paid in settlement and reasonably incurred in connection with civil, criminal, administrative or investigative proceedings to which they are party or are threatened to be made a party by reason of their acting as our director, officer or liquidator. To be entitled to indemnification, these persons must have acted honestly and in good faith with a view to the best interest of the registrant and, in the case of criminal proceedings, they must have had no reasonable cause to believe their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 Recent Sales of Unregistered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sales of all securities by the Company since the closing of the Business Combination which were not registered under the Securities Act. The Company believes that each of such issuances was exempt from registration under the Securities Act in reliance on Section 4(a)(2)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the Company issued to certain investors 295,000 Class A Ordinary Shares (equivalent to 295 Class A Ordinary Shares post Reverse Stock Splits) which were converted from the ordinary shares of Legacy NewGenIvf pursuant to the terms of the Securities Purchase Agreement by and between A SPAC I Mini Acquisition Corp. and certain investors named therein (the “February Buyers”) on February 29, 2024. Pursuant to this Securities Purchase Agreement, A SPAC I Mini Acquisition Corp agreed to issue and sell to the February Buyers, in a private placement, an aggregate of up to $3,500,000 principal amount of convertible notes, consisting of one or more tranches: (i) an initial tranche of an aggregate principal amount of promissory notes of up to $1,750,000 and including an original issue discount of up to aggregate $122,500, and (ii) subsequent tranches of an aggregate principal amount of promissory notes of up to $1,750,000 and including an original issue discount of up to aggregate $122,500. The closing of the Initial Tranche took place on April 3, 2024. The Company also closed on a subsequent tranche of the aforementioned promissory notes in the principal amount of $250,000 by issuing and selling to the February Buyers shortly after the closing of the Business Combination, resulting in an aggregate principal amount of notes of $2,000,000 sold to the February Buyers. The form of these promissory notes is included as Exhibit 4.2 of the Form 6-K filed on April 4, 2024. The aforementioned Securities Purchase Agreement is included as Exhibit 4.1 of the Form 6-K filed on April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2024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2024, the Company entered into a Securities Purchase Agreement (“Securities Purchase Agreement”) with certain investors named therein (collectively, the “Buyers”), pursuant to which, amongst other things: (i) the Company agreed to sell, at an initial closing (and such initial closing, the “Initial Closing”), (a) a senior convertible note (the “Initial Note”) in the aggregate original principal amount not exceeding $1,100,000, convertible into Class A Ordinary Shares pursuant to its terms, (b) a warrant to purchase 1,325,301 Class A Ordinary Shares (such warrant, the “Series A Warrant” and prior to any Reverse Stock Splits), and (c) a warrant to purchase 180,722 Class A Ordinary Shares (the “Series B Warrant” and prior to any Reverse Stock Splits); and (ii) the Company may require each Buyer (or each Buyer may require the Company, as applicable) to participate in the sale of (a) one or more additional convertible notes (which aggregate original principal amount for all additional convertible notes shall not exceed $9,500,000) (the “Additional Notes”) and (b) related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is filed as Exhibit 4.1 of the Company’s current report on Form 6-K dated August 16, 2024 and is incorporated by reference herein. The Initial Note is filed as Exhibit 10.25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Securities Purchase Agreement, the Company entered into amendment and exchange agreements with certain holders of its convertible promissory notes (the “Existing Notes” and each of such amendment and exchange agreements, an “Amendment and Exchange Agreement”), pursuant to which the Company exchanged the Existing Notes by issuing, among other things, (i) senior convertible notes in the aggregate principal amount of $2,700,000 (the “Exchange Notes”, and, together with the Initial Note and the Additional Notes, the “Notes”) and (b) a series of warrants to initially acquire up to a certain number of Class A Ordinary Shares to the holders of the Existing Notes set forth therein (the “Exchange Warrants” and the Series A Warrants and the Series B Warrants, the “Warrants”). The Exchange Notes are in substantially similar form to the Initial Notes, which are discussed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Warrants expire nine years after the issuance date and are initially exercisable for an aggregate of 3,253,012 Class A Ordinary Shares (without reflecting any Reverse Stock Splits), subject to adjustment as provided therein. The Exchange Warrants may be exercised at any time after the exchange date, subject to the Maximum Percentage (as defined in the Exchange Warrants). The initial exercise price of the Exchange Warrants is $0.913 per share, subject to adjustment as provided therein. If at the time of exercise of the Exchange Warrants, there is no effective registration statement registering our Class A Ordinary Shares underlying such warrants, such warrants may be exercised on a cashless basis pursuant to their terms. The form of the Amendment and Exchange Agreement, the form of Exchange Notes, and the form of Exchange Warrants are filed as Exhibits 4.2, 4.3, and 4.4 to the Form 6-K dated August 16, 2024,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and the Buyers consummated the Initial Closing. The Initial Note sold in connection with the Securities Purchase Agreement bears an interest rate of 14.75% per annum and is convertible into the Company’s Class A Ordinary Shares as follows: the Conversion Amount (as defined in the Initial Note) into validly issued, fully paid and non-assessable Class A Ordinary Shares at the Conversion Rate (as defined in the Initial Note); subject to adjustment as provided therein. No fractional Class A Ordinary Shares are issuable upon any such conversion. A holder may convert the Initial Notes at any time after the initial issuance date of such Initial Note, subject to the Maximum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Initial Note is included as Exhibit A of the Securities Purchase Agreement filed as Exhibit 4.1 in the Form 6-K dated August 15,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Company also sold to the Buyers Series A Warrants to purchase an aggregate 1,325,301 Class A Ordinary Shares (without reflecting any Reverse Stock Splits) and Series B Warrants to purchase an aggregate 180,722 Class A Ordinary Shares (without reflecting any Reverse Stock Splits).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A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Warrants expire nine years after the issuance date and are initially exercisable for an aggregate of 1,325,301 Class A Ordinary Shares (the “Series A Warrant Shares”), subject to adjustment as provided therein. The initial exercise price of the Series A Warrants is $0.913 per share, subject to adjustment as provided therein. If at the time of exercise of the Series A Warrants, there is no effective registration statement registering the shares of our Ordinary Shares underlying such warrants, such warrants may be exercised on a cashless basis pursuant to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Warrants expire nine years after the issuance date and are initially exercisable for an aggregate of 180,722 Ordinary Shares, subject to adjustment as provided therein. The Series B Warrants may be exercised at any time on or after February 12, 2025 (the “Initial Exercise Eligibility Date”), subject to the Maximum Percentage. The initial exercise price of the Series B Warrants was prepaid, except for a nominal exercise price of $0.001 per share, subject to adjustment as provided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Series A Warrant and form of the Series B Warrant are included as Exhibit B of the Securities Purchase Agreement included as Exhibit 4.1 in the Form 6-K filed on August 16, 2024,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Tranche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the Company closed on the second tranche of the 2024 Debt Financing pursuant to the terms of the Securities Purchase Agreement. Under the second tranche, the Company sold the First Mandatory Additional Note in the aggregate principal amount of $500,000. The First Mandatory Additional Note is in substantially similar form to the Initial Note. Upon issuance of the First Mandatory Additional Note, the number of Class A Ordinary Shares issuable upon exercise of the Series A Warrant automatically increased to 2,236,446 (before any Reverse Stock Split adjustment). The First Mandatory Additional Note is included as Exhibit 4.1 in the Form 6-K filed on August 30, 2024, which is incorporated herein by reference.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2024, the Company </w:t>
      </w:r>
      <w:r>
        <w:rPr>
          <w:rFonts w:ascii="Times New Roman;Times;Serif" w:hAnsi="Times New Roman;Times;Serif"/>
          <w:b w:val="false"/>
          <w:i w:val="false"/>
          <w:caps w:val="false"/>
          <w:smallCaps w:val="false"/>
          <w:sz w:val="20"/>
          <w:shd w:fill="FFFFFF" w:val="clear"/>
        </w:rPr>
        <w:t xml:space="preserve">closed on the third tranche of the 2024 Debt Financing pursuant to the terms of the Securities Purchase Agreement. Under the third tranche, the Company sold the Second Mandatory Additional Note in the aggregate principal amount of $1,500,000. The Second Mandatory Additional Note is in substantially similar form to the Initial Note. </w:t>
      </w:r>
      <w:r>
        <w:rPr>
          <w:rFonts w:ascii="Times New Roman;Times;Serif" w:hAnsi="Times New Roman;Times;Serif"/>
          <w:b w:val="false"/>
          <w:i w:val="false"/>
          <w:caps w:val="false"/>
          <w:smallCaps w:val="false"/>
          <w:sz w:val="20"/>
        </w:rPr>
        <w:t xml:space="preserve">Upon issuance of the First Mandatory Additional Note, the number of Class A Ordinary Shares issuable upon exercise of the Series A Warrant automatically increased to 5,874,383 (before any Reverse Stock Split adjustments). </w:t>
      </w:r>
      <w:r>
        <w:rPr>
          <w:rFonts w:ascii="Times New Roman;Times;Serif" w:hAnsi="Times New Roman;Times;Serif"/>
          <w:b w:val="false"/>
          <w:i w:val="false"/>
          <w:caps w:val="false"/>
          <w:smallCaps w:val="false"/>
          <w:sz w:val="20"/>
          <w:shd w:fill="FFFFFF" w:val="clear"/>
        </w:rPr>
        <w:t>The Second Mandatory Additional Note is included as Exhibit 4.1 in the Form 6-K filed on November 15, 2024,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2025, the Company closed on the fourth tranche of the 2024 Debt Financing pursuant to the terms of the Securities Purchase Agreement. Under the fourth tranche, the Company sold a senior convertible note (the “Fourth Tranche Note”) in the original principal amount of $2,000,000. The Fourth Tranche Note is in substantially similar form to the Initial Note. Upon issuance of the note, the number of Class A Ordinary Shares issuable upon exercise of the Series A Warrant automatically increased to approximately 159,223 (on a post Reverse Stock Splits basis). </w:t>
      </w:r>
      <w:r>
        <w:rPr>
          <w:rFonts w:ascii="Times New Roman;Times;Serif" w:hAnsi="Times New Roman;Times;Serif"/>
          <w:b w:val="false"/>
          <w:i w:val="false"/>
          <w:caps w:val="false"/>
          <w:smallCaps w:val="false"/>
          <w:sz w:val="20"/>
          <w:shd w:fill="FFFFFF" w:val="clear"/>
        </w:rPr>
        <w:t>The Fourth Tranche Note is included as Exhibit 4.1 in the Form 6-K filed on April 3,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Fifth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16, 2025, the Company consummated the fifth tranche of </w:t>
      </w:r>
      <w:r>
        <w:rPr>
          <w:rFonts w:ascii="Times New Roman;Times;Serif" w:hAnsi="Times New Roman;Times;Serif"/>
          <w:b w:val="false"/>
          <w:i w:val="false"/>
          <w:caps w:val="false"/>
          <w:smallCaps w:val="false"/>
          <w:sz w:val="20"/>
          <w:shd w:fill="FFFFFF" w:val="clear"/>
        </w:rPr>
        <w:t>the 2024 Debt Financing</w:t>
      </w:r>
      <w:r>
        <w:rPr>
          <w:rFonts w:ascii="Times New Roman;Times;Serif" w:hAnsi="Times New Roman;Times;Serif"/>
          <w:b w:val="false"/>
          <w:i w:val="false"/>
          <w:caps w:val="false"/>
          <w:smallCaps w:val="false"/>
          <w:sz w:val="20"/>
        </w:rPr>
        <w:t xml:space="preserve"> under the terms of the Securities Purchase Agreement. At the closing of the fifth tranche, the Company sold to the Investor a senior convertible note (the “Fifth Tranche Note”) in the original principal amount of $2,000,000. The Note bears an interest rate of 14.75% per annum. The maximum number of Class A Ordinary Shares of the Company, no par value, which this note is issuable into is 6,923,990, based on a conversion price of $0.63 and assuming an interest rate of 14.75% through the fifty-four (54) month maturity of the Notes. Further the conversion price of the Note is subject to proportional adjustment upon the occurrence of any stock split, stock dividend, stock combination and/or similar transactions, and full-ratchet adjustment in connection with a subsequent offering at a per share price less than the fixed conversion price then in effect. The holder of the Note may convert any portion of the outstanding portion of the Note into validly issued, fully paid and non-assessable Class A Shares at the conversion price. No fractional Class A Shares are issuable upon any such conversion. If the issuance would result in the issuance of a fraction of a Class A Share, the Company shall round such fraction of a Class A Share up to the nearest whole share. </w:t>
      </w:r>
      <w:r>
        <w:rPr>
          <w:rFonts w:ascii="Times New Roman;Times;Serif" w:hAnsi="Times New Roman;Times;Serif"/>
          <w:b w:val="false"/>
          <w:i w:val="false"/>
          <w:caps w:val="false"/>
          <w:smallCaps w:val="false"/>
          <w:sz w:val="20"/>
          <w:shd w:fill="FFFFFF" w:val="clear"/>
        </w:rPr>
        <w:t>The Fourth Tranche Note is included as Exhibit 4.1 in the Form 6-K filed on July 16, 2025,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2024 and the date of this prospectus, the Company received gross proceeds of $7,100,000 and issued an aggregate of 705,722 Class A Ordinary Shares (on a post Reverse Stock Splits basis) to the Buyers.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up to approximately $13,455,317 in additional net proceeds from the 2024 Debt Financing if all remaining Additional Notes in the aggregate principal amount of $3,500,000 (the “Remaining Additional Notes”) issuable pursuant to the Securities Purchase Agreement are sold and (ii) the Series A Warrants are increased by 3,997,855 assuming that (A) all Remaining Additional Notes are sold and (B) an Additional Share Price is equal to $1.66 and (iii) all of the Warrants are exercised in full, based on the following assumptions (x) approximately $8,951,571 in net proceeds are received from the exercise of the Series A Warrants, assuming that the Series A Warrants are exercised in full at an exercise price of $1.66 and the number of Ordinary Shares issuable upon exercise of the Series A Warrants equals 5,392,949, (y) approximately $1,485 in net proceeds are received from the exercise of the Series B Warrants, assuming that the Series B Warrants are exercised in full at an exercise price of $0.020 per share, and (z) approximately $1,002,261 in net proceeds are received from the exercise of the Exchange Warrants, assuming that the Exchange Warrants are exercised in full at an exercise price of $1.66. The foregoing is subject to adjustment as set forth in the respective Notes and Warrants,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2025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new Securities Purchase Agreement (“2025 Securities Purchase Agreement”) with certain investors named therein (collectively, the “Buyers”), pursuant to which, amongst other things: (i) the Company agreed to sell, at an initial closing (and such initial closing, the “Initial Closing”) a senior convertible note (the “New CB Initial Note”) in the aggregate original principal amount not exceeding $3,200,000, convertible into Class A Ordinary Shares pursuant to its terms; and (ii) the Company may require each Buyer (or each Buyer may require the Company, as applicable) to participate in the sale of one or more additional convertible notes (which aggregate original principal amount for all additional convertible notes shall not exceed $25,600,000) (the “New CB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Securities Purchase Agreement is filed as Exhibit 4.1 of the Company’s current report on Form 6-K dated April 3, 2025 and is incorporated by reference herein. The first tranche of $3,200,000 was received on June 3,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Company entered into a Securities Purchase Agreement with Vanquish Funding Group Inc. (“First Vanquish SPA”), pursuant to which, amongst other things, (i) the Company agreed to sell a convertible note in the aggregate principal amount of $257,000, convertible into Class A Ordinary Shares pursuant to its terms; and (ii) the parties may agree to additional tranches of funding up to $2,200,000 during the following twelve months. The first tranche of $257,000 was received on October 15, 2025. The second tranche of $157,000 was received on November 10, 2025, pursuant to a second securities purchase agreement, which was on substantially the same terms as the First Vanquish SPA, except for the aggregate principal amount (“Second Vanquish SPA”). The third tranche of $107,000 was received on January 22, 2026, pursuant to a third securities purchase agreement, which was on substantially the same terms as the First Vanquish SPA, except for the aggregate principal amount (“Third Vanquish SPA”). As of the date of this prospectus, a total of 265,411 shares was issued to Vanquish. The First Vanquish SPA is filed as Exhibit 10.33, the Second Vanquish SPA is filed as Exhibit 10.34, and the Third Vanquish SPA is filed as Exhibit 10.35.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entered into a Securities Purchase Agreement with Labrys Fund II, L.P. (“Labrys SPA”), pursuant to which, amongst other things, (i) the Company agreed to sell a convertible note in the aggregate principal amount of $250,000, convertible into Class A Ordinary Shares pursuant to its terms and the funding of $250,000 was received on November 15, 2025. The Labrys SPA is filed as Exhibit 10.36.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2026 Debt Financing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 Securities Purchase Agreement with Boot Capital LLC (“Boot SPA”), pursuant to which, amongst other things, the Company agreed to sell a convertible note in the aggregate principal amount of $50,000, convertible into Class A Ordinary Shares pursuant to its terms and the funding of $50,000 was received on February 2, 2026. The Boot SPA and convertible note are filed as Exhibits 10.37 and 10.38.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2026, the Company entered into a Securities Purchase Agreement with CFI Capital LLC (“CFI Capital SPA”), pursuant to which, amongst other things, (i) the Company agreed to sell a convertible note in the aggregate principal amount of $220,000, convertible into Class A Ordinary Shares pursuant to its terms and the funding of $200,000 was received on March 23, 2026. The CFI Capital SPA and convertible note are filed as Exhibits 10.39 and 10.40.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entered into a Securities Purchase Agreement with FirstFire Global Opportunities Fund LLC (“FirstFire SPA”), pursuant to which, amongst other things, (i) the Company agreed to sell a convertible note in the aggregate principal amount of $220,000, convertible into Class A Ordinary Shares pursuant to its terms and the funding of $220,000 was received on or about March 31, 2026. The FirstFire SPA and convertible note are filed as Exhibits 10.41 and 10.42.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entered into a Securities Purchase Agreement with Silvercrest Hybrid Capital LLC (“Silvercrest SPA”), pursuant to which, amongst other things, (i) the Company agreed to sell a convertible note in the aggregate principal amount of $200,000, convertible into Class A Ordinary Shares pursuant to its terms and the funding of $220,000 was received on March 31, 2026. The Silvercrest SPA and convertible note are filed as Exhibits 10.43 and 10.44.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the Company entered into a Securities Purchase Agreement with Pacific Pier Capital II, LP (“Pacific Pier SPA”), pursuant to which, amongst other things, (i) the Company agreed to sell a convertible note in the aggregate principal amount of $200,000, convertible into Class A Ordinary Shares pursuant to its terms and the funding of $200,000 was received on April 18, 2026. The Pacific Pier SPA and convertible note are filed as Exhibits 10.45 and 10.46.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entered into an additional Securities Purchase Agreement with Labrys Fund II, L.P. (“Fourth Labrys SPA”), pursuant to which, amongst other things, (i) the Company agreed to sell a convertible note in the aggregate principal amount of $250,000, convertible into Class A Ordinary Shares pursuant to its terms and the funding of $250,000 was received on April 20, 2026. The Fourth Labrys SPA and convertible note are filed as Exhibits 10.47 and 10.48.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a Securities Purchase Agreement with White Lion Capital LLC, (“White Lion SPA”) pursuant to which, amongst other things, (i) the Company agreed to sell a convertible note in the aggregate principal amount of $200,000, convertible into Class A Ordinary Shares pursuant to its terms and the funding of $200,000 was received on April 30, 2026. The White Lion SPA and convertible note are filed as Exhibits 10.49 and 10.50.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White Lion 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2024, the Company entered into a Common Shares Purchase Agreement (the “White Lion Purchase Agreement”) with White Lion Capital, LLC (“White Lion”) and a related Registration Rights Agreement (the “RRA”). Pursuant to the White Lion Purchase Agreement, the Company has the right, but not the obligation, to require White Lion to purchase, from time to time, up to One Hundred Million Dollars ($100,000,000) in aggregate gross purchase price of newly issued Ordinary Shares, with an automatic increase to Three Hundred Million Dollars ($300,000,000) upon any substantial M&amp;A or Material Transaction (as defined in the White Lion Purchase Agreement) and a further option to increase to Five Hundred Million Dollars ($500,000,000) after Two Hundred and Fifty Million Dollars ($250,000,000) has been issued and sold to White Lion under the White Lion Purchase Agreement, subject to certain limitations and conditions set forth in the White Lion Purchase Agreement. The White Lion Purchase Agreement was included as Exhibit 10.27 of the Form F-1 registration statement filed on December 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700,000 Class A Ordinary Shares (equivalent to 4 Class A Ordinary Shares post Reverse Stock Splits) were issued to White Lion, in consideration for White Lion’s commitment pursuant to the White Lion Purchase Agreement. Between December 12, 2024 and the date of this prospectus, the Company received gross proceeds of $15,550,143 and issued an aggregate of 93,103 Class A Ordinary Shares (on a post-Reverse Stock Splits basis) to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MicroSort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the Company entered into a Purchase Agreement with Genetics &amp; IVF Institute, Inc. (“Purchase Agreement”), pursuant to which the Company purchased all of the Assets (as defined in the Purchase Agreement) and IP Licenses (as defined in the Purchase Agreement) relating to the MicroSort Business (as defined in the Purchase Agreement) from Genetics &amp; IVF Institute, Inc. for a cash consideration of $750,000 and a share consideration of 2,500,000 Class A Ordinary Shares (equivalent to 14 Class A Ordinary Shares post Sixth Reverse Stock Split) (“Share Consideration”). The Purchase Agreement is filed as Exhibit 10.30 in this registration statement. MicroSort Lab Services, LLC (“MicroSort”) was incorporated by Genetics &amp; IVF Institute, Inc. in January 2025 to hold all of the Assets (as defined in the Purchase Agreement) to be transferred to the Company at closing. The Company’s acquisition of MicroSort was completed on February 28, 2025, and the Share Consideration was issued to GIVF on the same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ASPAC Consulting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2025, the Company entered into a Consulting Services Agreement with A SPAC (Holdings) Group Corp (“ASPAC”), pursuant to which the Company engaged ASPAC for the provision of certain consulting services. It was agreed that the Company would provide consideration in the form of cash and shares. On March 3, 2025, the Company issued the 150,000 Class A Ordinary Shares to ASPAC (equivalent to 17 Class A Ordinary Shares adjusted for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have been omitted because either they are not required, are not applicable or the information required therein is otherwise set forth in the Company’s financial statements and related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60"/>
        <w:gridCol w:w="9366"/>
      </w:tblGrid>
      <w:tr>
        <w:trPr/>
        <w:tc>
          <w:tcPr>
            <w:tcW w:w="779" w:type="dxa"/>
            <w:tcBorders>
              <w:bottom w:val="single" w:sz="12" w:space="0" w:color="000000"/>
            </w:tcBorders>
            <w:vAlign w:val="center"/>
          </w:tcPr>
          <w:p>
            <w:pPr>
              <w:pStyle w:val="TableContents"/>
              <w:bidi w:val="0"/>
              <w:spacing w:before="0" w:after="283"/>
              <w:jc w:val="left"/>
              <w:rPr>
                <w:b/>
                <w:sz w:val="20"/>
              </w:rPr>
            </w:pPr>
            <w:r>
              <w:rPr>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366"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sz w:val="20"/>
              </w:rPr>
            </w:pPr>
            <w:r>
              <w:rPr>
                <w:sz w:val="20"/>
              </w:rPr>
              <w:t xml:space="preserve">Form of Placement Agency Agreement </w:t>
            </w:r>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19">
              <w:r>
                <w:rPr>
                  <w:rStyle w:val="InternetLink"/>
                  <w:sz w:val="20"/>
                </w:rPr>
                <w:t>Amended and Restated Memorandum and Articles of Association of the Company dated July 4, 2025 (incorporated by reference to Exhibit 3.1 of the Company’s Form 6-K filed with the SEC on July 7, 2025)</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0">
              <w:r>
                <w:rPr>
                  <w:rStyle w:val="InternetLink"/>
                  <w:sz w:val="20"/>
                </w:rPr>
                <w:t>Specimen Class A Ordinary Share Certificate of the Company (incorporated by reference to Exhibit 2.1 of the report on Form 20-F filed with the Securities and Exchange Commission on April 9,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1">
              <w:r>
                <w:rPr>
                  <w:rStyle w:val="InternetLink"/>
                  <w:sz w:val="20"/>
                </w:rPr>
                <w:t>Specimen Warrant Certificate of the Company (incorporated by reference to Exhibit 2.2 of the report on Form 20-F filed with the Securities and Exchange Commission on April 9,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2">
              <w:r>
                <w:rPr>
                  <w:rStyle w:val="InternetLink"/>
                  <w:sz w:val="20"/>
                </w:rPr>
                <w:t>Warrant Agreement, dated February 14, 2022, by and between ASCA and Continental Stock Transfer &amp; Trust Company (incorporated by reference to Exhibit 4.2 to ASCA’s Current Report on Form 8-K filed with the Securities and Exchange Commission on February 18, 2022)</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3">
              <w:r>
                <w:rPr>
                  <w:rStyle w:val="InternetLink"/>
                  <w:sz w:val="20"/>
                </w:rPr>
                <w:t>Form of Assumption of Warrant Agreement (incorporated by reference to Exhibit 4.7 to the Company’s registration statement on Form F-4 (File No. 333-275208), filed with the Securities and Exchange Commission on October 27,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sz w:val="20"/>
              </w:rPr>
            </w:pPr>
            <w:r>
              <w:rPr>
                <w:sz w:val="20"/>
              </w:rPr>
              <w:t>Form of Pre-funded Class A Ordinary Share Purchase Warrant</w:t>
            </w:r>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sz w:val="20"/>
              </w:rPr>
            </w:pPr>
            <w:r>
              <w:rPr>
                <w:sz w:val="20"/>
              </w:rPr>
              <w:t>Form of Class A Ordinary Share Purchase Warrant</w:t>
            </w:r>
          </w:p>
        </w:tc>
      </w:tr>
      <w:tr>
        <w:trPr/>
        <w:tc>
          <w:tcPr>
            <w:tcW w:w="779" w:type="dxa"/>
            <w:tcBorders/>
            <w:shd w:fill="CCEEFF" w:val="clear"/>
            <w:tcMar>
              <w:bottom w:w="0" w:type="dxa"/>
            </w:tcMar>
            <w:vAlign w:val="center"/>
          </w:tcPr>
          <w:p>
            <w:pPr>
              <w:pStyle w:val="TableContents"/>
              <w:bidi w:val="0"/>
              <w:spacing w:before="0" w:after="283"/>
              <w:jc w:val="both"/>
              <w:rPr>
                <w:sz w:val="20"/>
              </w:rPr>
            </w:pPr>
            <w:r>
              <w:rPr>
                <w:sz w:val="20"/>
              </w:rPr>
              <w:t>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66" w:type="dxa"/>
            <w:tcBorders/>
            <w:shd w:fill="CCEEFF" w:val="clear"/>
            <w:tcMar>
              <w:bottom w:w="0" w:type="dxa"/>
            </w:tcMar>
            <w:vAlign w:val="center"/>
          </w:tcPr>
          <w:p>
            <w:pPr>
              <w:pStyle w:val="TableContents"/>
              <w:bidi w:val="0"/>
              <w:spacing w:before="0" w:after="283"/>
              <w:jc w:val="both"/>
              <w:rPr>
                <w:sz w:val="20"/>
              </w:rPr>
            </w:pPr>
            <w:r>
              <w:rPr>
                <w:sz w:val="20"/>
              </w:rPr>
              <w:t>Opinion of Ogier</w:t>
            </w:r>
          </w:p>
        </w:tc>
      </w:tr>
      <w:tr>
        <w:trPr/>
        <w:tc>
          <w:tcPr>
            <w:tcW w:w="779" w:type="dxa"/>
            <w:tcBorders/>
            <w:shd w:fill="FFFFFF" w:val="clear"/>
            <w:tcMar>
              <w:bottom w:w="0" w:type="dxa"/>
            </w:tcMar>
            <w:vAlign w:val="center"/>
          </w:tcPr>
          <w:p>
            <w:pPr>
              <w:pStyle w:val="TableContents"/>
              <w:bidi w:val="0"/>
              <w:spacing w:before="0" w:after="283"/>
              <w:jc w:val="both"/>
              <w:rPr>
                <w:sz w:val="20"/>
              </w:rPr>
            </w:pPr>
            <w:r>
              <w:rPr>
                <w:sz w:val="20"/>
              </w:rPr>
              <w:t>5.2*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66" w:type="dxa"/>
            <w:tcBorders/>
            <w:shd w:fill="FFFFFF" w:val="clear"/>
            <w:tcMar>
              <w:bottom w:w="0" w:type="dxa"/>
            </w:tcMar>
            <w:vAlign w:val="center"/>
          </w:tcPr>
          <w:p>
            <w:pPr>
              <w:pStyle w:val="TableContents"/>
              <w:bidi w:val="0"/>
              <w:spacing w:before="0" w:after="283"/>
              <w:jc w:val="both"/>
              <w:rPr>
                <w:sz w:val="20"/>
              </w:rPr>
            </w:pPr>
            <w:r>
              <w:rPr>
                <w:sz w:val="20"/>
              </w:rPr>
              <w:t>Opinion of Han Kun Law Offices LLP</w:t>
            </w:r>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4">
              <w:r>
                <w:rPr>
                  <w:rStyle w:val="InternetLink"/>
                  <w:sz w:val="20"/>
                </w:rPr>
                <w:t>Merger Agreement, dated as of February 15, 2023, by and among ASCA, NewGenIvf Limited, certain shareholders of NewGenIvf Limited, A SPAC I Mini Acquisition Corp., and A SPAC I Mini Sub Acquisition Corp. (incorporated by reference to Exhibit 2.1 to ASCA’s Current Report on Form 8-K filed with the Securities and Exchange Commission on February 16, 2023)</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5">
              <w:r>
                <w:rPr>
                  <w:rStyle w:val="InternetLink"/>
                  <w:sz w:val="20"/>
                </w:rPr>
                <w:t>First Amendment to the Merger Agreement, dated June 12, 2023, by and among ASCA, NewGenIvf Limited, Principal Shareholders, A SPAC I Mini Acquisition Corp. and A SPAC I Mini Sub Acquisition Corp. (incorporated by reference to Exhibit 2.1 to ASCA’s Current Report on Form 8-K filed with the Securities and Exchange Commission on June 13,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6">
              <w:r>
                <w:rPr>
                  <w:rStyle w:val="InternetLink"/>
                  <w:sz w:val="20"/>
                </w:rPr>
                <w:t>Second Amendment to the Merger Agreement, dated December 6, 2023, by and among ASCA, NewGenIvf Limited, Principal Shareholders, A SPAC I Mini Acquisition Corp. and A SPAC I Mini Sub Acquisition Corp. (incorporated by reference to Exhibit 2.1 to ASCA’s Current Report on Form 8-K filed with the Securities and Exchange Commission on December 6, 2023)</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7">
              <w:r>
                <w:rPr>
                  <w:rStyle w:val="InternetLink"/>
                  <w:sz w:val="20"/>
                </w:rPr>
                <w:t>Third Amendment to the Merger Agreement, dated March 1, 2024, by and among ASCA, NewGenIvf Limited, Principal Shareholders, A SPAC I Mini Acquisition Corp. and A SPAC I Mini Sub Acquisition Corp. (incorporated by reference to Exhibit 2.1 to ASCA’s Current Report on Form 8-K filed with the Securities and Exchange Commission on March 6,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28">
              <w:r>
                <w:rPr>
                  <w:rStyle w:val="InternetLink"/>
                  <w:sz w:val="20"/>
                </w:rPr>
                <w:t>Stock Escrow Agreement, dated February 14, 2022 by and between ASCA and Continental Stock Transfer &amp; Trust Company (incorporated by reference to Exhibit 10.5 to ASCA’s Current Report on Form 8-K filed with the Securities and Exchange Commission on February 18, 2022)</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29">
              <w:r>
                <w:rPr>
                  <w:rStyle w:val="InternetLink"/>
                  <w:sz w:val="20"/>
                </w:rPr>
                <w:t>Voting and Support Agreement, dated as of February 15, 2023, by and among A SPAC I Acquisition Corp., A SPAC I Mini Acquisition Corp., NewGenIvf Limited, and certain shareholders of NewGenIvf Limited (incorporated by reference to Exhibit 10.1 to ASCA’s Current Report on Form 8-K filed with the Securities and Exchange Commission on February 16, 2023)</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0">
              <w:r>
                <w:rPr>
                  <w:rStyle w:val="InternetLink"/>
                  <w:sz w:val="20"/>
                </w:rPr>
                <w:t>Form of Amended and Restated Registration Rights Agreement (incorporated by reference to Exhibit 10.2 to ASCA’s Current Report on Form 8-K filed with the Securities and Exchange Commission on February 16, 2023)</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1">
              <w:r>
                <w:rPr>
                  <w:rStyle w:val="InternetLink"/>
                  <w:sz w:val="20"/>
                </w:rPr>
                <w:t>Form of Lock-Up Agreement (incorporated by reference to exhibit 4.8 of the Company’s report on Form 20-F filed with the SEC on April 9,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2">
              <w:r>
                <w:rPr>
                  <w:rStyle w:val="InternetLink"/>
                  <w:sz w:val="20"/>
                </w:rPr>
                <w:t>Securities Purchase Agreement, dated February 29, 2024, by and among ASCA, The Company, Legacy NewGenIvf, the Buyers and Merger Sub (incorporated by reference to Exhibit 10.1 to ASCA’s Current Report on Form 8-K filed with the Securities and Exchange Commission on March 6,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3">
              <w:r>
                <w:rPr>
                  <w:rStyle w:val="InternetLink"/>
                  <w:sz w:val="20"/>
                </w:rPr>
                <w:t>Form of Note between The Company and the Buyers (incorporated by reference to Exhibit 10.2 to ASCA’s Current Report on Form 8-K filed with the Securities and Exchange Commission on March 6, 2024)</w:t>
              </w:r>
            </w:hyperlink>
          </w:p>
        </w:tc>
      </w:tr>
      <w:tr>
        <w:trPr/>
        <w:tc>
          <w:tcPr>
            <w:tcW w:w="779" w:type="dxa"/>
            <w:tcBorders/>
            <w:shd w:fill="CCEEFF" w:val="clear"/>
            <w:tcMar>
              <w:bottom w:w="0" w:type="dxa"/>
            </w:tcMar>
            <w:vAlign w:val="center"/>
          </w:tcPr>
          <w:p>
            <w:pPr>
              <w:pStyle w:val="TableContents"/>
              <w:bidi w:val="0"/>
              <w:spacing w:before="0" w:after="283"/>
              <w:jc w:val="left"/>
              <w:rPr>
                <w:sz w:val="20"/>
              </w:rPr>
            </w:pPr>
            <w:r>
              <w:rPr>
                <w:sz w:val="20"/>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6" w:type="dxa"/>
            <w:tcBorders/>
            <w:shd w:fill="CCEEFF" w:val="clear"/>
            <w:tcMar>
              <w:bottom w:w="0" w:type="dxa"/>
            </w:tcMar>
            <w:vAlign w:val="center"/>
          </w:tcPr>
          <w:p>
            <w:pPr>
              <w:pStyle w:val="TableContents"/>
              <w:bidi w:val="0"/>
              <w:spacing w:before="0" w:after="283"/>
              <w:jc w:val="both"/>
              <w:rPr/>
            </w:pPr>
            <w:hyperlink r:id="rId34">
              <w:r>
                <w:rPr>
                  <w:rStyle w:val="InternetLink"/>
                  <w:sz w:val="20"/>
                </w:rPr>
                <w:t>Acknowledgement Agreement, dated March 1, 2024, by and among ASCA, Legacy NewGenIvf and Chardan (incorporated by reference to Exhibit 10.3 to ASCA’s Current Report on Form 8-K filed with the Securities and Exchange Commission on March 6, 2024)</w:t>
              </w:r>
            </w:hyperlink>
          </w:p>
        </w:tc>
      </w:tr>
      <w:tr>
        <w:trPr/>
        <w:tc>
          <w:tcPr>
            <w:tcW w:w="779" w:type="dxa"/>
            <w:tcBorders/>
            <w:shd w:fill="FFFFFF" w:val="clear"/>
            <w:tcMar>
              <w:bottom w:w="0" w:type="dxa"/>
            </w:tcMar>
            <w:vAlign w:val="center"/>
          </w:tcPr>
          <w:p>
            <w:pPr>
              <w:pStyle w:val="TableContents"/>
              <w:bidi w:val="0"/>
              <w:spacing w:before="0" w:after="283"/>
              <w:jc w:val="left"/>
              <w:rPr>
                <w:sz w:val="20"/>
              </w:rPr>
            </w:pPr>
            <w:r>
              <w:rPr>
                <w:sz w:val="20"/>
              </w:rPr>
              <w:t>10.12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66" w:type="dxa"/>
            <w:tcBorders/>
            <w:shd w:fill="FFFFFF" w:val="clear"/>
            <w:tcMar>
              <w:bottom w:w="0" w:type="dxa"/>
            </w:tcMar>
            <w:vAlign w:val="center"/>
          </w:tcPr>
          <w:p>
            <w:pPr>
              <w:pStyle w:val="TableContents"/>
              <w:bidi w:val="0"/>
              <w:spacing w:before="0" w:after="283"/>
              <w:jc w:val="both"/>
              <w:rPr/>
            </w:pPr>
            <w:hyperlink r:id="rId35">
              <w:r>
                <w:rPr>
                  <w:rStyle w:val="InternetLink"/>
                  <w:sz w:val="20"/>
                </w:rPr>
                <w:t>Power Generator Lease Contract, dated January 10, 2021, between BD &amp; H TECH Co., LTD. and First Fertility Phnom Penh Ltd (English Translation) (incorporated by reference to Exhibit 10.19 to the Company’s registration statement on Form F-4 (File No. 333-275208), filed with the Securities and Exchange Commission on October 27, 2023)</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283"/>
              <w:jc w:val="left"/>
              <w:rPr>
                <w:sz w:val="20"/>
              </w:rPr>
            </w:pPr>
            <w:r>
              <w:rPr>
                <w:sz w:val="20"/>
              </w:rPr>
              <w:t>10.13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6">
              <w:r>
                <w:rPr>
                  <w:rStyle w:val="InternetLink"/>
                  <w:sz w:val="20"/>
                </w:rPr>
                <w:t>Property Lease Contract, dated June 22, 2020, between SOK HEANG and First Fertility Phnom Penh Ltd (English Translation) (incorporated by reference to Exhibit 10.20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7">
              <w:r>
                <w:rPr>
                  <w:rStyle w:val="InternetLink"/>
                  <w:sz w:val="20"/>
                </w:rPr>
                <w:t>MicroSort Lease and Services Agreement, dated March 29, 2019, between First Fertility Phnom Penh Ltd and MicroSort International (incorporated by reference to Exhibit 10.21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38">
              <w:r>
                <w:rPr>
                  <w:rStyle w:val="InternetLink"/>
                  <w:sz w:val="20"/>
                </w:rPr>
                <w:t>Management and Administrative Services Agreement, dated November 1, 2022, between First Fertility PGS Center Ltd and Med Holdings Ltd (incorporated by reference to Exhibit 10.22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39">
              <w:r>
                <w:rPr>
                  <w:rStyle w:val="InternetLink"/>
                  <w:sz w:val="20"/>
                </w:rPr>
                <w:t>MicroSort Lease and Services Agreement, dated April, 8, 2019, between First Fertility PGS Center Ltd. and MicroSort International (incorporated by reference to Exhibit 10.23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0">
              <w:r>
                <w:rPr>
                  <w:rStyle w:val="InternetLink"/>
                  <w:sz w:val="20"/>
                </w:rPr>
                <w:t>Medical Consulting Service Agreement, dated January 1, 2021, between First Fertility PGS Center Ltd and First Fertility Phnom Penh Ltd (incorporated by reference to Exhibit 10.24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10.18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1">
              <w:r>
                <w:rPr>
                  <w:rStyle w:val="InternetLink"/>
                  <w:sz w:val="20"/>
                </w:rPr>
                <w:t>Receivables Purchase Agreement, dated December, 28, 2022, between First Fertility PGS Center Ltd and Mr. Siu, Wing Fung Alfred (incorporated by reference to Exhibit 10.25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10.19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2">
              <w:r>
                <w:rPr>
                  <w:rStyle w:val="InternetLink"/>
                  <w:sz w:val="20"/>
                </w:rPr>
                <w:t>Master Services Agreement, dated December 21, 2022, between First Fertility PGS Center Ltd and First Fertility Phnom Penh Ltd (incorporated by reference to Exhibit 10.26 to the Company’s registration statement on Form F-4 (File No. 333-275208), filed with the Securities and Exchange Commission on October 27, 2023)</w:t>
              </w:r>
            </w:hyperlink>
          </w:p>
        </w:tc>
      </w:tr>
      <w:tr>
        <w:trPr/>
        <w:tc>
          <w:tcPr>
            <w:tcW w:w="500" w:type="dxa"/>
            <w:tcBorders/>
            <w:shd w:fill="FFFFFF" w:val="clear"/>
            <w:vAlign w:val="center"/>
          </w:tcPr>
          <w:p>
            <w:pPr>
              <w:pStyle w:val="TableContents"/>
              <w:bidi w:val="0"/>
              <w:spacing w:before="0" w:after="283"/>
              <w:jc w:val="left"/>
              <w:rPr>
                <w:sz w:val="20"/>
              </w:rPr>
            </w:pPr>
            <w:r>
              <w:rPr>
                <w:sz w:val="20"/>
              </w:rPr>
              <w:t>10.20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3">
              <w:r>
                <w:rPr>
                  <w:rStyle w:val="InternetLink"/>
                  <w:sz w:val="20"/>
                </w:rPr>
                <w:t>Form of Agreement for Storage of Embryos, Eggs, and Sperms Service between First Fertility PGS Center Ltd and Reproductive Expert Co Ltd (incorporated by reference to Exhibit 10.27 to the Company’s registration statement on Form F-4 (File No. 333-275208), filed with the Securities and Exchange Commission on October 27, 2023)</w:t>
              </w:r>
            </w:hyperlink>
          </w:p>
        </w:tc>
      </w:tr>
      <w:tr>
        <w:trPr/>
        <w:tc>
          <w:tcPr>
            <w:tcW w:w="500" w:type="dxa"/>
            <w:tcBorders/>
            <w:shd w:fill="CCEEFF" w:val="clear"/>
            <w:vAlign w:val="center"/>
          </w:tcPr>
          <w:p>
            <w:pPr>
              <w:pStyle w:val="TableContents"/>
              <w:bidi w:val="0"/>
              <w:spacing w:before="0" w:after="283"/>
              <w:jc w:val="left"/>
              <w:rPr>
                <w:sz w:val="20"/>
              </w:rPr>
            </w:pPr>
            <w:r>
              <w:rPr>
                <w:sz w:val="20"/>
              </w:rPr>
              <w:t>10.21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4">
              <w:r>
                <w:rPr>
                  <w:rStyle w:val="InternetLink"/>
                  <w:sz w:val="20"/>
                </w:rPr>
                <w:t>Form of NewGenIvf Group Limited 2024 Share Incentive Plan (incorporated by reference to exhibit 4.21 of the Company’s report on Form 20-F filed with the SEC on April 9, 2024)</w:t>
              </w:r>
            </w:hyperlink>
          </w:p>
        </w:tc>
      </w:tr>
      <w:tr>
        <w:trPr/>
        <w:tc>
          <w:tcPr>
            <w:tcW w:w="500" w:type="dxa"/>
            <w:tcBorders/>
            <w:shd w:fill="FFFFFF" w:val="clear"/>
            <w:vAlign w:val="center"/>
          </w:tcPr>
          <w:p>
            <w:pPr>
              <w:pStyle w:val="TableContents"/>
              <w:bidi w:val="0"/>
              <w:spacing w:before="0" w:after="283"/>
              <w:jc w:val="left"/>
              <w:rPr>
                <w:sz w:val="20"/>
              </w:rPr>
            </w:pPr>
            <w:r>
              <w:rPr>
                <w:sz w:val="20"/>
              </w:rPr>
              <w:t>10.22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5">
              <w:r>
                <w:rPr>
                  <w:rStyle w:val="InternetLink"/>
                  <w:sz w:val="20"/>
                </w:rPr>
                <w:t>Securities Purchase Agreement between A SPAC I Mini Acquisition Corp. and JAK Opportunities VI LLC dated February 29, 2024 (incorporated by reference to Exhibit 4.1 of the Company’s current report on Form 6-K filed with the SEC on April 4, 2024)</w:t>
              </w:r>
            </w:hyperlink>
          </w:p>
        </w:tc>
      </w:tr>
      <w:tr>
        <w:trPr/>
        <w:tc>
          <w:tcPr>
            <w:tcW w:w="500" w:type="dxa"/>
            <w:tcBorders/>
            <w:shd w:fill="CCEEFF" w:val="clear"/>
            <w:vAlign w:val="center"/>
          </w:tcPr>
          <w:p>
            <w:pPr>
              <w:pStyle w:val="TableContents"/>
              <w:bidi w:val="0"/>
              <w:spacing w:before="0" w:after="283"/>
              <w:jc w:val="left"/>
              <w:rPr>
                <w:sz w:val="20"/>
              </w:rPr>
            </w:pPr>
            <w:r>
              <w:rPr>
                <w:sz w:val="20"/>
              </w:rPr>
              <w:t>10.23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6">
              <w:r>
                <w:rPr>
                  <w:rStyle w:val="InternetLink"/>
                  <w:sz w:val="20"/>
                </w:rPr>
                <w:t>Form of Note between A SPAC I Mini Acquisition Corp. and JAK Opportunities VI LLC dated February 29, 2024 (incorporated by reference to Exhibit 4.2 of the Company’s current report on Form 6-K filed with the SEC on April 4, 2024)</w:t>
              </w:r>
            </w:hyperlink>
          </w:p>
        </w:tc>
      </w:tr>
      <w:tr>
        <w:trPr/>
        <w:tc>
          <w:tcPr>
            <w:tcW w:w="500" w:type="dxa"/>
            <w:tcBorders/>
            <w:shd w:fill="FFFFFF" w:val="clear"/>
            <w:vAlign w:val="center"/>
          </w:tcPr>
          <w:p>
            <w:pPr>
              <w:pStyle w:val="TableContents"/>
              <w:bidi w:val="0"/>
              <w:spacing w:before="0" w:after="283"/>
              <w:jc w:val="left"/>
              <w:rPr>
                <w:sz w:val="20"/>
              </w:rPr>
            </w:pPr>
            <w:r>
              <w:rPr>
                <w:sz w:val="20"/>
              </w:rPr>
              <w:t>10.24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7">
              <w:r>
                <w:rPr>
                  <w:rStyle w:val="InternetLink"/>
                  <w:sz w:val="20"/>
                </w:rPr>
                <w:t>Securities Purchase Agreement between the Company and certain buyers dated August 7, 2024 (incorporated by reference to Exhibit 4.1 of the Company’s current report on Form 6-K filed with the SEC on August 16, 2024)</w:t>
              </w:r>
            </w:hyperlink>
          </w:p>
        </w:tc>
      </w:tr>
      <w:tr>
        <w:trPr/>
        <w:tc>
          <w:tcPr>
            <w:tcW w:w="500" w:type="dxa"/>
            <w:tcBorders/>
            <w:shd w:fill="CCEEFF" w:val="clear"/>
            <w:vAlign w:val="center"/>
          </w:tcPr>
          <w:p>
            <w:pPr>
              <w:pStyle w:val="TableContents"/>
              <w:bidi w:val="0"/>
              <w:spacing w:before="0" w:after="283"/>
              <w:jc w:val="left"/>
              <w:rPr>
                <w:sz w:val="20"/>
              </w:rPr>
            </w:pPr>
            <w:r>
              <w:rPr>
                <w:sz w:val="20"/>
              </w:rPr>
              <w:t>10.25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48">
              <w:r>
                <w:rPr>
                  <w:rStyle w:val="InternetLink"/>
                  <w:sz w:val="20"/>
                </w:rPr>
                <w:t>Form of Note between the Company and JAK Opportunities VI LLC dated August 7, 2024 (incorporated by reference to Exhibit 10.25 of the Company’s registration statement on Form F-1 (File No. 333-281964), filed with the Securities and Exchange Commission on September 6, 2024</w:t>
              </w:r>
            </w:hyperlink>
          </w:p>
        </w:tc>
      </w:tr>
      <w:tr>
        <w:trPr/>
        <w:tc>
          <w:tcPr>
            <w:tcW w:w="500" w:type="dxa"/>
            <w:tcBorders/>
            <w:shd w:fill="FFFFFF" w:val="clear"/>
            <w:vAlign w:val="center"/>
          </w:tcPr>
          <w:p>
            <w:pPr>
              <w:pStyle w:val="TableContents"/>
              <w:bidi w:val="0"/>
              <w:spacing w:before="0" w:after="283"/>
              <w:jc w:val="left"/>
              <w:rPr>
                <w:sz w:val="20"/>
              </w:rPr>
            </w:pPr>
            <w:r>
              <w:rPr>
                <w:sz w:val="20"/>
              </w:rPr>
              <w:t>10.26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49">
              <w:r>
                <w:rPr>
                  <w:rStyle w:val="InternetLink"/>
                  <w:sz w:val="20"/>
                </w:rPr>
                <w:t>Form of Note between the Company and JAK Opportunities VI LLC dated August 28, 2024 (incorporated by reference to Exhibit 4.1 of the Company’s current report on Form 6-K filed with the SEC on August 30, 2024)</w:t>
              </w:r>
            </w:hyperlink>
            <w:r>
              <w:rPr/>
              <w:t> </w:t>
            </w:r>
          </w:p>
        </w:tc>
      </w:tr>
      <w:tr>
        <w:trPr/>
        <w:tc>
          <w:tcPr>
            <w:tcW w:w="500" w:type="dxa"/>
            <w:tcBorders/>
            <w:shd w:fill="CCEEFF" w:val="clear"/>
            <w:vAlign w:val="center"/>
          </w:tcPr>
          <w:p>
            <w:pPr>
              <w:pStyle w:val="TableContents"/>
              <w:bidi w:val="0"/>
              <w:spacing w:before="0" w:after="283"/>
              <w:jc w:val="left"/>
              <w:rPr>
                <w:sz w:val="20"/>
              </w:rPr>
            </w:pPr>
            <w:r>
              <w:rPr>
                <w:sz w:val="20"/>
              </w:rPr>
              <w:t>10.27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0">
              <w:r>
                <w:rPr>
                  <w:rStyle w:val="InternetLink"/>
                  <w:sz w:val="20"/>
                </w:rPr>
                <w:t>Common Stock Purchase Agreement between the Company and White Lion Capital, LLC dated November 21, 2024 (incorporated by reference to Exhibit 10.27 of the Company’s registration statement on Form F-1 (File No. 333-283421), filed with the Securities and Exchange Commission on November 22, 2024)</w:t>
              </w:r>
            </w:hyperlink>
          </w:p>
        </w:tc>
      </w:tr>
      <w:tr>
        <w:trPr/>
        <w:tc>
          <w:tcPr>
            <w:tcW w:w="500" w:type="dxa"/>
            <w:tcBorders/>
            <w:shd w:fill="FFFFFF" w:val="clear"/>
            <w:vAlign w:val="center"/>
          </w:tcPr>
          <w:p>
            <w:pPr>
              <w:pStyle w:val="TableContents"/>
              <w:bidi w:val="0"/>
              <w:spacing w:before="0" w:after="283"/>
              <w:jc w:val="left"/>
              <w:rPr>
                <w:sz w:val="20"/>
              </w:rPr>
            </w:pPr>
            <w:r>
              <w:rPr>
                <w:sz w:val="20"/>
              </w:rPr>
              <w:t>10.28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283"/>
              <w:jc w:val="both"/>
              <w:rPr/>
            </w:pPr>
            <w:hyperlink r:id="rId51">
              <w:r>
                <w:rPr>
                  <w:rStyle w:val="InternetLink"/>
                  <w:sz w:val="20"/>
                </w:rPr>
                <w:t>Registration Rights Agreement between the Company and White Lion Capital, LLC dated November 21, 2024 (incorporated by reference to Exhibit 10.28 of the Company’s registration statement on Form F-1 (File No. 333-283421), filed with the Securities and Exchange Commission on November 22, 2024)</w:t>
              </w:r>
            </w:hyperlink>
          </w:p>
        </w:tc>
      </w:tr>
      <w:tr>
        <w:trPr/>
        <w:tc>
          <w:tcPr>
            <w:tcW w:w="500" w:type="dxa"/>
            <w:tcBorders/>
            <w:shd w:fill="CCEEFF" w:val="clear"/>
            <w:vAlign w:val="center"/>
          </w:tcPr>
          <w:p>
            <w:pPr>
              <w:pStyle w:val="TableContents"/>
              <w:bidi w:val="0"/>
              <w:spacing w:before="0" w:after="283"/>
              <w:jc w:val="left"/>
              <w:rPr>
                <w:sz w:val="20"/>
              </w:rPr>
            </w:pPr>
            <w:r>
              <w:rPr>
                <w:sz w:val="20"/>
              </w:rPr>
              <w:t>10.29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283"/>
              <w:jc w:val="both"/>
              <w:rPr/>
            </w:pPr>
            <w:hyperlink r:id="rId52">
              <w:r>
                <w:rPr>
                  <w:rStyle w:val="InternetLink"/>
                  <w:sz w:val="20"/>
                </w:rPr>
                <w:t>Form of Note between the Company and JAK Opportunities VI LLC dated November 11, 2024 (incorporated by reference to Exhibit 4.1 of the Company’s current report on Form 6-K filed with the SEC on November 15,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38"/>
        <w:gridCol w:w="60"/>
        <w:gridCol w:w="9507"/>
      </w:tblGrid>
      <w:tr>
        <w:trPr/>
        <w:tc>
          <w:tcPr>
            <w:tcW w:w="638" w:type="dxa"/>
            <w:tcBorders/>
            <w:shd w:fill="CCEEFF" w:val="clear"/>
            <w:vAlign w:val="center"/>
          </w:tcPr>
          <w:p>
            <w:pPr>
              <w:pStyle w:val="TableContents"/>
              <w:bidi w:val="0"/>
              <w:spacing w:before="0" w:after="283"/>
              <w:jc w:val="left"/>
              <w:rPr>
                <w:sz w:val="20"/>
              </w:rPr>
            </w:pPr>
            <w:r>
              <w:rPr>
                <w:sz w:val="20"/>
              </w:rPr>
              <w:t>10.30</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r:id="rId53">
              <w:r>
                <w:rPr>
                  <w:rStyle w:val="InternetLink"/>
                  <w:sz w:val="20"/>
                </w:rPr>
                <w:t>Purchase Agreement between the Company and Genetics and IVF Institute, Inc. dated January 21, 2025 (incorporated by reference to Exhibit 10.30 of the Company’s registration statement on Form F-1 (File No. 333-285629, filed with the Securities and Exchange Commission on March 7, 2025)</w:t>
              </w:r>
            </w:hyperlink>
          </w:p>
        </w:tc>
      </w:tr>
      <w:tr>
        <w:trPr/>
        <w:tc>
          <w:tcPr>
            <w:tcW w:w="638" w:type="dxa"/>
            <w:tcBorders/>
            <w:shd w:fill="FFFFFF" w:val="clear"/>
            <w:vAlign w:val="center"/>
          </w:tcPr>
          <w:p>
            <w:pPr>
              <w:pStyle w:val="TableContents"/>
              <w:bidi w:val="0"/>
              <w:spacing w:before="0" w:after="283"/>
              <w:jc w:val="left"/>
              <w:rPr>
                <w:sz w:val="20"/>
              </w:rPr>
            </w:pPr>
            <w:r>
              <w:rPr>
                <w:sz w:val="20"/>
              </w:rPr>
              <w:t>10.31</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r:id="rId54">
              <w:r>
                <w:rPr>
                  <w:rStyle w:val="InternetLink"/>
                  <w:sz w:val="20"/>
                </w:rPr>
                <w:t>Consulting Services Agreement between the Company and A SPAC (Holdings) Limited dated February 24, 2025 (incorporated by reference to Exhibit 10.31 of the Company’s registration statement on Form F-1 (File No. 333-285629, filed with the Securities and Exchange Commission on March 7, 2025)</w:t>
              </w:r>
            </w:hyperlink>
          </w:p>
        </w:tc>
      </w:tr>
      <w:tr>
        <w:trPr/>
        <w:tc>
          <w:tcPr>
            <w:tcW w:w="638" w:type="dxa"/>
            <w:tcBorders/>
            <w:shd w:fill="CCEEFF" w:val="clear"/>
            <w:vAlign w:val="center"/>
          </w:tcPr>
          <w:p>
            <w:pPr>
              <w:pStyle w:val="TableContents"/>
              <w:bidi w:val="0"/>
              <w:spacing w:before="0" w:after="283"/>
              <w:jc w:val="left"/>
              <w:rPr>
                <w:sz w:val="20"/>
              </w:rPr>
            </w:pPr>
            <w:r>
              <w:rPr>
                <w:sz w:val="20"/>
              </w:rPr>
              <w:t>10.32</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r:id="rId55">
              <w:r>
                <w:rPr>
                  <w:rStyle w:val="InternetLink"/>
                  <w:sz w:val="20"/>
                </w:rPr>
                <w:t>Securities Purchase Agreement between the Company and certain buyers dated April 1, 2025 (incorporated by reference to Exhibit 4.1 of the Company’s current report on Form 6-K filed with the SEC on April 3, 2025)</w:t>
              </w:r>
            </w:hyperlink>
          </w:p>
        </w:tc>
      </w:tr>
      <w:tr>
        <w:trPr/>
        <w:tc>
          <w:tcPr>
            <w:tcW w:w="638" w:type="dxa"/>
            <w:tcBorders/>
            <w:shd w:fill="FFFFFF" w:val="clear"/>
            <w:vAlign w:val="center"/>
          </w:tcPr>
          <w:p>
            <w:pPr>
              <w:pStyle w:val="TableContents"/>
              <w:bidi w:val="0"/>
              <w:spacing w:before="0" w:after="283"/>
              <w:jc w:val="left"/>
              <w:rPr>
                <w:sz w:val="20"/>
              </w:rPr>
            </w:pPr>
            <w:r>
              <w:rPr>
                <w:sz w:val="20"/>
              </w:rPr>
              <w:t>10.33</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33.htm">
              <w:r>
                <w:rPr>
                  <w:rStyle w:val="InternetLink"/>
                  <w:sz w:val="20"/>
                </w:rPr>
                <w:t>Securities Purchase Agreement between the Company and Vanquish Funding Group Inc. dated October 15, 2025</w:t>
              </w:r>
            </w:hyperlink>
          </w:p>
        </w:tc>
      </w:tr>
      <w:tr>
        <w:trPr/>
        <w:tc>
          <w:tcPr>
            <w:tcW w:w="638" w:type="dxa"/>
            <w:tcBorders/>
            <w:shd w:fill="CCEEFF" w:val="clear"/>
            <w:vAlign w:val="center"/>
          </w:tcPr>
          <w:p>
            <w:pPr>
              <w:pStyle w:val="TableContents"/>
              <w:bidi w:val="0"/>
              <w:spacing w:before="0" w:after="283"/>
              <w:jc w:val="left"/>
              <w:rPr>
                <w:sz w:val="20"/>
              </w:rPr>
            </w:pPr>
            <w:r>
              <w:rPr>
                <w:sz w:val="20"/>
              </w:rPr>
              <w:t>10.34</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w:anchor="ea029710201ex10-34.htm">
              <w:r>
                <w:rPr>
                  <w:rStyle w:val="InternetLink"/>
                  <w:sz w:val="20"/>
                </w:rPr>
                <w:t>Securities Purchase Agreement between the Company and Vanquish Funding Group Inc. dated November 4, 2025</w:t>
              </w:r>
            </w:hyperlink>
          </w:p>
        </w:tc>
      </w:tr>
      <w:tr>
        <w:trPr/>
        <w:tc>
          <w:tcPr>
            <w:tcW w:w="638" w:type="dxa"/>
            <w:tcBorders/>
            <w:shd w:fill="FFFFFF" w:val="clear"/>
            <w:vAlign w:val="center"/>
          </w:tcPr>
          <w:p>
            <w:pPr>
              <w:pStyle w:val="TableContents"/>
              <w:bidi w:val="0"/>
              <w:spacing w:before="0" w:after="283"/>
              <w:jc w:val="left"/>
              <w:rPr>
                <w:sz w:val="20"/>
              </w:rPr>
            </w:pPr>
            <w:r>
              <w:rPr>
                <w:sz w:val="20"/>
              </w:rPr>
              <w:t>10.35</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35.htm">
              <w:r>
                <w:rPr>
                  <w:rStyle w:val="InternetLink"/>
                  <w:sz w:val="20"/>
                </w:rPr>
                <w:t>Securities Purchase Agreement between the Company and Vanquish Funding Group Inc. dated January 22, 2026</w:t>
              </w:r>
            </w:hyperlink>
          </w:p>
        </w:tc>
      </w:tr>
      <w:tr>
        <w:trPr/>
        <w:tc>
          <w:tcPr>
            <w:tcW w:w="638" w:type="dxa"/>
            <w:tcBorders/>
            <w:shd w:fill="CCEEFF" w:val="clear"/>
            <w:vAlign w:val="center"/>
          </w:tcPr>
          <w:p>
            <w:pPr>
              <w:pStyle w:val="TableContents"/>
              <w:bidi w:val="0"/>
              <w:spacing w:before="0" w:after="283"/>
              <w:jc w:val="left"/>
              <w:rPr>
                <w:sz w:val="20"/>
              </w:rPr>
            </w:pPr>
            <w:r>
              <w:rPr>
                <w:sz w:val="20"/>
              </w:rPr>
              <w:t>10.36</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w:anchor="ea029710201ex10-36.htm">
              <w:r>
                <w:rPr>
                  <w:rStyle w:val="InternetLink"/>
                  <w:sz w:val="20"/>
                </w:rPr>
                <w:t>Securities Purchase Agreement between the Company and Labrys Fund II, L.P. dated November 12, 2025</w:t>
              </w:r>
            </w:hyperlink>
          </w:p>
        </w:tc>
      </w:tr>
      <w:tr>
        <w:trPr/>
        <w:tc>
          <w:tcPr>
            <w:tcW w:w="638" w:type="dxa"/>
            <w:tcBorders/>
            <w:shd w:fill="FFFFFF" w:val="clear"/>
            <w:vAlign w:val="center"/>
          </w:tcPr>
          <w:p>
            <w:pPr>
              <w:pStyle w:val="TableContents"/>
              <w:bidi w:val="0"/>
              <w:spacing w:before="0" w:after="283"/>
              <w:jc w:val="left"/>
              <w:rPr>
                <w:sz w:val="20"/>
              </w:rPr>
            </w:pPr>
            <w:r>
              <w:rPr>
                <w:sz w:val="20"/>
              </w:rPr>
              <w:t>10.37</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37.htm">
              <w:r>
                <w:rPr>
                  <w:rStyle w:val="InternetLink"/>
                  <w:sz w:val="20"/>
                </w:rPr>
                <w:t>Securities Purchase Agreement between the Company and Boot Capital LLC dated January 22, 2025</w:t>
              </w:r>
            </w:hyperlink>
          </w:p>
        </w:tc>
      </w:tr>
      <w:tr>
        <w:trPr/>
        <w:tc>
          <w:tcPr>
            <w:tcW w:w="638" w:type="dxa"/>
            <w:tcBorders/>
            <w:shd w:fill="CCEEFF" w:val="clear"/>
            <w:vAlign w:val="center"/>
          </w:tcPr>
          <w:p>
            <w:pPr>
              <w:pStyle w:val="TableContents"/>
              <w:bidi w:val="0"/>
              <w:spacing w:before="0" w:after="283"/>
              <w:jc w:val="left"/>
              <w:rPr>
                <w:sz w:val="20"/>
              </w:rPr>
            </w:pPr>
            <w:r>
              <w:rPr>
                <w:sz w:val="20"/>
              </w:rPr>
              <w:t>10.38</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w:anchor="ea029710201ex10-38.htm">
              <w:r>
                <w:rPr>
                  <w:rStyle w:val="InternetLink"/>
                  <w:sz w:val="20"/>
                </w:rPr>
                <w:t>Form of Note between Company and Boot Capital LLC dated January 22, 2026</w:t>
              </w:r>
            </w:hyperlink>
          </w:p>
        </w:tc>
      </w:tr>
      <w:tr>
        <w:trPr/>
        <w:tc>
          <w:tcPr>
            <w:tcW w:w="638" w:type="dxa"/>
            <w:tcBorders/>
            <w:shd w:fill="FFFFFF" w:val="clear"/>
            <w:vAlign w:val="center"/>
          </w:tcPr>
          <w:p>
            <w:pPr>
              <w:pStyle w:val="TableContents"/>
              <w:bidi w:val="0"/>
              <w:spacing w:before="0" w:after="283"/>
              <w:jc w:val="left"/>
              <w:rPr>
                <w:sz w:val="20"/>
              </w:rPr>
            </w:pPr>
            <w:r>
              <w:rPr>
                <w:sz w:val="20"/>
              </w:rPr>
              <w:t>10.39*</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sz w:val="20"/>
              </w:rPr>
            </w:pPr>
            <w:r>
              <w:rPr>
                <w:sz w:val="20"/>
              </w:rPr>
              <w:t>Securities Purchase Agreement between the Company and CFI Capital LLC, dated March 18, 2026</w:t>
            </w:r>
          </w:p>
        </w:tc>
      </w:tr>
      <w:tr>
        <w:trPr/>
        <w:tc>
          <w:tcPr>
            <w:tcW w:w="638" w:type="dxa"/>
            <w:tcBorders/>
            <w:shd w:fill="CCEEFF" w:val="clear"/>
            <w:vAlign w:val="center"/>
          </w:tcPr>
          <w:p>
            <w:pPr>
              <w:pStyle w:val="TableContents"/>
              <w:bidi w:val="0"/>
              <w:spacing w:before="0" w:after="283"/>
              <w:jc w:val="left"/>
              <w:rPr>
                <w:sz w:val="20"/>
              </w:rPr>
            </w:pPr>
            <w:r>
              <w:rPr>
                <w:sz w:val="20"/>
              </w:rPr>
              <w:t>10.40*</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sz w:val="20"/>
              </w:rPr>
            </w:pPr>
            <w:r>
              <w:rPr>
                <w:sz w:val="20"/>
              </w:rPr>
              <w:t>Form of Note between the Company and CFI Capital LLC, dated March 18, 2026</w:t>
            </w:r>
          </w:p>
        </w:tc>
      </w:tr>
      <w:tr>
        <w:trPr/>
        <w:tc>
          <w:tcPr>
            <w:tcW w:w="638" w:type="dxa"/>
            <w:tcBorders/>
            <w:shd w:fill="FFFFFF" w:val="clear"/>
            <w:vAlign w:val="center"/>
          </w:tcPr>
          <w:p>
            <w:pPr>
              <w:pStyle w:val="TableContents"/>
              <w:bidi w:val="0"/>
              <w:spacing w:before="0" w:after="283"/>
              <w:jc w:val="left"/>
              <w:rPr>
                <w:sz w:val="20"/>
              </w:rPr>
            </w:pPr>
            <w:r>
              <w:rPr>
                <w:sz w:val="20"/>
              </w:rPr>
              <w:t>10.41*</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sz w:val="20"/>
              </w:rPr>
            </w:pPr>
            <w:r>
              <w:rPr>
                <w:sz w:val="20"/>
              </w:rPr>
              <w:t>Securities Purchase Agreement between the Company and FirstFire Global Opportunities Fund LLC, dated March 25, 2026</w:t>
            </w:r>
          </w:p>
        </w:tc>
      </w:tr>
      <w:tr>
        <w:trPr/>
        <w:tc>
          <w:tcPr>
            <w:tcW w:w="638" w:type="dxa"/>
            <w:tcBorders/>
            <w:shd w:fill="CCEEFF" w:val="clear"/>
            <w:vAlign w:val="center"/>
          </w:tcPr>
          <w:p>
            <w:pPr>
              <w:pStyle w:val="TableContents"/>
              <w:bidi w:val="0"/>
              <w:spacing w:before="0" w:after="283"/>
              <w:jc w:val="left"/>
              <w:rPr>
                <w:sz w:val="20"/>
              </w:rPr>
            </w:pPr>
            <w:r>
              <w:rPr>
                <w:sz w:val="20"/>
              </w:rPr>
              <w:t>10.42*</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sz w:val="20"/>
              </w:rPr>
            </w:pPr>
            <w:r>
              <w:rPr>
                <w:sz w:val="20"/>
              </w:rPr>
              <w:t>Form of Note between the Company and FirstFire Global Opportunities Fund LLC, dated March 25, 2026</w:t>
            </w:r>
          </w:p>
        </w:tc>
      </w:tr>
      <w:tr>
        <w:trPr/>
        <w:tc>
          <w:tcPr>
            <w:tcW w:w="638" w:type="dxa"/>
            <w:tcBorders/>
            <w:shd w:fill="FFFFFF" w:val="clear"/>
            <w:vAlign w:val="center"/>
          </w:tcPr>
          <w:p>
            <w:pPr>
              <w:pStyle w:val="TableContents"/>
              <w:bidi w:val="0"/>
              <w:spacing w:before="0" w:after="283"/>
              <w:jc w:val="left"/>
              <w:rPr>
                <w:sz w:val="20"/>
              </w:rPr>
            </w:pPr>
            <w:r>
              <w:rPr>
                <w:sz w:val="20"/>
              </w:rPr>
              <w:t>10.43*</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sz w:val="20"/>
              </w:rPr>
            </w:pPr>
            <w:r>
              <w:rPr>
                <w:sz w:val="20"/>
              </w:rPr>
              <w:t>Securities Purchase Agreement between the Company and Silvercrest Hybrid Capital LLC, dated March 30, 2026</w:t>
            </w:r>
          </w:p>
        </w:tc>
      </w:tr>
      <w:tr>
        <w:trPr/>
        <w:tc>
          <w:tcPr>
            <w:tcW w:w="638" w:type="dxa"/>
            <w:tcBorders/>
            <w:shd w:fill="CCEEFF" w:val="clear"/>
            <w:vAlign w:val="center"/>
          </w:tcPr>
          <w:p>
            <w:pPr>
              <w:pStyle w:val="TableContents"/>
              <w:bidi w:val="0"/>
              <w:spacing w:before="0" w:after="283"/>
              <w:jc w:val="left"/>
              <w:rPr>
                <w:sz w:val="20"/>
              </w:rPr>
            </w:pPr>
            <w:r>
              <w:rPr>
                <w:sz w:val="20"/>
              </w:rPr>
              <w:t>10.44*</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sz w:val="20"/>
              </w:rPr>
            </w:pPr>
            <w:r>
              <w:rPr>
                <w:sz w:val="20"/>
              </w:rPr>
              <w:t>Form of Note between the Company and Silvercrest Hybrid Capital LLC, dated March 30, 2026</w:t>
            </w:r>
          </w:p>
        </w:tc>
      </w:tr>
      <w:tr>
        <w:trPr/>
        <w:tc>
          <w:tcPr>
            <w:tcW w:w="638" w:type="dxa"/>
            <w:tcBorders/>
            <w:shd w:fill="FFFFFF" w:val="clear"/>
            <w:vAlign w:val="center"/>
          </w:tcPr>
          <w:p>
            <w:pPr>
              <w:pStyle w:val="TableContents"/>
              <w:bidi w:val="0"/>
              <w:spacing w:before="0" w:after="283"/>
              <w:jc w:val="left"/>
              <w:rPr>
                <w:sz w:val="20"/>
              </w:rPr>
            </w:pPr>
            <w:r>
              <w:rPr>
                <w:sz w:val="20"/>
              </w:rPr>
              <w:t>10.45*</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sz w:val="20"/>
              </w:rPr>
            </w:pPr>
            <w:r>
              <w:rPr>
                <w:sz w:val="20"/>
              </w:rPr>
              <w:t>Securities Purchase Agreement between the Company and Pacific Pier Capital II, LP, dated April 14, 2026</w:t>
            </w:r>
          </w:p>
        </w:tc>
      </w:tr>
      <w:tr>
        <w:trPr/>
        <w:tc>
          <w:tcPr>
            <w:tcW w:w="638" w:type="dxa"/>
            <w:tcBorders/>
            <w:shd w:fill="CCEEFF" w:val="clear"/>
            <w:vAlign w:val="center"/>
          </w:tcPr>
          <w:p>
            <w:pPr>
              <w:pStyle w:val="TableContents"/>
              <w:bidi w:val="0"/>
              <w:spacing w:before="0" w:after="283"/>
              <w:jc w:val="left"/>
              <w:rPr>
                <w:sz w:val="20"/>
              </w:rPr>
            </w:pPr>
            <w:r>
              <w:rPr>
                <w:sz w:val="20"/>
              </w:rPr>
              <w:t>10.46*</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sz w:val="20"/>
              </w:rPr>
            </w:pPr>
            <w:r>
              <w:rPr>
                <w:sz w:val="20"/>
              </w:rPr>
              <w:t>Form of Note between the Company and Pacific Pier Capital II, LP, dated April 14, 2026</w:t>
            </w:r>
          </w:p>
        </w:tc>
      </w:tr>
      <w:tr>
        <w:trPr/>
        <w:tc>
          <w:tcPr>
            <w:tcW w:w="638" w:type="dxa"/>
            <w:tcBorders/>
            <w:shd w:fill="FFFFFF" w:val="clear"/>
            <w:vAlign w:val="center"/>
          </w:tcPr>
          <w:p>
            <w:pPr>
              <w:pStyle w:val="TableContents"/>
              <w:bidi w:val="0"/>
              <w:spacing w:before="0" w:after="283"/>
              <w:jc w:val="left"/>
              <w:rPr>
                <w:sz w:val="20"/>
              </w:rPr>
            </w:pPr>
            <w:r>
              <w:rPr>
                <w:sz w:val="20"/>
              </w:rPr>
              <w:t>10.47*</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sz w:val="20"/>
              </w:rPr>
            </w:pPr>
            <w:r>
              <w:rPr>
                <w:sz w:val="20"/>
              </w:rPr>
              <w:t>Securities Purchase Agreement between the Company and Labrys Fund II, L.P., dated April 20, 2026</w:t>
            </w:r>
          </w:p>
        </w:tc>
      </w:tr>
      <w:tr>
        <w:trPr/>
        <w:tc>
          <w:tcPr>
            <w:tcW w:w="638" w:type="dxa"/>
            <w:tcBorders/>
            <w:shd w:fill="CCEEFF" w:val="clear"/>
            <w:vAlign w:val="center"/>
          </w:tcPr>
          <w:p>
            <w:pPr>
              <w:pStyle w:val="TableContents"/>
              <w:bidi w:val="0"/>
              <w:spacing w:before="0" w:after="283"/>
              <w:jc w:val="left"/>
              <w:rPr>
                <w:sz w:val="20"/>
              </w:rPr>
            </w:pPr>
            <w:r>
              <w:rPr>
                <w:sz w:val="20"/>
              </w:rPr>
              <w:t>10.48*</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sz w:val="20"/>
              </w:rPr>
            </w:pPr>
            <w:r>
              <w:rPr>
                <w:sz w:val="20"/>
              </w:rPr>
              <w:t>Form of Note between the Company and Labrys Fund II, L.P, dated April 20, 2026</w:t>
            </w:r>
          </w:p>
        </w:tc>
      </w:tr>
      <w:tr>
        <w:trPr/>
        <w:tc>
          <w:tcPr>
            <w:tcW w:w="638" w:type="dxa"/>
            <w:tcBorders/>
            <w:shd w:fill="FFFFFF" w:val="clear"/>
            <w:vAlign w:val="center"/>
          </w:tcPr>
          <w:p>
            <w:pPr>
              <w:pStyle w:val="TableContents"/>
              <w:bidi w:val="0"/>
              <w:spacing w:before="0" w:after="283"/>
              <w:jc w:val="left"/>
              <w:rPr>
                <w:sz w:val="20"/>
              </w:rPr>
            </w:pPr>
            <w:r>
              <w:rPr>
                <w:sz w:val="20"/>
              </w:rPr>
              <w:t>10.49*</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sz w:val="20"/>
              </w:rPr>
            </w:pPr>
            <w:r>
              <w:rPr>
                <w:sz w:val="20"/>
              </w:rPr>
              <w:t>Securities Purchase Agreement between the Company and White Lion Capital LLC, dated April 27, 2026</w:t>
            </w:r>
          </w:p>
        </w:tc>
      </w:tr>
      <w:tr>
        <w:trPr/>
        <w:tc>
          <w:tcPr>
            <w:tcW w:w="638" w:type="dxa"/>
            <w:tcBorders/>
            <w:shd w:fill="CCEEFF" w:val="clear"/>
            <w:vAlign w:val="center"/>
          </w:tcPr>
          <w:p>
            <w:pPr>
              <w:pStyle w:val="TableContents"/>
              <w:bidi w:val="0"/>
              <w:spacing w:before="0" w:after="283"/>
              <w:jc w:val="left"/>
              <w:rPr>
                <w:sz w:val="20"/>
              </w:rPr>
            </w:pPr>
            <w:r>
              <w:rPr>
                <w:sz w:val="20"/>
              </w:rPr>
              <w:t>10.50*</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sz w:val="20"/>
              </w:rPr>
            </w:pPr>
            <w:r>
              <w:rPr>
                <w:sz w:val="20"/>
              </w:rPr>
              <w:t>Form of Note between the Company and White Lion Capital LLC, dated April 27, 2026</w:t>
            </w:r>
          </w:p>
        </w:tc>
      </w:tr>
      <w:tr>
        <w:trPr/>
        <w:tc>
          <w:tcPr>
            <w:tcW w:w="638" w:type="dxa"/>
            <w:tcBorders/>
            <w:shd w:fill="FFFFFF" w:val="clear"/>
            <w:vAlign w:val="center"/>
          </w:tcPr>
          <w:p>
            <w:pPr>
              <w:pStyle w:val="TableContents"/>
              <w:bidi w:val="0"/>
              <w:spacing w:before="0" w:after="283"/>
              <w:jc w:val="left"/>
              <w:rPr>
                <w:sz w:val="20"/>
              </w:rPr>
            </w:pPr>
            <w:r>
              <w:rPr>
                <w:sz w:val="20"/>
              </w:rPr>
              <w:t>10.51</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51.htm">
              <w:r>
                <w:rPr>
                  <w:rStyle w:val="InternetLink"/>
                  <w:sz w:val="20"/>
                </w:rPr>
                <w:t>Heads of Agreement between the Company and PredicXion Group Limited dated May 15, 2026</w:t>
              </w:r>
            </w:hyperlink>
          </w:p>
        </w:tc>
      </w:tr>
      <w:tr>
        <w:trPr/>
        <w:tc>
          <w:tcPr>
            <w:tcW w:w="638" w:type="dxa"/>
            <w:tcBorders/>
            <w:shd w:fill="CCEEFF" w:val="clear"/>
            <w:vAlign w:val="center"/>
          </w:tcPr>
          <w:p>
            <w:pPr>
              <w:pStyle w:val="TableContents"/>
              <w:bidi w:val="0"/>
              <w:spacing w:before="0" w:after="283"/>
              <w:jc w:val="left"/>
              <w:rPr>
                <w:sz w:val="20"/>
              </w:rPr>
            </w:pPr>
            <w:r>
              <w:rPr>
                <w:sz w:val="20"/>
              </w:rPr>
              <w:t>10.52</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r:id="rId56">
              <w:r>
                <w:rPr>
                  <w:rStyle w:val="InternetLink"/>
                  <w:sz w:val="20"/>
                </w:rPr>
                <w:t>Share Purchase Agreement between the Company and PredicXion Group Limited dated May 28, 2026 (incorporated by reference to Exhibit 10.1 of the Company’s current report on Form 6-k furnished to the SEC on May 28, 2026)</w:t>
              </w:r>
            </w:hyperlink>
          </w:p>
        </w:tc>
      </w:tr>
      <w:tr>
        <w:trPr/>
        <w:tc>
          <w:tcPr>
            <w:tcW w:w="638" w:type="dxa"/>
            <w:tcBorders/>
            <w:shd w:fill="FFFFFF" w:val="clear"/>
            <w:vAlign w:val="center"/>
          </w:tcPr>
          <w:p>
            <w:pPr>
              <w:pStyle w:val="TableContents"/>
              <w:bidi w:val="0"/>
              <w:spacing w:before="0" w:after="283"/>
              <w:jc w:val="left"/>
              <w:rPr>
                <w:sz w:val="20"/>
              </w:rPr>
            </w:pPr>
            <w:r>
              <w:rPr>
                <w:sz w:val="20"/>
              </w:rPr>
              <w:t>10.53</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r:id="rId57">
              <w:r>
                <w:rPr>
                  <w:rStyle w:val="InternetLink"/>
                  <w:sz w:val="20"/>
                </w:rPr>
                <w:t>Exclusive Agency Agreement between the Company and PredicXion Group Limited dated May 28, 2026 (incorporated by reference to Exhibit 10.2 of the Company’s current report on Form 6-k furnished to the SEC on May 28, 2026)</w:t>
              </w:r>
            </w:hyperlink>
          </w:p>
        </w:tc>
      </w:tr>
      <w:tr>
        <w:trPr/>
        <w:tc>
          <w:tcPr>
            <w:tcW w:w="638" w:type="dxa"/>
            <w:tcBorders/>
            <w:shd w:fill="CCEEFF" w:val="clear"/>
            <w:vAlign w:val="center"/>
          </w:tcPr>
          <w:p>
            <w:pPr>
              <w:pStyle w:val="TableContents"/>
              <w:bidi w:val="0"/>
              <w:spacing w:before="0" w:after="283"/>
              <w:jc w:val="left"/>
              <w:rPr>
                <w:sz w:val="20"/>
              </w:rPr>
            </w:pPr>
            <w:r>
              <w:rPr>
                <w:sz w:val="20"/>
              </w:rPr>
              <w:t>10.54</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r:id="rId58">
              <w:r>
                <w:rPr>
                  <w:rStyle w:val="InternetLink"/>
                  <w:sz w:val="20"/>
                </w:rPr>
                <w:t>Share Purchase Agreement between the Company and PredicXion Group Limited dated June 2, 2026 (incorporated by reference to Exhibit 10.1 of the Company’s current report on Form 6-k furnished to the SEC on June 4, 2026)</w:t>
              </w:r>
            </w:hyperlink>
          </w:p>
        </w:tc>
      </w:tr>
      <w:tr>
        <w:trPr/>
        <w:tc>
          <w:tcPr>
            <w:tcW w:w="638" w:type="dxa"/>
            <w:tcBorders/>
            <w:shd w:fill="FFFFFF" w:val="clear"/>
            <w:vAlign w:val="center"/>
          </w:tcPr>
          <w:p>
            <w:pPr>
              <w:pStyle w:val="TableContents"/>
              <w:bidi w:val="0"/>
              <w:spacing w:before="0" w:after="283"/>
              <w:jc w:val="left"/>
              <w:rPr>
                <w:sz w:val="20"/>
              </w:rPr>
            </w:pPr>
            <w:r>
              <w:rPr>
                <w:sz w:val="20"/>
              </w:rPr>
              <w:t>10.55</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55.htm">
              <w:r>
                <w:rPr>
                  <w:rStyle w:val="InternetLink"/>
                  <w:sz w:val="20"/>
                </w:rPr>
                <w:t>Securities Purchase Agreement between the Company and Vanquish Funding Group Inc. dated June 2, 2026</w:t>
              </w:r>
            </w:hyperlink>
          </w:p>
        </w:tc>
      </w:tr>
      <w:tr>
        <w:trPr/>
        <w:tc>
          <w:tcPr>
            <w:tcW w:w="638" w:type="dxa"/>
            <w:tcBorders/>
            <w:shd w:fill="CCEEFF" w:val="clear"/>
            <w:vAlign w:val="center"/>
          </w:tcPr>
          <w:p>
            <w:pPr>
              <w:pStyle w:val="TableContents"/>
              <w:bidi w:val="0"/>
              <w:spacing w:before="0" w:after="283"/>
              <w:jc w:val="left"/>
              <w:rPr>
                <w:sz w:val="20"/>
              </w:rPr>
            </w:pPr>
            <w:r>
              <w:rPr>
                <w:sz w:val="20"/>
              </w:rPr>
              <w:t>10.56</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w:anchor="ea029710201ex10-56.htm">
              <w:r>
                <w:rPr>
                  <w:rStyle w:val="InternetLink"/>
                  <w:sz w:val="20"/>
                </w:rPr>
                <w:t>Convertible Promissory Note between the Company and Vanquish Funding Group Inc., dated June 2, 2026</w:t>
              </w:r>
            </w:hyperlink>
          </w:p>
        </w:tc>
      </w:tr>
      <w:tr>
        <w:trPr/>
        <w:tc>
          <w:tcPr>
            <w:tcW w:w="638" w:type="dxa"/>
            <w:tcBorders/>
            <w:shd w:fill="FFFFFF" w:val="clear"/>
            <w:vAlign w:val="center"/>
          </w:tcPr>
          <w:p>
            <w:pPr>
              <w:pStyle w:val="TableContents"/>
              <w:bidi w:val="0"/>
              <w:spacing w:before="0" w:after="283"/>
              <w:jc w:val="left"/>
              <w:rPr>
                <w:sz w:val="20"/>
              </w:rPr>
            </w:pPr>
            <w:r>
              <w:rPr>
                <w:sz w:val="20"/>
              </w:rPr>
              <w:t>10.57</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57.htm">
              <w:r>
                <w:rPr>
                  <w:rStyle w:val="InternetLink"/>
                  <w:sz w:val="20"/>
                </w:rPr>
                <w:t>Repurchase and Forbearance Agreement between the Company and JAK Opportunities VI LLC, dated June 15, 2026</w:t>
              </w:r>
            </w:hyperlink>
          </w:p>
        </w:tc>
      </w:tr>
      <w:tr>
        <w:trPr/>
        <w:tc>
          <w:tcPr>
            <w:tcW w:w="638" w:type="dxa"/>
            <w:tcBorders/>
            <w:shd w:fill="CCEEFF" w:val="clear"/>
            <w:vAlign w:val="center"/>
          </w:tcPr>
          <w:p>
            <w:pPr>
              <w:pStyle w:val="TableContents"/>
              <w:bidi w:val="0"/>
              <w:spacing w:before="0" w:after="283"/>
              <w:jc w:val="left"/>
              <w:rPr>
                <w:sz w:val="20"/>
              </w:rPr>
            </w:pPr>
            <w:r>
              <w:rPr>
                <w:sz w:val="20"/>
              </w:rPr>
              <w:t>10.58</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w:anchor="ea029710201ex10-58.htm">
              <w:r>
                <w:rPr>
                  <w:rStyle w:val="InternetLink"/>
                  <w:sz w:val="20"/>
                </w:rPr>
                <w:t>Securities Purchase Agreement between the Company and White Lion Capital LLC, dated May 26, 2026</w:t>
              </w:r>
            </w:hyperlink>
          </w:p>
        </w:tc>
      </w:tr>
      <w:tr>
        <w:trPr/>
        <w:tc>
          <w:tcPr>
            <w:tcW w:w="638" w:type="dxa"/>
            <w:tcBorders/>
            <w:shd w:fill="FFFFFF" w:val="clear"/>
            <w:vAlign w:val="center"/>
          </w:tcPr>
          <w:p>
            <w:pPr>
              <w:pStyle w:val="TableContents"/>
              <w:bidi w:val="0"/>
              <w:spacing w:before="0" w:after="283"/>
              <w:jc w:val="left"/>
              <w:rPr>
                <w:sz w:val="20"/>
              </w:rPr>
            </w:pPr>
            <w:r>
              <w:rPr>
                <w:sz w:val="20"/>
              </w:rPr>
              <w:t>10.59</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59.htm">
              <w:r>
                <w:rPr>
                  <w:rStyle w:val="InternetLink"/>
                  <w:sz w:val="20"/>
                </w:rPr>
                <w:t>Form of Note between the Company and White Lion Capital LLC, dated May 26, 2026</w:t>
              </w:r>
            </w:hyperlink>
          </w:p>
        </w:tc>
      </w:tr>
      <w:tr>
        <w:trPr/>
        <w:tc>
          <w:tcPr>
            <w:tcW w:w="638" w:type="dxa"/>
            <w:tcBorders/>
            <w:shd w:fill="CCEEFF" w:val="clear"/>
            <w:vAlign w:val="center"/>
          </w:tcPr>
          <w:p>
            <w:pPr>
              <w:pStyle w:val="TableContents"/>
              <w:bidi w:val="0"/>
              <w:spacing w:before="0" w:after="283"/>
              <w:jc w:val="left"/>
              <w:rPr>
                <w:sz w:val="20"/>
              </w:rPr>
            </w:pPr>
            <w:r>
              <w:rPr>
                <w:sz w:val="20"/>
              </w:rPr>
              <w:t>10.60</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w:anchor="ea029710201ex10-60.htm">
              <w:r>
                <w:rPr>
                  <w:rStyle w:val="InternetLink"/>
                  <w:sz w:val="20"/>
                </w:rPr>
                <w:t>Securities Purchase Agreement between the Company and White Lion Capital LLC, dated June 8, 2026</w:t>
              </w:r>
            </w:hyperlink>
          </w:p>
        </w:tc>
      </w:tr>
      <w:tr>
        <w:trPr/>
        <w:tc>
          <w:tcPr>
            <w:tcW w:w="638" w:type="dxa"/>
            <w:tcBorders/>
            <w:shd w:fill="FFFFFF" w:val="clear"/>
            <w:vAlign w:val="center"/>
          </w:tcPr>
          <w:p>
            <w:pPr>
              <w:pStyle w:val="TableContents"/>
              <w:bidi w:val="0"/>
              <w:spacing w:before="0" w:after="283"/>
              <w:jc w:val="left"/>
              <w:rPr>
                <w:sz w:val="20"/>
              </w:rPr>
            </w:pPr>
            <w:r>
              <w:rPr>
                <w:sz w:val="20"/>
              </w:rPr>
              <w:t>10.61</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61.htm">
              <w:r>
                <w:rPr>
                  <w:rStyle w:val="InternetLink"/>
                  <w:sz w:val="20"/>
                </w:rPr>
                <w:t>Form of Note between the Company and White Lion Capital LLC, dated June 8, 2026</w:t>
              </w:r>
            </w:hyperlink>
          </w:p>
        </w:tc>
      </w:tr>
      <w:tr>
        <w:trPr/>
        <w:tc>
          <w:tcPr>
            <w:tcW w:w="638" w:type="dxa"/>
            <w:tcBorders/>
            <w:shd w:fill="CCEEFF" w:val="clear"/>
            <w:vAlign w:val="center"/>
          </w:tcPr>
          <w:p>
            <w:pPr>
              <w:pStyle w:val="TableContents"/>
              <w:bidi w:val="0"/>
              <w:spacing w:before="0" w:after="283"/>
              <w:jc w:val="left"/>
              <w:rPr>
                <w:sz w:val="20"/>
              </w:rPr>
            </w:pPr>
            <w:r>
              <w:rPr>
                <w:sz w:val="20"/>
              </w:rPr>
              <w:t>10.62</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r:id="rId59">
              <w:r>
                <w:rPr>
                  <w:rStyle w:val="InternetLink"/>
                  <w:sz w:val="20"/>
                </w:rPr>
                <w:t>Share Purchase Agreement between the Company and PredicXion Group Limited dated June 18, 2026 (incorporated by reference to Exhibit 10.1 of the Company’s current report on Form 6-k furnished to the SEC on June 18, 2026)</w:t>
              </w:r>
            </w:hyperlink>
          </w:p>
        </w:tc>
      </w:tr>
      <w:tr>
        <w:trPr/>
        <w:tc>
          <w:tcPr>
            <w:tcW w:w="638" w:type="dxa"/>
            <w:tcBorders/>
            <w:shd w:fill="FFFFFF" w:val="clear"/>
            <w:vAlign w:val="center"/>
          </w:tcPr>
          <w:p>
            <w:pPr>
              <w:pStyle w:val="TableContents"/>
              <w:bidi w:val="0"/>
              <w:spacing w:before="0" w:after="283"/>
              <w:jc w:val="left"/>
              <w:rPr>
                <w:sz w:val="20"/>
              </w:rPr>
            </w:pPr>
            <w:r>
              <w:rPr>
                <w:sz w:val="20"/>
              </w:rPr>
              <w:t>10.63</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10-63.htm">
              <w:r>
                <w:rPr>
                  <w:rStyle w:val="InternetLink"/>
                  <w:sz w:val="20"/>
                </w:rPr>
                <w:t>Securities Purchase Agreement between the Company and White Lion Capital LLC, dated June 22, 2026</w:t>
              </w:r>
            </w:hyperlink>
          </w:p>
        </w:tc>
      </w:tr>
      <w:tr>
        <w:trPr/>
        <w:tc>
          <w:tcPr>
            <w:tcW w:w="638" w:type="dxa"/>
            <w:tcBorders/>
            <w:shd w:fill="CCEEFF" w:val="clear"/>
            <w:vAlign w:val="center"/>
          </w:tcPr>
          <w:p>
            <w:pPr>
              <w:pStyle w:val="TableContents"/>
              <w:bidi w:val="0"/>
              <w:spacing w:before="0" w:after="283"/>
              <w:jc w:val="left"/>
              <w:rPr>
                <w:sz w:val="20"/>
              </w:rPr>
            </w:pPr>
            <w:r>
              <w:rPr>
                <w:sz w:val="20"/>
              </w:rPr>
              <w:t>10.64</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pPr>
            <w:hyperlink w:anchor="ea029710201ex10-64.htm">
              <w:r>
                <w:rPr>
                  <w:rStyle w:val="InternetLink"/>
                  <w:sz w:val="20"/>
                </w:rPr>
                <w:t>Form of Note between the Company and White Lion Capital LLC, dated June 22, 2026</w:t>
              </w:r>
            </w:hyperlink>
          </w:p>
        </w:tc>
      </w:tr>
      <w:tr>
        <w:trPr/>
        <w:tc>
          <w:tcPr>
            <w:tcW w:w="638" w:type="dxa"/>
            <w:tcBorders/>
            <w:shd w:fill="FFFFFF" w:val="clear"/>
            <w:vAlign w:val="center"/>
          </w:tcPr>
          <w:p>
            <w:pPr>
              <w:pStyle w:val="TableContents"/>
              <w:bidi w:val="0"/>
              <w:spacing w:before="0" w:after="283"/>
              <w:jc w:val="left"/>
              <w:rPr>
                <w:sz w:val="20"/>
              </w:rPr>
            </w:pPr>
            <w:r>
              <w:rPr>
                <w:sz w:val="20"/>
              </w:rPr>
              <w:t>10.65*</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sz w:val="20"/>
              </w:rPr>
            </w:pPr>
            <w:r>
              <w:rPr>
                <w:sz w:val="20"/>
              </w:rPr>
              <w:t xml:space="preserve">Form of Securities Purchase Agreement </w:t>
            </w:r>
          </w:p>
        </w:tc>
      </w:tr>
      <w:tr>
        <w:trPr/>
        <w:tc>
          <w:tcPr>
            <w:tcW w:w="638" w:type="dxa"/>
            <w:tcBorders/>
            <w:shd w:fill="CCEEFF" w:val="clear"/>
            <w:vAlign w:val="center"/>
          </w:tcPr>
          <w:p>
            <w:pPr>
              <w:pStyle w:val="TableContents"/>
              <w:bidi w:val="0"/>
              <w:spacing w:before="0" w:after="283"/>
              <w:jc w:val="left"/>
              <w:rPr>
                <w:sz w:val="20"/>
              </w:rPr>
            </w:pPr>
            <w:r>
              <w:rPr>
                <w:sz w:val="20"/>
              </w:rPr>
              <w:t>10.66*</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both"/>
              <w:rPr>
                <w:sz w:val="20"/>
              </w:rPr>
            </w:pPr>
            <w:r>
              <w:rPr>
                <w:sz w:val="20"/>
              </w:rPr>
              <w:t>Form of Lock-Up Agreement</w:t>
            </w:r>
          </w:p>
        </w:tc>
      </w:tr>
      <w:tr>
        <w:trPr/>
        <w:tc>
          <w:tcPr>
            <w:tcW w:w="638" w:type="dxa"/>
            <w:tcBorders/>
            <w:shd w:fill="FFFFFF" w:val="clear"/>
            <w:vAlign w:val="center"/>
          </w:tcPr>
          <w:p>
            <w:pPr>
              <w:pStyle w:val="TableContents"/>
              <w:bidi w:val="0"/>
              <w:spacing w:before="0" w:after="283"/>
              <w:jc w:val="left"/>
              <w:rPr>
                <w:sz w:val="20"/>
              </w:rPr>
            </w:pPr>
            <w:r>
              <w:rPr>
                <w:sz w:val="20"/>
              </w:rPr>
              <w:t>21.1</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w:anchor="ea029710201ex21-1.htm">
              <w:r>
                <w:rPr>
                  <w:rStyle w:val="InternetLink"/>
                  <w:sz w:val="20"/>
                </w:rPr>
                <w:t>List of Subsidiaries</w:t>
              </w:r>
            </w:hyperlink>
          </w:p>
        </w:tc>
      </w:tr>
      <w:tr>
        <w:trPr/>
        <w:tc>
          <w:tcPr>
            <w:tcW w:w="638" w:type="dxa"/>
            <w:tcBorders/>
            <w:shd w:fill="CCEEFF" w:val="clear"/>
            <w:vAlign w:val="center"/>
          </w:tcPr>
          <w:p>
            <w:pPr>
              <w:pStyle w:val="TableContents"/>
              <w:bidi w:val="0"/>
              <w:spacing w:before="0" w:after="283"/>
              <w:jc w:val="left"/>
              <w:rPr>
                <w:sz w:val="20"/>
              </w:rPr>
            </w:pPr>
            <w:r>
              <w:rPr>
                <w:sz w:val="20"/>
              </w:rPr>
              <w:t>23.1*</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left"/>
              <w:rPr>
                <w:sz w:val="20"/>
              </w:rPr>
            </w:pPr>
            <w:r>
              <w:rPr>
                <w:sz w:val="20"/>
              </w:rPr>
              <w:t>Consent Letter from J&amp;S Associate PLT</w:t>
            </w:r>
          </w:p>
        </w:tc>
      </w:tr>
      <w:tr>
        <w:trPr/>
        <w:tc>
          <w:tcPr>
            <w:tcW w:w="638" w:type="dxa"/>
            <w:tcBorders/>
            <w:shd w:fill="FFFFFF" w:val="clear"/>
            <w:vAlign w:val="center"/>
          </w:tcPr>
          <w:p>
            <w:pPr>
              <w:pStyle w:val="TableContents"/>
              <w:bidi w:val="0"/>
              <w:spacing w:before="0" w:after="283"/>
              <w:jc w:val="left"/>
              <w:rPr>
                <w:sz w:val="20"/>
              </w:rPr>
            </w:pPr>
            <w:r>
              <w:rPr>
                <w:sz w:val="20"/>
              </w:rPr>
              <w:t>23.2*</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left"/>
              <w:rPr>
                <w:sz w:val="20"/>
              </w:rPr>
            </w:pPr>
            <w:r>
              <w:rPr>
                <w:sz w:val="20"/>
              </w:rPr>
              <w:t>Consent of Ogier (included in Exhibit 5.1)</w:t>
            </w:r>
          </w:p>
        </w:tc>
      </w:tr>
      <w:tr>
        <w:trPr/>
        <w:tc>
          <w:tcPr>
            <w:tcW w:w="638" w:type="dxa"/>
            <w:tcBorders/>
            <w:shd w:fill="CCEEFF" w:val="clear"/>
            <w:vAlign w:val="center"/>
          </w:tcPr>
          <w:p>
            <w:pPr>
              <w:pStyle w:val="TableContents"/>
              <w:bidi w:val="0"/>
              <w:spacing w:before="0" w:after="283"/>
              <w:jc w:val="left"/>
              <w:rPr>
                <w:sz w:val="20"/>
              </w:rPr>
            </w:pPr>
            <w:r>
              <w:rPr>
                <w:sz w:val="20"/>
              </w:rPr>
              <w:t>24.1*</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left"/>
              <w:rPr>
                <w:sz w:val="20"/>
              </w:rPr>
            </w:pPr>
            <w:r>
              <w:rPr>
                <w:sz w:val="20"/>
              </w:rPr>
              <w:t>Power of Attorney</w:t>
            </w:r>
          </w:p>
        </w:tc>
      </w:tr>
      <w:tr>
        <w:trPr/>
        <w:tc>
          <w:tcPr>
            <w:tcW w:w="638" w:type="dxa"/>
            <w:tcBorders/>
            <w:shd w:fill="FFFFFF" w:val="clear"/>
            <w:vAlign w:val="center"/>
          </w:tcPr>
          <w:p>
            <w:pPr>
              <w:pStyle w:val="TableContents"/>
              <w:bidi w:val="0"/>
              <w:spacing w:before="0" w:after="283"/>
              <w:jc w:val="left"/>
              <w:rPr>
                <w:sz w:val="20"/>
              </w:rPr>
            </w:pPr>
            <w:r>
              <w:rPr>
                <w:sz w:val="20"/>
              </w:rPr>
              <w:t>97.1</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both"/>
              <w:rPr/>
            </w:pPr>
            <w:hyperlink r:id="rId60">
              <w:r>
                <w:rPr>
                  <w:rStyle w:val="InternetLink"/>
                  <w:sz w:val="20"/>
                </w:rPr>
                <w:t>Clawback Policy of the Company. (incorporated by reference to Exhibit 97.1 of the Company’s annual report on Form 20-F filed with the SEC on August 20, 2024)</w:t>
              </w:r>
            </w:hyperlink>
          </w:p>
        </w:tc>
      </w:tr>
      <w:tr>
        <w:trPr/>
        <w:tc>
          <w:tcPr>
            <w:tcW w:w="638" w:type="dxa"/>
            <w:tcBorders/>
            <w:shd w:fill="CCEEFF" w:val="clear"/>
            <w:vAlign w:val="center"/>
          </w:tcPr>
          <w:p>
            <w:pPr>
              <w:pStyle w:val="TableContents"/>
              <w:bidi w:val="0"/>
              <w:spacing w:before="0" w:after="283"/>
              <w:jc w:val="left"/>
              <w:rPr>
                <w:sz w:val="20"/>
              </w:rPr>
            </w:pPr>
            <w:r>
              <w:rPr>
                <w:sz w:val="20"/>
              </w:rPr>
              <w:t>101.INS*</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left"/>
              <w:rPr>
                <w:sz w:val="20"/>
              </w:rPr>
            </w:pPr>
            <w:r>
              <w:rPr>
                <w:sz w:val="20"/>
              </w:rPr>
              <w:t>Inline XBRL Instance Document.</w:t>
            </w:r>
          </w:p>
        </w:tc>
      </w:tr>
      <w:tr>
        <w:trPr/>
        <w:tc>
          <w:tcPr>
            <w:tcW w:w="638" w:type="dxa"/>
            <w:tcBorders/>
            <w:shd w:fill="FFFFFF" w:val="clear"/>
            <w:vAlign w:val="center"/>
          </w:tcPr>
          <w:p>
            <w:pPr>
              <w:pStyle w:val="TableContents"/>
              <w:bidi w:val="0"/>
              <w:spacing w:before="0" w:after="283"/>
              <w:jc w:val="left"/>
              <w:rPr>
                <w:sz w:val="20"/>
              </w:rPr>
            </w:pPr>
            <w:r>
              <w:rPr>
                <w:sz w:val="20"/>
              </w:rPr>
              <w:t>101.SCH*</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left"/>
              <w:rPr>
                <w:sz w:val="20"/>
              </w:rPr>
            </w:pPr>
            <w:r>
              <w:rPr>
                <w:sz w:val="20"/>
              </w:rPr>
              <w:t>Inline XBRL Taxonomy Extension Schema Document.</w:t>
            </w:r>
          </w:p>
        </w:tc>
      </w:tr>
      <w:tr>
        <w:trPr/>
        <w:tc>
          <w:tcPr>
            <w:tcW w:w="638" w:type="dxa"/>
            <w:tcBorders/>
            <w:shd w:fill="CCEEFF" w:val="clear"/>
            <w:vAlign w:val="center"/>
          </w:tcPr>
          <w:p>
            <w:pPr>
              <w:pStyle w:val="TableContents"/>
              <w:bidi w:val="0"/>
              <w:spacing w:before="0" w:after="283"/>
              <w:jc w:val="left"/>
              <w:rPr>
                <w:sz w:val="20"/>
              </w:rPr>
            </w:pPr>
            <w:r>
              <w:rPr>
                <w:sz w:val="20"/>
              </w:rPr>
              <w:t>101.CAL*</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left"/>
              <w:rPr>
                <w:sz w:val="20"/>
              </w:rPr>
            </w:pPr>
            <w:r>
              <w:rPr>
                <w:sz w:val="20"/>
              </w:rPr>
              <w:t>Inline XBRL Taxonomy Extension Calculation Linkbase Document.</w:t>
            </w:r>
          </w:p>
        </w:tc>
      </w:tr>
      <w:tr>
        <w:trPr/>
        <w:tc>
          <w:tcPr>
            <w:tcW w:w="638" w:type="dxa"/>
            <w:tcBorders/>
            <w:shd w:fill="FFFFFF" w:val="clear"/>
            <w:vAlign w:val="center"/>
          </w:tcPr>
          <w:p>
            <w:pPr>
              <w:pStyle w:val="TableContents"/>
              <w:bidi w:val="0"/>
              <w:spacing w:before="0" w:after="283"/>
              <w:jc w:val="left"/>
              <w:rPr>
                <w:sz w:val="20"/>
              </w:rPr>
            </w:pPr>
            <w:r>
              <w:rPr>
                <w:sz w:val="20"/>
              </w:rPr>
              <w:t>101.DEF*</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left"/>
              <w:rPr>
                <w:sz w:val="20"/>
              </w:rPr>
            </w:pPr>
            <w:r>
              <w:rPr>
                <w:sz w:val="20"/>
              </w:rPr>
              <w:t>Inline XBRL Taxonomy Extension Definition Linkbase Document.</w:t>
            </w:r>
          </w:p>
        </w:tc>
      </w:tr>
      <w:tr>
        <w:trPr/>
        <w:tc>
          <w:tcPr>
            <w:tcW w:w="638" w:type="dxa"/>
            <w:tcBorders/>
            <w:shd w:fill="CCEEFF" w:val="clear"/>
            <w:vAlign w:val="center"/>
          </w:tcPr>
          <w:p>
            <w:pPr>
              <w:pStyle w:val="TableContents"/>
              <w:bidi w:val="0"/>
              <w:spacing w:before="0" w:after="283"/>
              <w:jc w:val="left"/>
              <w:rPr>
                <w:sz w:val="20"/>
              </w:rPr>
            </w:pPr>
            <w:r>
              <w:rPr>
                <w:sz w:val="20"/>
              </w:rPr>
              <w:t>101.LAB*</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left"/>
              <w:rPr>
                <w:sz w:val="20"/>
              </w:rPr>
            </w:pPr>
            <w:r>
              <w:rPr>
                <w:sz w:val="20"/>
              </w:rPr>
              <w:t>Inline XBRL Taxonomy Extension Label Linkbase Document.</w:t>
            </w:r>
          </w:p>
        </w:tc>
      </w:tr>
      <w:tr>
        <w:trPr/>
        <w:tc>
          <w:tcPr>
            <w:tcW w:w="638" w:type="dxa"/>
            <w:tcBorders/>
            <w:shd w:fill="FFFFFF" w:val="clear"/>
            <w:vAlign w:val="center"/>
          </w:tcPr>
          <w:p>
            <w:pPr>
              <w:pStyle w:val="TableContents"/>
              <w:bidi w:val="0"/>
              <w:spacing w:before="0" w:after="283"/>
              <w:jc w:val="left"/>
              <w:rPr>
                <w:sz w:val="20"/>
              </w:rPr>
            </w:pPr>
            <w:r>
              <w:rPr>
                <w:sz w:val="20"/>
              </w:rPr>
              <w:t>101.PRE*</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left"/>
              <w:rPr>
                <w:sz w:val="20"/>
              </w:rPr>
            </w:pPr>
            <w:r>
              <w:rPr>
                <w:sz w:val="20"/>
              </w:rPr>
              <w:t>Inline XBRL Taxonomy Extension Presentation Linkbase Document.</w:t>
            </w:r>
          </w:p>
        </w:tc>
      </w:tr>
      <w:tr>
        <w:trPr/>
        <w:tc>
          <w:tcPr>
            <w:tcW w:w="638" w:type="dxa"/>
            <w:tcBorders/>
            <w:shd w:fill="CCEEFF" w:val="clear"/>
            <w:vAlign w:val="center"/>
          </w:tcPr>
          <w:p>
            <w:pPr>
              <w:pStyle w:val="TableContents"/>
              <w:bidi w:val="0"/>
              <w:spacing w:before="0" w:after="283"/>
              <w:jc w:val="left"/>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9507" w:type="dxa"/>
            <w:tcBorders/>
            <w:shd w:fill="CCEEFF" w:val="clear"/>
            <w:vAlign w:val="center"/>
          </w:tcPr>
          <w:p>
            <w:pPr>
              <w:pStyle w:val="TableContents"/>
              <w:bidi w:val="0"/>
              <w:spacing w:before="0" w:after="283"/>
              <w:jc w:val="left"/>
              <w:rPr>
                <w:sz w:val="20"/>
              </w:rPr>
            </w:pPr>
            <w:r>
              <w:rPr>
                <w:sz w:val="20"/>
              </w:rPr>
              <w:t>Cover Page Interactive Data File (formatted as Inline XBRL and contained in Exhibit 101)</w:t>
            </w:r>
          </w:p>
        </w:tc>
      </w:tr>
      <w:tr>
        <w:trPr/>
        <w:tc>
          <w:tcPr>
            <w:tcW w:w="638" w:type="dxa"/>
            <w:tcBorders/>
            <w:shd w:fill="FFFFFF" w:val="clear"/>
            <w:vAlign w:val="center"/>
          </w:tcPr>
          <w:p>
            <w:pPr>
              <w:pStyle w:val="TableContents"/>
              <w:bidi w:val="0"/>
              <w:spacing w:before="0" w:after="283"/>
              <w:jc w:val="left"/>
              <w:rPr>
                <w:sz w:val="20"/>
              </w:rPr>
            </w:pPr>
            <w:r>
              <w:rPr>
                <w:sz w:val="20"/>
              </w:rPr>
              <w:t>107*</w:t>
            </w:r>
          </w:p>
        </w:tc>
        <w:tc>
          <w:tcPr>
            <w:tcW w:w="60" w:type="dxa"/>
            <w:tcBorders/>
            <w:shd w:fill="FFFFFF" w:val="clear"/>
            <w:vAlign w:val="center"/>
          </w:tcPr>
          <w:p>
            <w:pPr>
              <w:pStyle w:val="TableContents"/>
              <w:bidi w:val="0"/>
              <w:spacing w:before="0" w:after="283"/>
              <w:jc w:val="left"/>
              <w:rPr/>
            </w:pPr>
            <w:r>
              <w:rPr/>
              <w:t> </w:t>
            </w:r>
          </w:p>
        </w:tc>
        <w:tc>
          <w:tcPr>
            <w:tcW w:w="9507" w:type="dxa"/>
            <w:tcBorders/>
            <w:shd w:fill="FFFFFF" w:val="clear"/>
            <w:vAlign w:val="center"/>
          </w:tcPr>
          <w:p>
            <w:pPr>
              <w:pStyle w:val="TableContents"/>
              <w:bidi w:val="0"/>
              <w:spacing w:before="0" w:after="283"/>
              <w:jc w:val="left"/>
              <w:rPr>
                <w:sz w:val="20"/>
              </w:rPr>
            </w:pPr>
            <w:r>
              <w:rPr>
                <w:sz w:val="20"/>
              </w:rPr>
              <w:t>Fee Table</w:t>
            </w:r>
          </w:p>
        </w:tc>
      </w:tr>
    </w:tbl>
    <w:p>
      <w:pPr>
        <w:pStyle w:val="TextBody"/>
        <w:bidi w:val="0"/>
        <w:spacing w:before="0" w:after="283"/>
        <w:jc w:val="left"/>
        <w:rPr/>
      </w:pPr>
      <w:r>
        <w:rPr/>
        <w:t> </w:t>
      </w:r>
    </w:p>
    <w:tbl>
      <w:tblPr>
        <w:tblW w:w="2305" w:type="dxa"/>
        <w:jc w:val="left"/>
        <w:tblInd w:w="0" w:type="dxa"/>
        <w:tblLayout w:type="fixed"/>
        <w:tblCellMar>
          <w:top w:w="0" w:type="dxa"/>
          <w:left w:w="0" w:type="dxa"/>
          <w:bottom w:w="0" w:type="dxa"/>
          <w:right w:w="0" w:type="dxa"/>
        </w:tblCellMar>
      </w:tblPr>
      <w:tblGrid>
        <w:gridCol w:w="140"/>
        <w:gridCol w:w="2165"/>
      </w:tblGrid>
      <w:tr>
        <w:trPr/>
        <w:tc>
          <w:tcPr>
            <w:tcW w:w="140" w:type="dxa"/>
            <w:tcBorders/>
            <w:vAlign w:val="center"/>
          </w:tcPr>
          <w:p>
            <w:pPr>
              <w:pStyle w:val="TableContents"/>
              <w:bidi w:val="0"/>
              <w:spacing w:before="0" w:after="283"/>
              <w:jc w:val="left"/>
              <w:rPr>
                <w:sz w:val="20"/>
              </w:rPr>
            </w:pPr>
            <w:r>
              <w:rPr>
                <w:sz w:val="20"/>
              </w:rPr>
              <w:t>*</w:t>
            </w:r>
          </w:p>
        </w:tc>
        <w:tc>
          <w:tcPr>
            <w:tcW w:w="2165" w:type="dxa"/>
            <w:tcBorders/>
            <w:vAlign w:val="center"/>
          </w:tcPr>
          <w:p>
            <w:pPr>
              <w:pStyle w:val="TableContents"/>
              <w:bidi w:val="0"/>
              <w:spacing w:before="0" w:after="283"/>
              <w:jc w:val="left"/>
              <w:rPr>
                <w:sz w:val="20"/>
              </w:rPr>
            </w:pPr>
            <w:r>
              <w:rPr>
                <w:sz w:val="20"/>
              </w:rPr>
              <w:t>To be filed by 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283"/>
              <w:jc w:val="left"/>
              <w:rPr>
                <w:sz w:val="20"/>
              </w:rPr>
            </w:pPr>
            <w:r>
              <w:rPr>
                <w:sz w:val="20"/>
              </w:rPr>
              <w:t>(a)</w:t>
            </w:r>
          </w:p>
        </w:tc>
        <w:tc>
          <w:tcPr>
            <w:tcW w:w="3875"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sz w:val="20"/>
              </w:rPr>
            </w:pPr>
            <w:r>
              <w:rPr>
                <w:sz w:val="20"/>
              </w:rPr>
              <w:t>(1)</w:t>
            </w:r>
          </w:p>
        </w:tc>
        <w:tc>
          <w:tcPr>
            <w:tcW w:w="9946"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25"/>
        <w:gridCol w:w="68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6890" w:type="dxa"/>
            <w:tcBorders/>
            <w:vAlign w:val="center"/>
          </w:tcPr>
          <w:p>
            <w:pPr>
              <w:pStyle w:val="TableContents"/>
              <w:bidi w:val="0"/>
              <w:spacing w:before="0" w:after="283"/>
              <w:jc w:val="both"/>
              <w:rPr>
                <w:sz w:val="20"/>
              </w:rPr>
            </w:pPr>
            <w:r>
              <w:rPr>
                <w:sz w:val="20"/>
              </w:rPr>
              <w:t>To include any prospectus required by section 10(a)(3) of the Securities Act of 1933;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945"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iii.</w:t>
            </w:r>
          </w:p>
        </w:tc>
        <w:tc>
          <w:tcPr>
            <w:tcW w:w="9885"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sz w:val="20"/>
              </w:rPr>
            </w:pPr>
            <w:r>
              <w:rPr>
                <w:sz w:val="20"/>
              </w:rPr>
              <w:t>(2)</w:t>
            </w:r>
          </w:p>
        </w:tc>
        <w:tc>
          <w:tcPr>
            <w:tcW w:w="998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sz w:val="20"/>
              </w:rPr>
            </w:pPr>
            <w:r>
              <w:rPr>
                <w:sz w:val="20"/>
              </w:rPr>
              <w:t>(3)</w:t>
            </w:r>
          </w:p>
        </w:tc>
        <w:tc>
          <w:tcPr>
            <w:tcW w:w="996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sz w:val="20"/>
              </w:rPr>
            </w:pPr>
            <w:r>
              <w:rPr>
                <w:sz w:val="20"/>
              </w:rPr>
              <w:t>(4)</w:t>
            </w:r>
          </w:p>
        </w:tc>
        <w:tc>
          <w:tcPr>
            <w:tcW w:w="10000" w:type="dxa"/>
            <w:tcBorders/>
            <w:vAlign w:val="center"/>
          </w:tcPr>
          <w:p>
            <w:pPr>
              <w:pStyle w:val="TableContents"/>
              <w:bidi w:val="0"/>
              <w:spacing w:before="0" w:after="283"/>
              <w:jc w:val="both"/>
              <w:rPr>
                <w:sz w:val="20"/>
              </w:rPr>
            </w:pPr>
            <w:r>
              <w:rPr>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both"/>
              <w:rPr>
                <w:sz w:val="20"/>
              </w:rPr>
            </w:pPr>
            <w:r>
              <w:rPr>
                <w:sz w:val="20"/>
              </w:rPr>
              <w:t>(5)</w:t>
            </w:r>
          </w:p>
        </w:tc>
        <w:tc>
          <w:tcPr>
            <w:tcW w:w="9959"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26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(i)</w:t>
            </w:r>
          </w:p>
        </w:tc>
        <w:tc>
          <w:tcPr>
            <w:tcW w:w="9938" w:type="dxa"/>
            <w:tcBorders/>
            <w:vAlign w:val="center"/>
          </w:tcPr>
          <w:p>
            <w:pPr>
              <w:pStyle w:val="TableContents"/>
              <w:bidi w:val="0"/>
              <w:spacing w:before="0" w:after="283"/>
              <w:jc w:val="both"/>
              <w:rPr>
                <w:sz w:val="20"/>
              </w:rPr>
            </w:pPr>
            <w:r>
              <w:rPr>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w:t>
            </w:r>
          </w:p>
        </w:tc>
        <w:tc>
          <w:tcPr>
            <w:tcW w:w="9885" w:type="dxa"/>
            <w:tcBorders/>
            <w:vAlign w:val="center"/>
          </w:tcPr>
          <w:p>
            <w:pPr>
              <w:pStyle w:val="TableContents"/>
              <w:bidi w:val="0"/>
              <w:spacing w:before="0" w:after="283"/>
              <w:jc w:val="both"/>
              <w:rPr>
                <w:sz w:val="20"/>
              </w:rPr>
            </w:pPr>
            <w:r>
              <w:rPr>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20"/>
              </w:rPr>
            </w:pPr>
            <w:r>
              <w:rPr>
                <w:sz w:val="20"/>
              </w:rPr>
              <w:t>(iii)</w:t>
            </w:r>
          </w:p>
        </w:tc>
        <w:tc>
          <w:tcPr>
            <w:tcW w:w="9838" w:type="dxa"/>
            <w:tcBorders/>
            <w:vAlign w:val="center"/>
          </w:tcPr>
          <w:p>
            <w:pPr>
              <w:pStyle w:val="TableContents"/>
              <w:bidi w:val="0"/>
              <w:spacing w:before="0" w:after="283"/>
              <w:jc w:val="both"/>
              <w:rPr>
                <w:sz w:val="20"/>
              </w:rPr>
            </w:pPr>
            <w:r>
              <w:rPr>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305"/>
        <w:gridCol w:w="89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20"/>
              </w:rPr>
            </w:pPr>
            <w:r>
              <w:rPr>
                <w:sz w:val="20"/>
              </w:rPr>
              <w:t>(iv)</w:t>
            </w:r>
          </w:p>
        </w:tc>
        <w:tc>
          <w:tcPr>
            <w:tcW w:w="8915" w:type="dxa"/>
            <w:tcBorders/>
            <w:vAlign w:val="center"/>
          </w:tcPr>
          <w:p>
            <w:pPr>
              <w:pStyle w:val="TableContents"/>
              <w:bidi w:val="0"/>
              <w:spacing w:before="0" w:after="283"/>
              <w:jc w:val="both"/>
              <w:rPr>
                <w:sz w:val="20"/>
              </w:rPr>
            </w:pPr>
            <w:r>
              <w:rPr>
                <w:sz w:val="20"/>
              </w:rPr>
              <w:t>Any other communication that is an offer in the offering made by the undersigned Registrant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(b)</w:t>
            </w:r>
          </w:p>
        </w:tc>
        <w:tc>
          <w:tcPr>
            <w:tcW w:w="9999" w:type="dxa"/>
            <w:tcBorders/>
            <w:vAlign w:val="center"/>
          </w:tcPr>
          <w:p>
            <w:pPr>
              <w:pStyle w:val="TableContents"/>
              <w:bidi w:val="0"/>
              <w:spacing w:before="0" w:after="283"/>
              <w:jc w:val="both"/>
              <w:rPr>
                <w:sz w:val="20"/>
              </w:rPr>
            </w:pPr>
            <w:r>
              <w:rPr>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tc>
      </w:tr>
    </w:tbl>
    <w:p>
      <w:pPr>
        <w:pStyle w:val="TextBody"/>
        <w:bidi w:val="0"/>
        <w:spacing w:before="0" w:after="0"/>
        <w:ind w:left="268"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45"/>
        <w:gridCol w:w="4235"/>
      </w:tblGrid>
      <w:tr>
        <w:trPr/>
        <w:tc>
          <w:tcPr>
            <w:tcW w:w="245" w:type="dxa"/>
            <w:tcBorders/>
            <w:vAlign w:val="center"/>
          </w:tcPr>
          <w:p>
            <w:pPr>
              <w:pStyle w:val="TableContents"/>
              <w:bidi w:val="0"/>
              <w:spacing w:before="0" w:after="283"/>
              <w:jc w:val="both"/>
              <w:rPr>
                <w:sz w:val="20"/>
              </w:rPr>
            </w:pPr>
            <w:r>
              <w:rPr>
                <w:sz w:val="20"/>
              </w:rPr>
              <w:t>(c)</w:t>
            </w:r>
          </w:p>
        </w:tc>
        <w:tc>
          <w:tcPr>
            <w:tcW w:w="4235" w:type="dxa"/>
            <w:tcBorders/>
            <w:vAlign w:val="center"/>
          </w:tcPr>
          <w:p>
            <w:pPr>
              <w:pStyle w:val="TableContents"/>
              <w:bidi w:val="0"/>
              <w:spacing w:before="0" w:after="283"/>
              <w:jc w:val="both"/>
              <w:rPr>
                <w:sz w:val="20"/>
              </w:rPr>
            </w:pPr>
            <w:r>
              <w:rPr>
                <w:sz w:val="20"/>
              </w:rPr>
              <w:t>The undersigned Registrant hereby undertakes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10005" w:type="dxa"/>
            <w:tcBorders/>
            <w:vAlign w:val="center"/>
          </w:tcPr>
          <w:p>
            <w:pPr>
              <w:pStyle w:val="TableContents"/>
              <w:bidi w:val="0"/>
              <w:spacing w:before="0" w:after="283"/>
              <w:jc w:val="both"/>
              <w:rPr>
                <w:sz w:val="20"/>
              </w:rPr>
            </w:pPr>
            <w:r>
              <w:rPr>
                <w:sz w:val="20"/>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945" w:type="dxa"/>
            <w:tcBorders/>
            <w:vAlign w:val="center"/>
          </w:tcPr>
          <w:p>
            <w:pPr>
              <w:pStyle w:val="TableContents"/>
              <w:bidi w:val="0"/>
              <w:spacing w:before="0" w:after="283"/>
              <w:jc w:val="both"/>
              <w:rPr>
                <w:sz w:val="20"/>
              </w:rPr>
            </w:pPr>
            <w:r>
              <w:rPr>
                <w:sz w:val="20"/>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i/>
                <w:sz w:val="20"/>
              </w:rPr>
              <w:t>bona fide</w:t>
            </w:r>
            <w:r>
              <w:rPr>
                <w:sz w:val="20"/>
              </w:rPr>
              <w:t xml:space="preserv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on [●], 2026.</w:t>
      </w:r>
    </w:p>
    <w:p>
      <w:pPr>
        <w:pStyle w:val="TextBody"/>
        <w:bidi w:val="0"/>
        <w:spacing w:before="0" w:after="0"/>
        <w:ind w:left="0" w:right="0" w:hanging="0"/>
        <w:jc w:val="left"/>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427"/>
        <w:gridCol w:w="2472"/>
        <w:gridCol w:w="75"/>
      </w:tblGrid>
      <w:tr>
        <w:trPr/>
        <w:tc>
          <w:tcPr>
            <w:tcW w:w="2899"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427"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7" w:type="dxa"/>
            <w:tcBorders/>
            <w:vAlign w:val="center"/>
          </w:tcPr>
          <w:p>
            <w:pPr>
              <w:pStyle w:val="TableContents"/>
              <w:bidi w:val="0"/>
              <w:spacing w:before="0" w:after="283"/>
              <w:jc w:val="left"/>
              <w:rPr>
                <w:sz w:val="20"/>
              </w:rPr>
            </w:pPr>
            <w:r>
              <w:rPr>
                <w:sz w:val="20"/>
              </w:rPr>
              <w:t>By:</w:t>
            </w:r>
          </w:p>
        </w:tc>
        <w:tc>
          <w:tcPr>
            <w:tcW w:w="24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7"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427" w:type="dxa"/>
            <w:tcBorders/>
            <w:vAlign w:val="center"/>
          </w:tcPr>
          <w:p>
            <w:pPr>
              <w:pStyle w:val="TableContents"/>
              <w:bidi w:val="0"/>
              <w:spacing w:before="0" w:after="283"/>
              <w:jc w:val="left"/>
              <w:rPr/>
            </w:pPr>
            <w:r>
              <w:rPr/>
              <w:t> </w:t>
            </w:r>
          </w:p>
        </w:tc>
        <w:tc>
          <w:tcPr>
            <w:tcW w:w="2472"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Wing Fung Alfred Siu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on Form F-1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7605" w:type="dxa"/>
        <w:jc w:val="left"/>
        <w:tblInd w:w="0" w:type="dxa"/>
        <w:tblLayout w:type="fixed"/>
        <w:tblCellMar>
          <w:top w:w="0" w:type="dxa"/>
          <w:left w:w="0" w:type="dxa"/>
          <w:bottom w:w="28" w:type="dxa"/>
          <w:right w:w="0" w:type="dxa"/>
        </w:tblCellMar>
      </w:tblPr>
      <w:tblGrid>
        <w:gridCol w:w="2900"/>
        <w:gridCol w:w="60"/>
        <w:gridCol w:w="3590"/>
        <w:gridCol w:w="60"/>
        <w:gridCol w:w="995"/>
      </w:tblGrid>
      <w:tr>
        <w:trPr/>
        <w:tc>
          <w:tcPr>
            <w:tcW w:w="2900" w:type="dxa"/>
            <w:tcBorders>
              <w:bottom w:val="single" w:sz="12"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b/>
              </w:rPr>
            </w:pPr>
            <w:r>
              <w:rPr>
                <w:b/>
              </w:rPr>
              <w:t>Date</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r>
              <w:rPr/>
              <w:t>[●], 2026</w:t>
            </w:r>
          </w:p>
        </w:tc>
      </w:tr>
      <w:tr>
        <w:trPr/>
        <w:tc>
          <w:tcPr>
            <w:tcW w:w="2900" w:type="dxa"/>
            <w:tcBorders/>
            <w:tcMar>
              <w:bottom w:w="0" w:type="dxa"/>
            </w:tcMar>
            <w:vAlign w:val="center"/>
          </w:tcPr>
          <w:p>
            <w:pPr>
              <w:pStyle w:val="TableContents"/>
              <w:bidi w:val="0"/>
              <w:spacing w:before="0" w:after="283"/>
              <w:jc w:val="left"/>
              <w:rPr/>
            </w:pPr>
            <w:r>
              <w:rPr/>
              <w:t>Wing Fung Alfred Siu</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Director, Chief Marketing Officer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r>
              <w:rPr/>
              <w:t>[●], 2026</w:t>
            </w:r>
          </w:p>
        </w:tc>
      </w:tr>
      <w:tr>
        <w:trPr/>
        <w:tc>
          <w:tcPr>
            <w:tcW w:w="2900" w:type="dxa"/>
            <w:tcBorders/>
            <w:tcMar>
              <w:bottom w:w="0" w:type="dxa"/>
            </w:tcMar>
            <w:vAlign w:val="center"/>
          </w:tcPr>
          <w:p>
            <w:pPr>
              <w:pStyle w:val="TableContents"/>
              <w:bidi w:val="0"/>
              <w:spacing w:before="0" w:after="283"/>
              <w:jc w:val="left"/>
              <w:rPr/>
            </w:pPr>
            <w:r>
              <w:rPr/>
              <w:t>Hei Yue Tina Fong</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r>
              <w:rPr/>
              <w:t>[●], 2026</w:t>
            </w:r>
          </w:p>
        </w:tc>
      </w:tr>
      <w:tr>
        <w:trPr/>
        <w:tc>
          <w:tcPr>
            <w:tcW w:w="2900" w:type="dxa"/>
            <w:tcBorders/>
            <w:tcMar>
              <w:bottom w:w="0" w:type="dxa"/>
            </w:tcMar>
            <w:vAlign w:val="center"/>
          </w:tcPr>
          <w:p>
            <w:pPr>
              <w:pStyle w:val="TableContents"/>
              <w:bidi w:val="0"/>
              <w:spacing w:before="0" w:after="283"/>
              <w:jc w:val="left"/>
              <w:rPr/>
            </w:pPr>
            <w:r>
              <w:rPr/>
              <w:t>Hok Man Jefferson Au</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r>
              <w:rPr/>
              <w:t>[●], 2026</w:t>
            </w:r>
          </w:p>
        </w:tc>
      </w:tr>
      <w:tr>
        <w:trPr/>
        <w:tc>
          <w:tcPr>
            <w:tcW w:w="2900" w:type="dxa"/>
            <w:tcBorders>
              <w:top w:val="single" w:sz="12" w:space="0" w:color="000000"/>
            </w:tcBorders>
            <w:tcMar>
              <w:top w:w="28" w:type="dxa"/>
              <w:bottom w:w="0" w:type="dxa"/>
            </w:tcMar>
            <w:vAlign w:val="center"/>
          </w:tcPr>
          <w:p>
            <w:pPr>
              <w:pStyle w:val="TableContents"/>
              <w:bidi w:val="0"/>
              <w:spacing w:before="0" w:after="283"/>
              <w:jc w:val="left"/>
              <w:rPr/>
            </w:pPr>
            <w:r>
              <w:rPr/>
              <w:t>Florianna Ann Chi Wan Chan</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r>
              <w:rPr/>
              <w:t>[●], 2026</w:t>
            </w:r>
          </w:p>
        </w:tc>
      </w:tr>
      <w:tr>
        <w:trPr/>
        <w:tc>
          <w:tcPr>
            <w:tcW w:w="2900" w:type="dxa"/>
            <w:tcBorders/>
            <w:tcMar>
              <w:bottom w:w="0" w:type="dxa"/>
            </w:tcMar>
            <w:vAlign w:val="center"/>
          </w:tcPr>
          <w:p>
            <w:pPr>
              <w:pStyle w:val="TableContents"/>
              <w:bidi w:val="0"/>
              <w:spacing w:before="0" w:after="283"/>
              <w:jc w:val="left"/>
              <w:rPr/>
            </w:pPr>
            <w:r>
              <w:rPr/>
              <w:t>Tam Chun Wa</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2026</w:t>
            </w:r>
          </w:p>
        </w:tc>
      </w:tr>
      <w:tr>
        <w:trPr/>
        <w:tc>
          <w:tcPr>
            <w:tcW w:w="2900" w:type="dxa"/>
            <w:tcBorders/>
            <w:tcMar>
              <w:bottom w:w="0" w:type="dxa"/>
            </w:tcMar>
            <w:vAlign w:val="center"/>
          </w:tcPr>
          <w:p>
            <w:pPr>
              <w:pStyle w:val="TableContents"/>
              <w:bidi w:val="0"/>
              <w:spacing w:before="0" w:after="283"/>
              <w:jc w:val="left"/>
              <w:rPr/>
            </w:pPr>
            <w:r>
              <w:rPr/>
              <w:t>Lee Sze Mun</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2026</w:t>
            </w:r>
          </w:p>
        </w:tc>
      </w:tr>
      <w:tr>
        <w:trPr/>
        <w:tc>
          <w:tcPr>
            <w:tcW w:w="2900" w:type="dxa"/>
            <w:tcBorders/>
            <w:tcMar>
              <w:bottom w:w="0" w:type="dxa"/>
            </w:tcMar>
            <w:vAlign w:val="center"/>
          </w:tcPr>
          <w:p>
            <w:pPr>
              <w:pStyle w:val="TableContents"/>
              <w:bidi w:val="0"/>
              <w:spacing w:before="0" w:after="283"/>
              <w:jc w:val="left"/>
              <w:rPr/>
            </w:pPr>
            <w:r>
              <w:rPr/>
              <w:t>Kong Yiu Cheung</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2026</w:t>
            </w:r>
          </w:p>
        </w:tc>
      </w:tr>
      <w:tr>
        <w:trPr/>
        <w:tc>
          <w:tcPr>
            <w:tcW w:w="2900" w:type="dxa"/>
            <w:tcBorders/>
            <w:tcMar>
              <w:bottom w:w="0" w:type="dxa"/>
            </w:tcMar>
            <w:vAlign w:val="center"/>
          </w:tcPr>
          <w:p>
            <w:pPr>
              <w:pStyle w:val="TableContents"/>
              <w:bidi w:val="0"/>
              <w:spacing w:before="0" w:after="283"/>
              <w:jc w:val="left"/>
              <w:rPr/>
            </w:pPr>
            <w:r>
              <w:rPr/>
              <w:t>Lam Chun Tung Patrick</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2026</w:t>
            </w:r>
          </w:p>
        </w:tc>
      </w:tr>
      <w:tr>
        <w:trPr/>
        <w:tc>
          <w:tcPr>
            <w:tcW w:w="2900" w:type="dxa"/>
            <w:tcBorders/>
            <w:tcMar>
              <w:bottom w:w="0" w:type="dxa"/>
            </w:tcMar>
            <w:vAlign w:val="center"/>
          </w:tcPr>
          <w:p>
            <w:pPr>
              <w:pStyle w:val="TableContents"/>
              <w:bidi w:val="0"/>
              <w:spacing w:before="0" w:after="283"/>
              <w:jc w:val="left"/>
              <w:rPr/>
            </w:pPr>
            <w:r>
              <w:rPr/>
              <w:t>Lau Tsz Hin Vincent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r>
        <w:trPr/>
        <w:tc>
          <w:tcPr>
            <w:tcW w:w="2900"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r>
              <w:rPr/>
              <w:t>[●], 2026</w:t>
            </w:r>
          </w:p>
        </w:tc>
      </w:tr>
      <w:tr>
        <w:trPr/>
        <w:tc>
          <w:tcPr>
            <w:tcW w:w="2900" w:type="dxa"/>
            <w:tcBorders/>
            <w:tcMar>
              <w:bottom w:w="0" w:type="dxa"/>
            </w:tcMar>
            <w:vAlign w:val="center"/>
          </w:tcPr>
          <w:p>
            <w:pPr>
              <w:pStyle w:val="TableContents"/>
              <w:bidi w:val="0"/>
              <w:spacing w:before="0" w:after="283"/>
              <w:jc w:val="left"/>
              <w:rPr/>
            </w:pPr>
            <w:r>
              <w:rPr/>
              <w:t>Ho Fai Chung</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America of NewGenIvf Group Limited, has signed this registration statement in on [●], 2026.</w:t>
      </w:r>
    </w:p>
    <w:p>
      <w:pPr>
        <w:pStyle w:val="TextBody"/>
        <w:bidi w:val="0"/>
        <w:spacing w:before="0" w:after="0"/>
        <w:ind w:left="0" w:right="0" w:firstLine="720"/>
        <w:jc w:val="both"/>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both"/>
              <w:rPr>
                <w:b/>
                <w:sz w:val="20"/>
              </w:rPr>
            </w:pPr>
            <w:r>
              <w:rPr>
                <w:b/>
                <w:sz w:val="20"/>
              </w:rPr>
              <w:t>[   ]</w:t>
            </w:r>
          </w:p>
        </w:tc>
      </w:tr>
      <w:tr>
        <w:trPr/>
        <w:tc>
          <w:tcPr>
            <w:tcW w:w="75"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30" w:name="filename2.htm"/>
      <w:bookmarkStart w:id="31" w:name="ksfilename2"/>
      <w:bookmarkEnd w:id="30"/>
      <w:bookmarkEnd w:id="31"/>
      <w:r>
        <w:rPr>
          <w:b/>
        </w:rPr>
        <w:t>Exhibit 10.33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October 15, 2025,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$257,000.00 (the “Note”) with additional tranches of financing of up to $2,200,000.00 in the aggregate during the next twelve (12) months subject to further agreement by and between the Company and the Lender;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October 15, 2025,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z w:val="20"/>
          <w:u w:val="single"/>
        </w:rPr>
        <w:t>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z w:val="20"/>
          <w:u w:val="single"/>
        </w:rPr>
        <w:t>n and Quali</w:t>
      </w:r>
      <w:r>
        <w:rPr>
          <w:rFonts w:ascii="Times New Roman;Times;Serif" w:hAnsi="Times New Roman;Times;Serif"/>
          <w:b w:val="false"/>
          <w:i w:val="false"/>
          <w:caps w:val="false"/>
          <w:smallCaps w:val="false"/>
          <w:sz w:val="20"/>
        </w:rPr>
        <w:t>fi</w:t>
      </w:r>
      <w:r>
        <w:rPr>
          <w:rFonts w:ascii="Times New Roman;Times;Serif" w:hAnsi="Times New Roman;Times;Serif"/>
          <w:b w:val="false"/>
          <w:i w:val="false"/>
          <w:caps w:val="false"/>
          <w:smallCaps w:val="false"/>
          <w:sz w:val="20"/>
          <w:u w:val="single"/>
        </w:rPr>
        <w:t>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50,000,000 authorized shares, no par value per share, of which 1,828,574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w:t>
      </w:r>
      <w:r>
        <w:rPr>
          <w:rFonts w:ascii="Times New Roman;Times;Serif" w:hAnsi="Times New Roman;Times;Serif"/>
          <w:b w:val="false"/>
          <w:i w:val="false"/>
          <w:caps w:val="false"/>
          <w:smallCaps w:val="false"/>
          <w:sz w:val="20"/>
        </w:rPr>
        <w:t>ti</w:t>
      </w:r>
      <w:r>
        <w:rPr>
          <w:rFonts w:ascii="Times New Roman;Times;Serif" w:hAnsi="Times New Roman;Times;Serif"/>
          <w:b w:val="false"/>
          <w:i w:val="false"/>
          <w:caps w:val="false"/>
          <w:smallCaps w:val="false"/>
          <w:sz w:val="20"/>
          <w:u w:val="single"/>
        </w:rPr>
        <w:t>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$27,000.00 for Lender’s legal fees; due diligence fee and the Company’s investment bankers.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w:t>
      </w:r>
      <w:r>
        <w:rPr>
          <w:rFonts w:ascii="Times New Roman;Times;Serif" w:hAnsi="Times New Roman;Times;Serif"/>
          <w:b w:val="false"/>
          <w:i w:val="false"/>
          <w:caps w:val="false"/>
          <w:smallCaps w:val="false"/>
          <w:sz w:val="20"/>
          <w:u w:val="single"/>
        </w:rPr>
        <w:t>allison@nwlaw.com</w:t>
      </w:r>
      <w:r>
        <w:rPr>
          <w:rFonts w:ascii="Times New Roman;Times;Serif" w:hAnsi="Times New Roman;Times;Serif"/>
          <w:b w:val="false"/>
          <w:i w:val="false"/>
          <w:caps w:val="false"/>
          <w:smallCaps w:val="false"/>
          <w:sz w:val="20"/>
        </w:rPr>
        <w:t>.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59"/>
        <w:gridCol w:w="3075"/>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15"/>
        <w:gridCol w:w="2424"/>
        <w:gridCol w:w="75"/>
      </w:tblGrid>
      <w:tr>
        <w:trPr/>
        <w:tc>
          <w:tcPr>
            <w:tcW w:w="3139" w:type="dxa"/>
            <w:gridSpan w:val="2"/>
            <w:tcBorders/>
            <w:vAlign w:val="center"/>
          </w:tcPr>
          <w:p>
            <w:pPr>
              <w:pStyle w:val="TableContents"/>
              <w:bidi w:val="0"/>
              <w:spacing w:before="0" w:after="283"/>
              <w:jc w:val="left"/>
              <w:rPr>
                <w:b/>
              </w:rPr>
            </w:pPr>
            <w:r>
              <w:rPr>
                <w:b/>
              </w:rPr>
              <w:t>Vanquish Funding Group Inc.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By: </w:t>
            </w:r>
          </w:p>
        </w:tc>
        <w:tc>
          <w:tcPr>
            <w:tcW w:w="2424" w:type="dxa"/>
            <w:tcBorders>
              <w:bottom w:val="single" w:sz="12" w:space="0" w:color="000000"/>
            </w:tcBorders>
            <w:tcMar>
              <w:bottom w:w="28" w:type="dxa"/>
            </w:tcMar>
            <w:vAlign w:val="center"/>
          </w:tcPr>
          <w:p>
            <w:pPr>
              <w:pStyle w:val="TableContents"/>
              <w:bidi w:val="0"/>
              <w:spacing w:before="0" w:after="283"/>
              <w:jc w:val="left"/>
              <w:rPr/>
            </w:pPr>
            <w:r>
              <w:rPr/>
              <w:t>/s/ 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 xml:space="preserve">President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257,000.00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w:t>
        <w:b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$257,000</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3200"/>
        <w:gridCol w:w="3005"/>
      </w:tblGrid>
      <w:tr>
        <w:trPr/>
        <w:tc>
          <w:tcPr>
            <w:tcW w:w="3200" w:type="dxa"/>
            <w:tcBorders/>
            <w:vAlign w:val="center"/>
          </w:tcPr>
          <w:p>
            <w:pPr>
              <w:pStyle w:val="TableContents"/>
              <w:bidi w:val="0"/>
              <w:spacing w:before="0" w:after="283"/>
              <w:jc w:val="left"/>
              <w:rPr>
                <w:b/>
              </w:rPr>
            </w:pPr>
            <w:r>
              <w:rPr>
                <w:b/>
              </w:rPr>
              <w:t>Principal Amount: $257,000.00</w:t>
            </w:r>
          </w:p>
        </w:tc>
        <w:tc>
          <w:tcPr>
            <w:tcW w:w="3005" w:type="dxa"/>
            <w:tcBorders/>
            <w:vAlign w:val="center"/>
          </w:tcPr>
          <w:p>
            <w:pPr>
              <w:pStyle w:val="TableContents"/>
              <w:bidi w:val="0"/>
              <w:spacing w:before="0" w:after="283"/>
              <w:jc w:val="right"/>
              <w:rPr>
                <w:b/>
              </w:rPr>
            </w:pPr>
            <w:r>
              <w:rPr>
                <w:b/>
              </w:rPr>
              <w:t>Issue Date: October 15 ,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$257,000.00 together with any interest as set forth herein, on July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8378"/>
        <w:gridCol w:w="1827"/>
      </w:tblGrid>
      <w:tr>
        <w:trPr/>
        <w:tc>
          <w:tcPr>
            <w:tcW w:w="83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u w:val="single"/>
              </w:rPr>
            </w:pPr>
            <w:r>
              <w:rPr>
                <w:b/>
                <w:u w:val="single"/>
              </w:rPr>
              <w:t>Prepayment Period</w:t>
            </w:r>
          </w:p>
        </w:tc>
        <w:tc>
          <w:tcPr>
            <w:tcW w:w="18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u w:val="single"/>
              </w:rPr>
            </w:pPr>
            <w:r>
              <w:rPr>
                <w:b/>
                <w:u w:val="single"/>
              </w:rPr>
              <w:t>Prepayment Percentage</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120%</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w:t>
      </w:r>
      <w:r>
        <w:rPr>
          <w:rFonts w:ascii="Times New Roman;Times;Serif" w:hAnsi="Times New Roman;Times;Serif"/>
          <w:b w:val="false"/>
          <w:i w:val="false"/>
          <w:caps w:val="false"/>
          <w:smallCaps w:val="false"/>
          <w:sz w:val="20"/>
        </w:rPr>
        <w:t>n</w:t>
      </w:r>
      <w:r>
        <w:rPr>
          <w:rFonts w:ascii="Times New Roman;Times;Serif" w:hAnsi="Times New Roman;Times;Serif"/>
          <w:b w:val="false"/>
          <w:i w:val="false"/>
          <w:caps w:val="false"/>
          <w:smallCaps w:val="false"/>
          <w:sz w:val="20"/>
          <w:u w:val="single"/>
        </w:rPr>
        <w:t>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sz w:val="20"/>
          <w:u w:val="single"/>
        </w:rPr>
        <w:t>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October 15, 2025</w:t>
      </w:r>
    </w:p>
    <w:p>
      <w:pPr>
        <w:pStyle w:val="TextBody"/>
        <w:bidi w:val="0"/>
        <w:spacing w:before="0" w:after="0"/>
        <w:ind w:left="0" w:right="0" w:hanging="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86"/>
        <w:gridCol w:w="3048"/>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By: </w:t>
            </w:r>
          </w:p>
        </w:tc>
        <w:tc>
          <w:tcPr>
            <w:tcW w:w="30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November 4, 2025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05"/>
        <w:gridCol w:w="60"/>
        <w:gridCol w:w="75"/>
      </w:tblGrid>
      <w:tr>
        <w:trPr/>
        <w:tc>
          <w:tcPr>
            <w:tcW w:w="605"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b/>
        </w:rPr>
      </w:pPr>
      <w:bookmarkStart w:id="32" w:name="filename3.htm"/>
      <w:bookmarkStart w:id="33" w:name="ksfilename3"/>
      <w:bookmarkEnd w:id="32"/>
      <w:bookmarkEnd w:id="33"/>
      <w:r>
        <w:rPr>
          <w:b/>
        </w:rPr>
        <w:t>Exhibit 10.34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November 4, 2025,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$157,000.00 (the “Note”) with additional tranches of financing of up to $2,200,000.00 in the aggregate during the next twelve (12) months subject to further agreement by and between the Company and the Lender;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November 4, 2025,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50,000,000 authorized shares, no par value per share, of which 1,828,574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$27,000.00 for Lender’s legal fees; due diligence fee and the Company’s investment bankers.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w:t>
      </w:r>
      <w:r>
        <w:rPr>
          <w:rFonts w:ascii="Times New Roman;Times;Serif" w:hAnsi="Times New Roman;Times;Serif"/>
          <w:b w:val="false"/>
          <w:i w:val="false"/>
          <w:caps w:val="false"/>
          <w:smallCaps w:val="false"/>
          <w:sz w:val="20"/>
          <w:u w:val="single"/>
        </w:rPr>
        <w:t>allison@nwlaw.com</w:t>
      </w:r>
      <w:r>
        <w:rPr>
          <w:rFonts w:ascii="Times New Roman;Times;Serif" w:hAnsi="Times New Roman;Times;Serif"/>
          <w:b w:val="false"/>
          <w:i w:val="false"/>
          <w:caps w:val="false"/>
          <w:smallCaps w:val="false"/>
          <w:sz w:val="20"/>
        </w:rPr>
        <w:t>.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59"/>
        <w:gridCol w:w="3075"/>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By: </w:t>
            </w:r>
          </w:p>
        </w:tc>
        <w:tc>
          <w:tcPr>
            <w:tcW w:w="3075"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283"/>
              <w:jc w:val="left"/>
              <w:rPr/>
            </w:pPr>
            <w:r>
              <w:rPr/>
              <w:t> </w:t>
            </w:r>
          </w:p>
        </w:tc>
        <w:tc>
          <w:tcPr>
            <w:tcW w:w="307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15"/>
        <w:gridCol w:w="2424"/>
        <w:gridCol w:w="75"/>
      </w:tblGrid>
      <w:tr>
        <w:trPr/>
        <w:tc>
          <w:tcPr>
            <w:tcW w:w="3139" w:type="dxa"/>
            <w:gridSpan w:val="2"/>
            <w:tcBorders/>
            <w:vAlign w:val="center"/>
          </w:tcPr>
          <w:p>
            <w:pPr>
              <w:pStyle w:val="TableContents"/>
              <w:bidi w:val="0"/>
              <w:spacing w:before="0" w:after="283"/>
              <w:jc w:val="left"/>
              <w:rPr>
                <w:b/>
              </w:rPr>
            </w:pPr>
            <w:r>
              <w:rPr>
                <w:b/>
              </w:rPr>
              <w:t>Vanquish Funding Group Inc.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By: </w:t>
            </w:r>
          </w:p>
        </w:tc>
        <w:tc>
          <w:tcPr>
            <w:tcW w:w="2424" w:type="dxa"/>
            <w:tcBorders>
              <w:bottom w:val="single" w:sz="12" w:space="0" w:color="000000"/>
            </w:tcBorders>
            <w:tcMar>
              <w:bottom w:w="28" w:type="dxa"/>
            </w:tcMar>
            <w:vAlign w:val="center"/>
          </w:tcPr>
          <w:p>
            <w:pPr>
              <w:pStyle w:val="TableContents"/>
              <w:bidi w:val="0"/>
              <w:spacing w:before="0" w:after="283"/>
              <w:jc w:val="left"/>
              <w:rPr/>
            </w:pPr>
            <w:r>
              <w:rPr/>
              <w:t>/s/ 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Curt Kramer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pPr>
            <w:r>
              <w:rPr/>
              <w:t xml:space="preserve">President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157,000.00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w:t>
        <w:b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200"/>
        <w:gridCol w:w="3065"/>
      </w:tblGrid>
      <w:tr>
        <w:trPr/>
        <w:tc>
          <w:tcPr>
            <w:tcW w:w="3200" w:type="dxa"/>
            <w:tcBorders/>
            <w:vAlign w:val="center"/>
          </w:tcPr>
          <w:p>
            <w:pPr>
              <w:pStyle w:val="TableContents"/>
              <w:bidi w:val="0"/>
              <w:spacing w:before="0" w:after="283"/>
              <w:jc w:val="left"/>
              <w:rPr>
                <w:b/>
              </w:rPr>
            </w:pPr>
            <w:r>
              <w:rPr>
                <w:b/>
              </w:rPr>
              <w:t>Principal Amount: $157,000.00</w:t>
            </w:r>
          </w:p>
        </w:tc>
        <w:tc>
          <w:tcPr>
            <w:tcW w:w="3065" w:type="dxa"/>
            <w:tcBorders/>
            <w:vAlign w:val="center"/>
          </w:tcPr>
          <w:p>
            <w:pPr>
              <w:pStyle w:val="TableContents"/>
              <w:bidi w:val="0"/>
              <w:spacing w:before="0" w:after="283"/>
              <w:jc w:val="right"/>
              <w:rPr>
                <w:b/>
              </w:rPr>
            </w:pPr>
            <w:r>
              <w:rPr>
                <w:b/>
              </w:rPr>
              <w:t>Issue Date: November 4,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$157,000.00 together with any interest as set forth herein, on July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8378"/>
        <w:gridCol w:w="1827"/>
      </w:tblGrid>
      <w:tr>
        <w:trPr/>
        <w:tc>
          <w:tcPr>
            <w:tcW w:w="837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u w:val="single"/>
              </w:rPr>
            </w:pPr>
            <w:r>
              <w:rPr>
                <w:b/>
                <w:u w:val="single"/>
              </w:rPr>
              <w:t>Prepayment Period</w:t>
            </w:r>
          </w:p>
        </w:tc>
        <w:tc>
          <w:tcPr>
            <w:tcW w:w="18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u w:val="single"/>
              </w:rPr>
            </w:pPr>
            <w:r>
              <w:rPr>
                <w:b/>
                <w:u w:val="single"/>
              </w:rPr>
              <w:t>Prepayment Percentage</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120%</w:t>
            </w:r>
          </w:p>
        </w:tc>
      </w:tr>
      <w:tr>
        <w:trPr/>
        <w:tc>
          <w:tcPr>
            <w:tcW w:w="837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18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November 4, 2025</w:t>
      </w:r>
    </w:p>
    <w:p>
      <w:pPr>
        <w:pStyle w:val="TextBody"/>
        <w:bidi w:val="0"/>
        <w:spacing w:before="0" w:after="0"/>
        <w:ind w:left="0" w:right="0" w:hanging="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586"/>
        <w:gridCol w:w="3048"/>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By: </w:t>
            </w:r>
          </w:p>
        </w:tc>
        <w:tc>
          <w:tcPr>
            <w:tcW w:w="30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586" w:type="dxa"/>
            <w:tcBorders/>
            <w:vAlign w:val="center"/>
          </w:tcPr>
          <w:p>
            <w:pPr>
              <w:pStyle w:val="TableContents"/>
              <w:bidi w:val="0"/>
              <w:spacing w:before="0" w:after="283"/>
              <w:jc w:val="left"/>
              <w:rPr/>
            </w:pPr>
            <w:r>
              <w:rPr/>
              <w:t> </w:t>
            </w:r>
          </w:p>
        </w:tc>
        <w:tc>
          <w:tcPr>
            <w:tcW w:w="3048"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November 4, 2025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05"/>
        <w:gridCol w:w="60"/>
        <w:gridCol w:w="75"/>
      </w:tblGrid>
      <w:tr>
        <w:trPr/>
        <w:tc>
          <w:tcPr>
            <w:tcW w:w="605"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b/>
        </w:rPr>
      </w:pPr>
      <w:bookmarkStart w:id="34" w:name="filename4.htm"/>
      <w:bookmarkStart w:id="35" w:name="ksfilename4"/>
      <w:bookmarkEnd w:id="34"/>
      <w:bookmarkEnd w:id="35"/>
      <w:r>
        <w:rPr>
          <w:b/>
        </w:rPr>
        <w:t>Exhibit 10.35</w:t>
      </w:r>
      <w:r>
        <w:br w:type="page"/>
      </w:r>
    </w:p>
    <w:p>
      <w:pPr>
        <w:pStyle w:val="TextBody"/>
        <w:bidi w:val="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(the “Agreement”), dated as of January 22,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$107,000.00 (the “Note”) with additional tranches of financing of up to $2,200,000.00 in the aggregate during the next twelve (12) months subject to further agreement by and between the Company and the Lender;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January 22,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50,000,000 authorized shares, no par value per share, of which 1,277,956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$27,000.00 for Lender’s legal fees; due diligence fee and the Company’s investment bankers.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615"/>
        <w:gridCol w:w="9474"/>
      </w:tblGrid>
      <w:tr>
        <w:trPr/>
        <w:tc>
          <w:tcPr>
            <w:tcW w:w="1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8.</w:t>
            </w:r>
          </w:p>
        </w:tc>
        <w:tc>
          <w:tcPr>
            <w:tcW w:w="9474" w:type="dxa"/>
            <w:tcBorders/>
            <w:vAlign w:val="center"/>
          </w:tcPr>
          <w:p>
            <w:pPr>
              <w:pStyle w:val="TableContents"/>
              <w:bidi w:val="0"/>
              <w:spacing w:before="0" w:after="283"/>
              <w:jc w:val="both"/>
              <w:rPr/>
            </w:pPr>
            <w:r>
              <w:rPr>
                <w:u w:val="single"/>
              </w:rPr>
              <w:t>Governing Law; Miscellaneous</w:t>
            </w:r>
            <w:r>
              <w:rPr/>
              <w:t>.</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allison@nwlaw.com. Each party shall provide notice to the other party of any change in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454"/>
        <w:gridCol w:w="2445"/>
        <w:gridCol w:w="75"/>
      </w:tblGrid>
      <w:tr>
        <w:trPr/>
        <w:tc>
          <w:tcPr>
            <w:tcW w:w="2899"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4" w:type="dxa"/>
            <w:tcBorders/>
            <w:vAlign w:val="center"/>
          </w:tcPr>
          <w:p>
            <w:pPr>
              <w:pStyle w:val="TableContents"/>
              <w:bidi w:val="0"/>
              <w:spacing w:before="0" w:after="283"/>
              <w:jc w:val="left"/>
              <w:rPr>
                <w:sz w:val="20"/>
              </w:rPr>
            </w:pPr>
            <w:r>
              <w:rPr>
                <w:sz w:val="20"/>
              </w:rPr>
              <w:t>By: </w:t>
            </w:r>
          </w:p>
        </w:tc>
        <w:tc>
          <w:tcPr>
            <w:tcW w:w="24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c>
          <w:tcPr>
            <w:tcW w:w="75" w:type="dxa"/>
            <w:tcBorders/>
            <w:vAlign w:val="center"/>
          </w:tcPr>
          <w:p>
            <w:pPr>
              <w:pStyle w:val="TableContents"/>
              <w:bidi w:val="0"/>
              <w:spacing w:before="0" w:after="283"/>
              <w:jc w:val="left"/>
              <w:rPr/>
            </w:pPr>
            <w:r>
              <w:rPr/>
              <w:t> </w:t>
            </w:r>
          </w:p>
        </w:tc>
      </w:tr>
      <w:tr>
        <w:trPr/>
        <w:tc>
          <w:tcPr>
            <w:tcW w:w="454"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454"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592"/>
        <w:gridCol w:w="1947"/>
        <w:gridCol w:w="75"/>
      </w:tblGrid>
      <w:tr>
        <w:trPr/>
        <w:tc>
          <w:tcPr>
            <w:tcW w:w="2539" w:type="dxa"/>
            <w:gridSpan w:val="2"/>
            <w:tcBorders/>
            <w:vAlign w:val="center"/>
          </w:tcPr>
          <w:p>
            <w:pPr>
              <w:pStyle w:val="TableContents"/>
              <w:bidi w:val="0"/>
              <w:spacing w:before="0" w:after="283"/>
              <w:jc w:val="left"/>
              <w:rPr>
                <w:b/>
                <w:sz w:val="20"/>
              </w:rPr>
            </w:pPr>
            <w:r>
              <w:rPr>
                <w:b/>
                <w:sz w:val="20"/>
              </w:rPr>
              <w:t>Vanquish Funding Group Inc.</w:t>
            </w:r>
          </w:p>
        </w:tc>
        <w:tc>
          <w:tcPr>
            <w:tcW w:w="75" w:type="dxa"/>
            <w:tcBorders/>
            <w:vAlign w:val="center"/>
          </w:tcPr>
          <w:p>
            <w:pPr>
              <w:pStyle w:val="TableContents"/>
              <w:bidi w:val="0"/>
              <w:spacing w:before="0" w:after="283"/>
              <w:jc w:val="left"/>
              <w:rPr/>
            </w:pPr>
            <w:r>
              <w:rPr/>
              <w:t> </w:t>
            </w:r>
          </w:p>
        </w:tc>
      </w:tr>
      <w:tr>
        <w:trPr/>
        <w:tc>
          <w:tcPr>
            <w:tcW w:w="25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left"/>
              <w:rPr>
                <w:sz w:val="20"/>
              </w:rPr>
            </w:pPr>
            <w:r>
              <w:rPr>
                <w:sz w:val="20"/>
              </w:rPr>
              <w:t>By: </w:t>
            </w:r>
          </w:p>
        </w:tc>
        <w:tc>
          <w:tcPr>
            <w:tcW w:w="194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Curt Kramer</w:t>
            </w:r>
          </w:p>
        </w:tc>
        <w:tc>
          <w:tcPr>
            <w:tcW w:w="75"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sz w:val="20"/>
              </w:rPr>
            </w:pPr>
            <w:r>
              <w:rPr>
                <w:sz w:val="20"/>
              </w:rPr>
              <w:t>Curt Kramer</w:t>
            </w:r>
          </w:p>
        </w:tc>
        <w:tc>
          <w:tcPr>
            <w:tcW w:w="75"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left"/>
              <w:rPr/>
            </w:pPr>
            <w:r>
              <w:rPr/>
              <w:t> </w:t>
            </w:r>
          </w:p>
        </w:tc>
        <w:tc>
          <w:tcPr>
            <w:tcW w:w="1947"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107,000.00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4"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$107,000.00</w:t>
      </w:r>
    </w:p>
    <w:p>
      <w:pPr>
        <w:pStyle w:val="TextBody"/>
        <w:bidi w:val="0"/>
        <w:spacing w:before="0" w:after="0"/>
        <w:ind w:left="0" w:right="0" w:hanging="0"/>
        <w:jc w:val="center"/>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690"/>
        <w:gridCol w:w="2525"/>
      </w:tblGrid>
      <w:tr>
        <w:trPr/>
        <w:tc>
          <w:tcPr>
            <w:tcW w:w="2690" w:type="dxa"/>
            <w:tcBorders/>
            <w:vAlign w:val="center"/>
          </w:tcPr>
          <w:p>
            <w:pPr>
              <w:pStyle w:val="TableContents"/>
              <w:bidi w:val="0"/>
              <w:spacing w:before="0" w:after="283"/>
              <w:jc w:val="both"/>
              <w:rPr>
                <w:b/>
                <w:sz w:val="20"/>
              </w:rPr>
            </w:pPr>
            <w:r>
              <w:rPr>
                <w:b/>
                <w:sz w:val="20"/>
              </w:rPr>
              <w:t>Principal Amount: $107,000.00</w:t>
            </w:r>
          </w:p>
        </w:tc>
        <w:tc>
          <w:tcPr>
            <w:tcW w:w="2525" w:type="dxa"/>
            <w:tcBorders/>
            <w:vAlign w:val="center"/>
          </w:tcPr>
          <w:p>
            <w:pPr>
              <w:pStyle w:val="TableContents"/>
              <w:bidi w:val="0"/>
              <w:spacing w:before="0" w:after="283"/>
              <w:jc w:val="right"/>
              <w:rPr>
                <w:b/>
                <w:sz w:val="20"/>
              </w:rPr>
            </w:pPr>
            <w:r>
              <w:rPr>
                <w:b/>
                <w:sz w:val="20"/>
              </w:rPr>
              <w:t xml:space="preserve">Issue Date: January 22, 2026 </w:t>
            </w:r>
          </w:p>
        </w:tc>
      </w:tr>
      <w:tr>
        <w:trPr/>
        <w:tc>
          <w:tcPr>
            <w:tcW w:w="2690" w:type="dxa"/>
            <w:tcBorders/>
            <w:vAlign w:val="center"/>
          </w:tcPr>
          <w:p>
            <w:pPr>
              <w:pStyle w:val="TableContents"/>
              <w:bidi w:val="0"/>
              <w:spacing w:before="0" w:after="283"/>
              <w:jc w:val="both"/>
              <w:rPr>
                <w:b/>
                <w:sz w:val="20"/>
              </w:rPr>
            </w:pPr>
            <w:r>
              <w:rPr>
                <w:b/>
                <w:sz w:val="20"/>
              </w:rPr>
              <w:t>107,000.00107,000.00</w:t>
            </w:r>
          </w:p>
        </w:tc>
        <w:tc>
          <w:tcPr>
            <w:tcW w:w="252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$107,000.00 together with any interest as set forth herein, on October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60" w:type="dxa"/>
          <w:right w:w="60" w:type="dxa"/>
        </w:tblCellMar>
      </w:tblPr>
      <w:tblGrid>
        <w:gridCol w:w="8653"/>
        <w:gridCol w:w="1552"/>
      </w:tblGrid>
      <w:tr>
        <w:trPr/>
        <w:tc>
          <w:tcPr>
            <w:tcW w:w="865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u w:val="single"/>
              </w:rPr>
            </w:pPr>
            <w:r>
              <w:rPr>
                <w:b/>
                <w:sz w:val="20"/>
                <w:u w:val="single"/>
              </w:rPr>
              <w:t>Prepayment Period</w:t>
            </w:r>
          </w:p>
        </w:tc>
        <w:tc>
          <w:tcPr>
            <w:tcW w:w="1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b/>
                <w:sz w:val="20"/>
                <w:u w:val="single"/>
              </w:rPr>
            </w:pPr>
            <w:r>
              <w:rPr>
                <w:b/>
                <w:sz w:val="20"/>
                <w:u w:val="single"/>
              </w:rPr>
              <w:t>Prepayment Percentage</w:t>
            </w:r>
          </w:p>
        </w:tc>
      </w:tr>
      <w:tr>
        <w:trPr/>
        <w:tc>
          <w:tcPr>
            <w:tcW w:w="865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155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center"/>
              <w:rPr>
                <w:sz w:val="20"/>
              </w:rPr>
            </w:pPr>
            <w:r>
              <w:rPr>
                <w:sz w:val="20"/>
              </w:rPr>
              <w:t>120%</w:t>
            </w:r>
          </w:p>
        </w:tc>
      </w:tr>
      <w:tr>
        <w:trPr/>
        <w:tc>
          <w:tcPr>
            <w:tcW w:w="865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1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January 22, 2026</w:t>
      </w:r>
    </w:p>
    <w:p>
      <w:pPr>
        <w:pStyle w:val="TextBody"/>
        <w:bidi w:val="0"/>
        <w:spacing w:before="0" w:after="0"/>
        <w:ind w:left="0" w:right="0" w:hanging="0"/>
        <w:jc w:val="both"/>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475"/>
        <w:gridCol w:w="2425"/>
        <w:gridCol w:w="75"/>
      </w:tblGrid>
      <w:tr>
        <w:trPr/>
        <w:tc>
          <w:tcPr>
            <w:tcW w:w="2900"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29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5" w:type="dxa"/>
            <w:tcBorders/>
            <w:vAlign w:val="center"/>
          </w:tcPr>
          <w:p>
            <w:pPr>
              <w:pStyle w:val="TableContents"/>
              <w:bidi w:val="0"/>
              <w:spacing w:before="0" w:after="283"/>
              <w:jc w:val="left"/>
              <w:rPr>
                <w:sz w:val="20"/>
              </w:rPr>
            </w:pPr>
            <w:r>
              <w:rPr>
                <w:sz w:val="20"/>
              </w:rPr>
              <w:t>By: </w:t>
            </w:r>
          </w:p>
        </w:tc>
        <w:tc>
          <w:tcPr>
            <w:tcW w:w="24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5" w:type="dxa"/>
            <w:tcBorders/>
            <w:vAlign w:val="center"/>
          </w:tcPr>
          <w:p>
            <w:pPr>
              <w:pStyle w:val="TableContents"/>
              <w:bidi w:val="0"/>
              <w:spacing w:before="0" w:after="283"/>
              <w:jc w:val="left"/>
              <w:rPr/>
            </w:pPr>
            <w:r>
              <w:rPr/>
              <w:t> </w:t>
            </w:r>
          </w:p>
        </w:tc>
        <w:tc>
          <w:tcPr>
            <w:tcW w:w="2425"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475" w:type="dxa"/>
            <w:tcBorders/>
            <w:vAlign w:val="center"/>
          </w:tcPr>
          <w:p>
            <w:pPr>
              <w:pStyle w:val="TableContents"/>
              <w:bidi w:val="0"/>
              <w:spacing w:before="0" w:after="283"/>
              <w:jc w:val="left"/>
              <w:rPr/>
            </w:pPr>
            <w:r>
              <w:rPr/>
              <w:t> </w:t>
            </w:r>
          </w:p>
        </w:tc>
        <w:tc>
          <w:tcPr>
            <w:tcW w:w="2425"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January 22, 2026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72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36" w:name="filename5.htm"/>
      <w:bookmarkStart w:id="37" w:name="ksfilename5"/>
      <w:bookmarkEnd w:id="36"/>
      <w:bookmarkEnd w:id="37"/>
      <w:r>
        <w:rPr>
          <w:b/>
        </w:rPr>
        <w:t>Exhibit 10.36</w:t>
      </w:r>
      <w:r>
        <w:br w:type="page"/>
      </w:r>
    </w:p>
    <w:p>
      <w:pPr>
        <w:pStyle w:val="TextBody"/>
        <w:bidi w:val="0"/>
        <w:jc w:val="both"/>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November 12, 2025,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LABRYS FUND II, L.P.</w:t>
      </w:r>
      <w:r>
        <w:rPr>
          <w:rFonts w:ascii="Times New Roman;Times;Serif" w:hAnsi="Times New Roman;Times;Serif"/>
          <w:b w:val="false"/>
          <w:i w:val="false"/>
          <w:caps w:val="false"/>
          <w:smallCaps w:val="false"/>
          <w:sz w:val="20"/>
        </w:rPr>
        <w:t>, a Delaware limited partnership, with its address at 145 Tremont Street, Suite 201-1408, Boston, MA 02111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$250,000.00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$232,500.00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the Buyer shall withhold (i) $6,000.00 from the Purchase Price to cover the Buyer’s legal fees in connection with the transactions contemplated by this Agreement and (ii) $5,000.00 from the Purchase Price to be paid to Labrys II Management, LLC to cover the Holder’s due diligence costs in connection with the transactions contemplated by this Agreement. On the Closing, the Buyer shall also withhold a sum of $15,000.00 from the Purchase Price to cover the payment of the Company’s fees owed to Enclave Capital LLC, a registered broker-dealer (CRD #22732) (the “Placement Agent”)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300" w:right="0" w:firstLine="21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November 12, 2025, the authorized capital stock of the Company consists of: (i) unlimited authorized shares of Common Stock, of which 5,948,596 shares were issued and outstanding, (ii) unlimited authorized shares of Class B ordinary shares, of which 4,106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as applicable,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as applicable,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2024,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 The Company has never been a “shell company” as described in Rule 144(i)(1)(i).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with respect to the Placement Agent,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2024,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for any other purpose, including but not limited to (i) the repayment of any indebtedness owed to officers, directors or employees of the Company or their affiliates, (ii) the repayment of any debt issued in corporate finance transactions (including but not limited to promissory notes that have the ability to be converted into Common Stock), (iii) any loan to or investment in any other corporation, partnership, enterprise or other person (except in connection with the Company’s currently existing operations), (iv) any loan, credit, or advance to any officers, directors, employees, or affiliates of the Company, or (v)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(a) change the nature of its business; or (b) sell, divest, acquire, change the structure of any material assets other than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merger or consolidation or sale of all or substantially all of the Company’s assets, where the surviving or successor entity in such transaction (i) assumes the Company’s obligations hereunder and under the agreements and instruments entered into in connection herewith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 The Company hereby agrees that it may never take the position that it is a “shell company” in connection with its obligations under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residence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the Commonwealth of Massachusetts.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the Commonwealth of Massachusetts,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the Commonwealth of Massachusetts,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29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LABRYS FUND II, L.P.</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Tremont Street, Suite 201-1408</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admin@labrysii.com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130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35"/>
        <w:gridCol w:w="545"/>
        <w:gridCol w:w="2543"/>
        <w:gridCol w:w="75"/>
      </w:tblGrid>
      <w:tr>
        <w:trPr/>
        <w:tc>
          <w:tcPr>
            <w:tcW w:w="3423" w:type="dxa"/>
            <w:gridSpan w:val="3"/>
            <w:tcBorders/>
            <w:vAlign w:val="center"/>
          </w:tcPr>
          <w:p>
            <w:pPr>
              <w:pStyle w:val="TableContents"/>
              <w:bidi w:val="0"/>
              <w:spacing w:before="0" w:after="283"/>
              <w:jc w:val="both"/>
              <w:rPr>
                <w:b/>
                <w:caps/>
                <w:sz w:val="20"/>
              </w:rPr>
            </w:pPr>
            <w:r>
              <w:rPr>
                <w:b/>
                <w:caps/>
                <w:sz w:val="20"/>
              </w:rPr>
              <w:t>NewGenIvf Group Limited</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88" w:type="dxa"/>
            <w:gridSpan w:val="2"/>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5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5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LABRYS FUND II, L.P.</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Labrys II GP, LLC, its General Partner</w:t>
            </w:r>
          </w:p>
        </w:tc>
        <w:tc>
          <w:tcPr>
            <w:tcW w:w="75" w:type="dxa"/>
            <w:tcBorders/>
            <w:vAlign w:val="center"/>
          </w:tcPr>
          <w:p>
            <w:pPr>
              <w:pStyle w:val="TableContents"/>
              <w:bidi w:val="0"/>
              <w:spacing w:before="0" w:after="283"/>
              <w:jc w:val="both"/>
              <w:rPr/>
            </w:pPr>
            <w:r>
              <w:rPr/>
              <w:t> </w:t>
            </w:r>
          </w:p>
        </w:tc>
      </w:tr>
      <w:tr>
        <w:trPr/>
        <w:tc>
          <w:tcPr>
            <w:tcW w:w="3423"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88" w:type="dxa"/>
            <w:gridSpan w:val="2"/>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5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THOMAS SILVERMAN</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3980"/>
        <w:gridCol w:w="2645"/>
      </w:tblGrid>
      <w:tr>
        <w:trPr/>
        <w:tc>
          <w:tcPr>
            <w:tcW w:w="3980" w:type="dxa"/>
            <w:tcBorders/>
            <w:vAlign w:val="center"/>
          </w:tcPr>
          <w:p>
            <w:pPr>
              <w:pStyle w:val="TableContents"/>
              <w:bidi w:val="0"/>
              <w:spacing w:before="0" w:after="283"/>
              <w:jc w:val="both"/>
              <w:rPr>
                <w:b/>
                <w:sz w:val="20"/>
              </w:rPr>
            </w:pPr>
            <w:r>
              <w:rPr>
                <w:b/>
                <w:sz w:val="20"/>
              </w:rPr>
              <w:t>Principal Amount: $250,000.00</w:t>
            </w:r>
          </w:p>
        </w:tc>
        <w:tc>
          <w:tcPr>
            <w:tcW w:w="2645" w:type="dxa"/>
            <w:tcBorders/>
            <w:vAlign w:val="center"/>
          </w:tcPr>
          <w:p>
            <w:pPr>
              <w:pStyle w:val="TableContents"/>
              <w:bidi w:val="0"/>
              <w:spacing w:before="0" w:after="283"/>
              <w:jc w:val="right"/>
              <w:rPr>
                <w:b/>
                <w:sz w:val="20"/>
              </w:rPr>
            </w:pPr>
            <w:r>
              <w:rPr>
                <w:b/>
                <w:sz w:val="20"/>
              </w:rPr>
              <w:t>Issue Date: November 12, 2025</w:t>
            </w:r>
          </w:p>
        </w:tc>
      </w:tr>
      <w:tr>
        <w:trPr/>
        <w:tc>
          <w:tcPr>
            <w:tcW w:w="3980" w:type="dxa"/>
            <w:tcBorders/>
            <w:vAlign w:val="center"/>
          </w:tcPr>
          <w:p>
            <w:pPr>
              <w:pStyle w:val="TableContents"/>
              <w:bidi w:val="0"/>
              <w:spacing w:before="0" w:after="283"/>
              <w:jc w:val="both"/>
              <w:rPr>
                <w:b/>
                <w:sz w:val="20"/>
              </w:rPr>
            </w:pPr>
            <w:r>
              <w:rPr>
                <w:b/>
                <w:sz w:val="20"/>
              </w:rPr>
              <w:t>Actual Amount of Purchase Price: $232,500.00</w:t>
            </w:r>
          </w:p>
        </w:tc>
        <w:tc>
          <w:tcPr>
            <w:tcW w:w="2645" w:type="dxa"/>
            <w:tcBorders/>
            <w:vAlign w:val="center"/>
          </w:tcPr>
          <w:p>
            <w:pPr>
              <w:pStyle w:val="TableContents"/>
              <w:bidi w:val="0"/>
              <w:spacing w:before="0" w:after="283"/>
              <w:jc w:val="both"/>
              <w:rPr/>
            </w:pPr>
            <w:r>
              <w:rPr/>
              <w:t> </w:t>
            </w:r>
          </w:p>
        </w:tc>
      </w:tr>
    </w:tbl>
    <w:p>
      <w:pPr>
        <w:pStyle w:val="TextBody"/>
        <w:bidi w:val="0"/>
        <w:spacing w:before="0" w:after="0"/>
        <w:ind w:left="2486"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LABRYS FUND II, L.P.</w:t>
      </w:r>
      <w:r>
        <w:rPr>
          <w:rFonts w:ascii="Times New Roman;Times;Serif" w:hAnsi="Times New Roman;Times;Serif"/>
          <w:b w:val="false"/>
          <w:i w:val="false"/>
          <w:caps w:val="false"/>
          <w:smallCaps w:val="false"/>
          <w:sz w:val="20"/>
        </w:rPr>
        <w:t>, a Delaware limited partnership, or registered assigns (the “Holder”), in the form of lawful money of the United States of America, the principal sum of $250,000.00 (the “Principal Amount”) (subject to adjustment herein), which includes the purchase price of $232,500.00 plus an original issue discount in the amount of $17,500.00 (the “OID”), and to pay a one-time interest charge on the Principal Amount hereof at the rate of ten percent (10%) (the “Interest Rate”) (which is equal to $25,000.00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 (in addition to all payment obligations under Section 4.14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twenty-two percent (22%)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85% of the lowest traded price of the Common Stock on the Principal Market during the ten (10) Trading Day period immediately preceding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$750.00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299"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Authorized and Reserved Shares.</w:t>
      </w:r>
      <w:r>
        <w:rPr>
          <w:rFonts w:ascii="Times New Roman;Times;Serif" w:hAnsi="Times New Roman;Times;Serif"/>
          <w:b w:val="false"/>
          <w:i w:val="false"/>
          <w:caps w:val="false"/>
          <w:smallCaps w:val="false"/>
          <w:sz w:val="20"/>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2,412,281 shares of Common Stock or (b) the sum of (i) the number of Conversion Shares issuable upon the full conversion of this Note at a conversion price equal to the Conversion Price (assuming no payment of Principal Amount or interest)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four (4) (the “Reserved Amount”). For the avoidance of doubt, the Reserved Amount shall be required to be reserved by the Borrower pursuant to the immediately preceding sentence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be controlling and determinative in the absence of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4(m)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either: (i) be deemed to be an Event of Default pursuant to which the Borrower shall be required to pay to the Holder upon the consummation of and as a condition to such transaction an amount equal to the Default Amount (as defined in this Note) or (ii)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is one hundred eighty-one (181) calendar days following the Issue Date,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2"/>
        <w:gridCol w:w="60"/>
        <w:gridCol w:w="1593"/>
      </w:tblGrid>
      <w:tr>
        <w:trPr/>
        <w:tc>
          <w:tcPr>
            <w:tcW w:w="8552" w:type="dxa"/>
            <w:tcBorders>
              <w:bottom w:val="single" w:sz="12" w:space="0" w:color="000000"/>
            </w:tcBorders>
            <w:vAlign w:val="center"/>
          </w:tcPr>
          <w:p>
            <w:pPr>
              <w:pStyle w:val="TableContents"/>
              <w:bidi w:val="0"/>
              <w:spacing w:before="0" w:after="283"/>
              <w:jc w:val="left"/>
              <w:rPr/>
            </w:pPr>
            <w:r>
              <w:rPr>
                <w:b/>
              </w:rPr>
              <w:t>Prepayment Period</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1593" w:type="dxa"/>
            <w:tcBorders>
              <w:bottom w:val="single" w:sz="12" w:space="0" w:color="000000"/>
            </w:tcBorders>
            <w:vAlign w:val="center"/>
          </w:tcPr>
          <w:p>
            <w:pPr>
              <w:pStyle w:val="TableContents"/>
              <w:bidi w:val="0"/>
              <w:spacing w:before="0" w:after="283"/>
              <w:jc w:val="center"/>
              <w:rPr>
                <w:b/>
                <w:sz w:val="20"/>
              </w:rPr>
            </w:pPr>
            <w:r>
              <w:rPr>
                <w:b/>
                <w:sz w:val="20"/>
              </w:rPr>
              <w:t>Prepayment Percentage</w:t>
            </w:r>
          </w:p>
        </w:tc>
      </w:tr>
      <w:tr>
        <w:trPr/>
        <w:tc>
          <w:tcPr>
            <w:tcW w:w="8552" w:type="dxa"/>
            <w:tcBorders/>
            <w:shd w:fill="CCEEFF" w:val="clear"/>
            <w:tcMar>
              <w:bottom w:w="0" w:type="dxa"/>
            </w:tcMar>
            <w:vAlign w:val="center"/>
          </w:tcPr>
          <w:p>
            <w:pPr>
              <w:pStyle w:val="TableContents"/>
              <w:bidi w:val="0"/>
              <w:spacing w:before="0" w:after="283"/>
              <w:jc w:val="both"/>
              <w:rPr>
                <w:sz w:val="20"/>
              </w:rPr>
            </w:pPr>
            <w:r>
              <w:rPr>
                <w:sz w:val="20"/>
              </w:rPr>
              <w:t>1.  The period beginning on the Issue Date and ending on the date which is thirty (30) calendar days following the Issue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center"/>
              <w:rPr>
                <w:sz w:val="20"/>
              </w:rPr>
            </w:pPr>
            <w:r>
              <w:rPr>
                <w:sz w:val="20"/>
              </w:rPr>
              <w:t>96%</w:t>
            </w:r>
          </w:p>
        </w:tc>
      </w:tr>
      <w:tr>
        <w:trPr/>
        <w:tc>
          <w:tcPr>
            <w:tcW w:w="8552" w:type="dxa"/>
            <w:tcBorders/>
            <w:shd w:fill="FFFFFF" w:val="clear"/>
            <w:tcMar>
              <w:bottom w:w="0" w:type="dxa"/>
            </w:tcMar>
            <w:vAlign w:val="center"/>
          </w:tcPr>
          <w:p>
            <w:pPr>
              <w:pStyle w:val="TableContents"/>
              <w:bidi w:val="0"/>
              <w:spacing w:before="0" w:after="283"/>
              <w:jc w:val="both"/>
              <w:rPr>
                <w:sz w:val="20"/>
              </w:rPr>
            </w:pPr>
            <w:r>
              <w:rPr>
                <w:sz w:val="20"/>
              </w:rPr>
              <w:t>2.  The period beginning on the date that is thirty-one (31) calendar days from the Issue Date and ending sixty (60) calendar days following the Issue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3" w:type="dxa"/>
            <w:tcBorders/>
            <w:shd w:fill="FFFFFF" w:val="clear"/>
            <w:tcMar>
              <w:bottom w:w="0" w:type="dxa"/>
            </w:tcMar>
            <w:vAlign w:val="center"/>
          </w:tcPr>
          <w:p>
            <w:pPr>
              <w:pStyle w:val="TableContents"/>
              <w:bidi w:val="0"/>
              <w:spacing w:before="0" w:after="283"/>
              <w:jc w:val="center"/>
              <w:rPr>
                <w:sz w:val="20"/>
              </w:rPr>
            </w:pPr>
            <w:r>
              <w:rPr>
                <w:sz w:val="20"/>
              </w:rPr>
              <w:t>97%</w:t>
            </w:r>
          </w:p>
        </w:tc>
      </w:tr>
      <w:tr>
        <w:trPr/>
        <w:tc>
          <w:tcPr>
            <w:tcW w:w="8552" w:type="dxa"/>
            <w:tcBorders/>
            <w:shd w:fill="CCEEFF" w:val="clear"/>
            <w:tcMar>
              <w:bottom w:w="0" w:type="dxa"/>
            </w:tcMar>
            <w:vAlign w:val="center"/>
          </w:tcPr>
          <w:p>
            <w:pPr>
              <w:pStyle w:val="TableContents"/>
              <w:bidi w:val="0"/>
              <w:spacing w:before="0" w:after="283"/>
              <w:jc w:val="both"/>
              <w:rPr>
                <w:sz w:val="20"/>
              </w:rPr>
            </w:pPr>
            <w:r>
              <w:rPr>
                <w:sz w:val="20"/>
              </w:rPr>
              <w:t>3.  The period beginning on the date that is sixty-one (61) calendar days from the Issue Date and ending one hundred twenty (120) calendar days following the Issue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3" w:type="dxa"/>
            <w:tcBorders/>
            <w:shd w:fill="CCEEFF" w:val="clear"/>
            <w:tcMar>
              <w:bottom w:w="0" w:type="dxa"/>
            </w:tcMar>
            <w:vAlign w:val="center"/>
          </w:tcPr>
          <w:p>
            <w:pPr>
              <w:pStyle w:val="TableContents"/>
              <w:bidi w:val="0"/>
              <w:spacing w:before="0" w:after="283"/>
              <w:jc w:val="center"/>
              <w:rPr>
                <w:sz w:val="20"/>
              </w:rPr>
            </w:pPr>
            <w:r>
              <w:rPr>
                <w:sz w:val="20"/>
              </w:rPr>
              <w:t>98%</w:t>
            </w:r>
          </w:p>
        </w:tc>
      </w:tr>
      <w:tr>
        <w:trPr/>
        <w:tc>
          <w:tcPr>
            <w:tcW w:w="8552" w:type="dxa"/>
            <w:tcBorders/>
            <w:shd w:fill="FFFFFF" w:val="clear"/>
            <w:tcMar>
              <w:bottom w:w="0" w:type="dxa"/>
            </w:tcMar>
            <w:vAlign w:val="center"/>
          </w:tcPr>
          <w:p>
            <w:pPr>
              <w:pStyle w:val="TableContents"/>
              <w:bidi w:val="0"/>
              <w:spacing w:before="0" w:after="283"/>
              <w:jc w:val="both"/>
              <w:rPr>
                <w:sz w:val="20"/>
              </w:rPr>
            </w:pPr>
            <w:r>
              <w:rPr>
                <w:sz w:val="20"/>
              </w:rPr>
              <w:t>4.  The period beginning on the date that is one hundred twenty-one (121) calendar days from the Issue Date and ending one hundred eighty (180) calendar days following the Issue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3" w:type="dxa"/>
            <w:tcBorders/>
            <w:shd w:fill="FFFFFF" w:val="clear"/>
            <w:tcMar>
              <w:bottom w:w="0" w:type="dxa"/>
            </w:tcMar>
            <w:vAlign w:val="center"/>
          </w:tcPr>
          <w:p>
            <w:pPr>
              <w:pStyle w:val="TableContents"/>
              <w:bidi w:val="0"/>
              <w:spacing w:before="0" w:after="283"/>
              <w:jc w:val="center"/>
              <w:rPr>
                <w:sz w:val="20"/>
              </w:rPr>
            </w:pPr>
            <w:r>
              <w:rPr>
                <w:sz w:val="20"/>
              </w:rPr>
              <w:t>99%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29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173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Failure to Pay an Amortization Payment</w:t>
      </w:r>
      <w:r>
        <w:rPr>
          <w:rFonts w:ascii="Times New Roman;Times;Serif" w:hAnsi="Times New Roman;Times;Serif"/>
          <w:b w:val="false"/>
          <w:i w:val="false"/>
          <w:caps w:val="false"/>
          <w:smallCaps w:val="false"/>
          <w:sz w:val="20"/>
        </w:rPr>
        <w:t>. The Borrower fails to pay an Amortization Payment (as defined in this Note) when due as provided in Section 4.14 of this Note, and fails to pay such Amortization Payment within 5 business days of the Holder’s written notification of such failure to pay.</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LABRYS FUND II, L.P.</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Tremont Street, Suite 201-1408</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admin@labrysii.com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360" w:right="0" w:firstLine="13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360" w:right="0" w:firstLine="135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the Commonwealth of Massachusetts.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the Commonwealth of Massachusetts,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the Commonwealth of Massachusetts,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security, or amendment to a security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w:t>
      </w:r>
    </w:p>
    <w:p>
      <w:pPr>
        <w:pStyle w:val="TextBody"/>
        <w:bidi w:val="0"/>
        <w:spacing w:before="0" w:after="0"/>
        <w:ind w:left="17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Amortization Payments</w:t>
      </w:r>
      <w:r>
        <w:rPr>
          <w:rFonts w:ascii="Times New Roman;Times;Serif" w:hAnsi="Times New Roman;Times;Serif"/>
          <w:b w:val="false"/>
          <w:i w:val="false"/>
          <w:caps w:val="false"/>
          <w:smallCaps w:val="false"/>
          <w:sz w:val="20"/>
        </w:rPr>
        <w:t>. In addition to all other payment obligations under this Note, the Borrower shall also make the following amortization payments (each an “Amortization Payment”) in cash to the Holder towards the repayment of this Note, as provided in the following table:</w:t>
      </w:r>
    </w:p>
    <w:p>
      <w:pPr>
        <w:pStyle w:val="TextBody"/>
        <w:bidi w:val="0"/>
        <w:spacing w:before="0" w:after="0"/>
        <w:ind w:left="0" w:right="0" w:hanging="0"/>
        <w:jc w:val="both"/>
        <w:rPr>
          <w:caps w:val="false"/>
          <w:smallCaps w:val="false"/>
        </w:rPr>
      </w:pPr>
      <w:r>
        <w:rPr>
          <w:caps w:val="false"/>
          <w:smallCaps w:val="false"/>
        </w:rPr>
        <w:t> </w:t>
      </w:r>
    </w:p>
    <w:tbl>
      <w:tblPr>
        <w:tblW w:w="6360" w:type="dxa"/>
        <w:jc w:val="left"/>
        <w:tblInd w:w="0" w:type="dxa"/>
        <w:tblLayout w:type="fixed"/>
        <w:tblCellMar>
          <w:top w:w="0" w:type="dxa"/>
          <w:left w:w="0" w:type="dxa"/>
          <w:bottom w:w="28" w:type="dxa"/>
          <w:right w:w="0" w:type="dxa"/>
        </w:tblCellMar>
      </w:tblPr>
      <w:tblGrid>
        <w:gridCol w:w="1940"/>
        <w:gridCol w:w="60"/>
        <w:gridCol w:w="140"/>
        <w:gridCol w:w="4145"/>
        <w:gridCol w:w="75"/>
      </w:tblGrid>
      <w:tr>
        <w:trPr/>
        <w:tc>
          <w:tcPr>
            <w:tcW w:w="1940" w:type="dxa"/>
            <w:tcBorders>
              <w:bottom w:val="single" w:sz="12" w:space="0" w:color="000000"/>
            </w:tcBorders>
            <w:vAlign w:val="center"/>
          </w:tcPr>
          <w:p>
            <w:pPr>
              <w:pStyle w:val="TableContents"/>
              <w:bidi w:val="0"/>
              <w:spacing w:before="0" w:after="283"/>
              <w:jc w:val="both"/>
              <w:rPr/>
            </w:pPr>
            <w:r>
              <w:rPr/>
              <w:t>Payment Date:</w:t>
            </w:r>
          </w:p>
        </w:tc>
        <w:tc>
          <w:tcPr>
            <w:tcW w:w="60" w:type="dxa"/>
            <w:tcBorders/>
            <w:tcMar>
              <w:bottom w:w="0" w:type="dxa"/>
            </w:tcMar>
            <w:vAlign w:val="center"/>
          </w:tcPr>
          <w:p>
            <w:pPr>
              <w:pStyle w:val="TableContents"/>
              <w:bidi w:val="0"/>
              <w:spacing w:before="0" w:after="283"/>
              <w:jc w:val="left"/>
              <w:rPr/>
            </w:pPr>
            <w:r>
              <w:rPr/>
              <w:t> </w:t>
            </w:r>
          </w:p>
        </w:tc>
        <w:tc>
          <w:tcPr>
            <w:tcW w:w="4285" w:type="dxa"/>
            <w:gridSpan w:val="2"/>
            <w:tcBorders>
              <w:bottom w:val="single" w:sz="12" w:space="0" w:color="000000"/>
            </w:tcBorders>
            <w:vAlign w:val="center"/>
          </w:tcPr>
          <w:p>
            <w:pPr>
              <w:pStyle w:val="TableContents"/>
              <w:bidi w:val="0"/>
              <w:spacing w:before="0" w:after="283"/>
              <w:jc w:val="center"/>
              <w:rPr/>
            </w:pPr>
            <w:r>
              <w:rPr/>
              <w:t>Payment Amount:</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May 11,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June 10,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July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August 10,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September 10,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4145" w:type="dxa"/>
            <w:tcBorders/>
            <w:shd w:fill="CCEEFF" w:val="clear"/>
            <w:tcMar>
              <w:bottom w:w="0" w:type="dxa"/>
            </w:tcMar>
            <w:vAlign w:val="center"/>
          </w:tcPr>
          <w:p>
            <w:pPr>
              <w:pStyle w:val="TableContents"/>
              <w:bidi w:val="0"/>
              <w:spacing w:before="0" w:after="283"/>
              <w:jc w:val="right"/>
              <w:rPr/>
            </w:pPr>
            <w:r>
              <w:rPr/>
              <w:t>39,285.71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October 11,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4145" w:type="dxa"/>
            <w:tcBorders/>
            <w:shd w:fill="FFFFFF" w:val="clear"/>
            <w:tcMar>
              <w:bottom w:w="0" w:type="dxa"/>
            </w:tcMar>
            <w:vAlign w:val="center"/>
          </w:tcPr>
          <w:p>
            <w:pPr>
              <w:pStyle w:val="TableContents"/>
              <w:bidi w:val="0"/>
              <w:spacing w:before="0" w:after="283"/>
              <w:jc w:val="right"/>
              <w:rPr/>
            </w:pPr>
            <w:r>
              <w:rPr/>
              <w:t>39,285.71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November 12,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right"/>
              <w:rPr>
                <w:sz w:val="20"/>
              </w:rPr>
            </w:pPr>
            <w:r>
              <w:rPr>
                <w:sz w:val="20"/>
              </w:rPr>
              <w:t>All remaining outstanding amounts under the Note</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each Amortization Payment paid to Holder under this Note shall first reduce all accrued and unpaid interest under the Note, and the remainder of such Amortization Payment (if any) shall reduce the outstanding principal balance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November 12, 2025.</w:t>
      </w:r>
    </w:p>
    <w:p>
      <w:pPr>
        <w:pStyle w:val="TextBody"/>
        <w:bidi w:val="0"/>
        <w:spacing w:before="0" w:after="0"/>
        <w:ind w:left="0" w:right="0" w:hanging="0"/>
        <w:jc w:val="both"/>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335"/>
        <w:gridCol w:w="545"/>
        <w:gridCol w:w="1940"/>
        <w:gridCol w:w="75"/>
      </w:tblGrid>
      <w:tr>
        <w:trPr/>
        <w:tc>
          <w:tcPr>
            <w:tcW w:w="2820"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NewGenIvf Group Limited</w:t>
            </w:r>
          </w:p>
        </w:tc>
        <w:tc>
          <w:tcPr>
            <w:tcW w:w="75" w:type="dxa"/>
            <w:tcBorders/>
            <w:vAlign w:val="center"/>
          </w:tcPr>
          <w:p>
            <w:pPr>
              <w:pStyle w:val="TableContents"/>
              <w:bidi w:val="0"/>
              <w:spacing w:before="0" w:after="283"/>
              <w:jc w:val="both"/>
              <w:rPr/>
            </w:pPr>
            <w:r>
              <w:rPr/>
              <w:t> </w:t>
            </w:r>
          </w:p>
        </w:tc>
      </w:tr>
      <w:tr>
        <w:trPr/>
        <w:tc>
          <w:tcPr>
            <w:tcW w:w="2820" w:type="dxa"/>
            <w:gridSpan w:val="3"/>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November 12, 2025 (the “Note”), as of the date written below. No fee will be charged to the Holder for any conversion, except for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The Borrower shall electronically transmit the Common Stock issuable pursuant to this Notice of Conversion to the account of the undersigned or its nominee with DTC through its Deposit Withdrawal Agent Commission system (“DWAC Transfer”).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sz w:val="20"/>
              </w:rPr>
            </w:pPr>
            <w:r>
              <w:rPr>
                <w:sz w:val="20"/>
              </w:rPr>
              <w:t>Name of DTC Prime Broker: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sz w:val="20"/>
              </w:rPr>
            </w:pPr>
            <w:r>
              <w:rPr>
                <w:sz w:val="20"/>
              </w:rPr>
              <w:t>Account Number: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8195"/>
        <w:gridCol w:w="60"/>
        <w:gridCol w:w="125"/>
        <w:gridCol w:w="75"/>
      </w:tblGrid>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sz w:val="20"/>
              </w:rPr>
            </w:pPr>
            <w:r>
              <w:rPr>
                <w:sz w:val="20"/>
              </w:rPr>
              <w:t>Date of Conversion: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sz w:val="20"/>
              </w:rPr>
            </w:pPr>
            <w:r>
              <w:rPr>
                <w:sz w:val="20"/>
              </w:rPr>
              <w:t>Applicable Conversion Price: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pPr>
            <w:r>
              <w:rPr/>
              <w:t>Number of Shares of Common Stock to be Issued Pursuant to Conversion of the Note:</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5" w:type="dxa"/>
        <w:jc w:val="left"/>
        <w:tblInd w:w="0" w:type="dxa"/>
        <w:tblLayout w:type="fixed"/>
        <w:tblCellMar>
          <w:top w:w="0" w:type="dxa"/>
          <w:left w:w="0" w:type="dxa"/>
          <w:bottom w:w="0" w:type="dxa"/>
          <w:right w:w="0" w:type="dxa"/>
        </w:tblCellMar>
      </w:tblPr>
      <w:tblGrid>
        <w:gridCol w:w="75"/>
        <w:gridCol w:w="560"/>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By:</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both"/>
              <w:rPr>
                <w:sz w:val="20"/>
              </w:rPr>
            </w:pPr>
            <w:r>
              <w:rPr>
                <w:sz w:val="20"/>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the Commonwealth of Massachusetts.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the Commonwealth of Massachusetts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the Commonwealth of Massachusetts.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Massachusetts Uniform Arbitration Act, G.L. c. 251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Massachusetts Rules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JAMS (https://www.jamsadr.com/)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JAMS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Massachusetts Rules</w:t>
      </w:r>
      <w:r>
        <w:rPr>
          <w:rFonts w:ascii="Times New Roman;Times;Serif" w:hAnsi="Times New Roman;Times;Serif"/>
          <w:b w:val="false"/>
          <w:i w:val="false"/>
          <w:caps w:val="false"/>
          <w:smallCaps w:val="false"/>
          <w:sz w:val="20"/>
        </w:rPr>
        <w:t>. The parties agree that the Arbitration shall be conducted generally in accordance with the Massachusetts Rules of Civil Procedure and the Massachusetts Rules of Evidence. More specifically, the Massachusetts Rules of Civil Procedure shall apply, without limitation, to the filing of any pleadings, motions or memoranda, the conducting of discovery, and the taking of any depositions. The Massachusetts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Massachusetts Rules of Civil Procedure or the Massachusetts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Massachusetts Rules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filename6.htm"/>
      <w:bookmarkStart w:id="39" w:name="ksfilename6"/>
      <w:bookmarkEnd w:id="38"/>
      <w:bookmarkEnd w:id="39"/>
      <w:r>
        <w:rPr>
          <w:rFonts w:ascii="Times New Roman;Times;Serif" w:hAnsi="Times New Roman;Times;Serif"/>
          <w:b/>
          <w:i w:val="false"/>
          <w:caps w:val="false"/>
          <w:smallCaps w:val="false"/>
          <w:sz w:val="20"/>
        </w:rPr>
        <w:t>Exhibit 10.37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(the “Agreement”), dated as of January 22,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Boot Capital LLC</w:t>
      </w:r>
      <w:r>
        <w:rPr>
          <w:rFonts w:ascii="Times New Roman;Times;Serif" w:hAnsi="Times New Roman;Times;Serif"/>
          <w:b w:val="false"/>
          <w:i w:val="false"/>
          <w:caps w:val="false"/>
          <w:smallCaps w:val="false"/>
          <w:sz w:val="20"/>
        </w:rPr>
        <w:t>, a Delaware limited liability company, with its address at 1688 Meridian Ave., Suite 723, Miami Beach, FL 33139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$50,000.00 (the “Note”)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January 22,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Capitalization. As of the date hereof, the authorized Class A Ordinary Shares of the Company consists of 50,000,000 authorized shares, no par value per share, of which 1,277,956 shares are issued and outstanding. All of such outstanding shares of capital stock are, or upon issuance will be, duly authorized, validly issued, fully paid and non-assessable.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113"/>
        <w:gridCol w:w="8881"/>
      </w:tblGrid>
      <w:tr>
        <w:trPr/>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4.</w:t>
            </w:r>
          </w:p>
        </w:tc>
        <w:tc>
          <w:tcPr>
            <w:tcW w:w="8881" w:type="dxa"/>
            <w:tcBorders/>
            <w:vAlign w:val="center"/>
          </w:tcPr>
          <w:p>
            <w:pPr>
              <w:pStyle w:val="TableContents"/>
              <w:bidi w:val="0"/>
              <w:spacing w:before="0" w:after="283"/>
              <w:jc w:val="left"/>
              <w:rPr/>
            </w:pPr>
            <w:r>
              <w:rPr>
                <w:u w:val="single"/>
              </w:rPr>
              <w:t>COVENANTS</w:t>
            </w:r>
            <w:r>
              <w:rPr/>
              <w:t>.</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with a copy by fax only to (which copy shall not constitute notice) to Naidich Wurman LLP, 111 Great Neck Road, Suite 214, Great Neck, NY 11021, Attn: Allison Naidich, facsimile: 516-466-3555, e-mail: allison@nwlaw.com.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408"/>
        <w:gridCol w:w="2491"/>
        <w:gridCol w:w="75"/>
      </w:tblGrid>
      <w:tr>
        <w:trPr/>
        <w:tc>
          <w:tcPr>
            <w:tcW w:w="2899" w:type="dxa"/>
            <w:gridSpan w:val="2"/>
            <w:tcBorders/>
            <w:vAlign w:val="center"/>
          </w:tcPr>
          <w:p>
            <w:pPr>
              <w:pStyle w:val="TableContents"/>
              <w:bidi w:val="0"/>
              <w:spacing w:before="0" w:after="283"/>
              <w:jc w:val="left"/>
              <w:rPr>
                <w:b/>
                <w:sz w:val="20"/>
              </w:rPr>
            </w:pPr>
            <w:r>
              <w:rPr>
                <w:b/>
                <w:sz w:val="20"/>
              </w:rPr>
              <w:t>NEWGENIVF GROUP LIMITED</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sz w:val="20"/>
              </w:rPr>
            </w:pPr>
            <w:r>
              <w:rPr>
                <w:sz w:val="20"/>
              </w:rPr>
              <w:t>By:</w:t>
            </w:r>
          </w:p>
        </w:tc>
        <w:tc>
          <w:tcPr>
            <w:tcW w:w="2491"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Wing Fung Alfred Siu</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b/>
                <w:sz w:val="20"/>
              </w:rPr>
            </w:pPr>
            <w:r>
              <w:rPr>
                <w:b/>
                <w:sz w:val="20"/>
              </w:rPr>
              <w:t>Boot Capital LLC</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sz w:val="20"/>
              </w:rPr>
            </w:pPr>
            <w:r>
              <w:rPr>
                <w:sz w:val="20"/>
              </w:rPr>
              <w:t>By:</w:t>
            </w:r>
          </w:p>
        </w:tc>
        <w:tc>
          <w:tcPr>
            <w:tcW w:w="2491"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Peter Rosten</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Peter Rosten</w:t>
            </w:r>
          </w:p>
        </w:tc>
        <w:tc>
          <w:tcPr>
            <w:tcW w:w="75" w:type="dxa"/>
            <w:tcBorders/>
            <w:vAlign w:val="center"/>
          </w:tcPr>
          <w:p>
            <w:pPr>
              <w:pStyle w:val="TableContents"/>
              <w:bidi w:val="0"/>
              <w:spacing w:before="0" w:after="283"/>
              <w:jc w:val="left"/>
              <w:rPr/>
            </w:pPr>
            <w:r>
              <w:rPr/>
              <w:t> </w:t>
            </w:r>
          </w:p>
        </w:tc>
      </w:tr>
      <w:tr>
        <w:trPr/>
        <w:tc>
          <w:tcPr>
            <w:tcW w:w="408"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left"/>
              <w:rPr>
                <w:sz w:val="20"/>
              </w:rPr>
            </w:pPr>
            <w:r>
              <w:rPr>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3605"/>
        <w:gridCol w:w="60"/>
        <w:gridCol w:w="140"/>
        <w:gridCol w:w="98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bookmarkStart w:id="40" w:name="filename7.htm"/>
      <w:bookmarkStart w:id="41" w:name="ksfilename7"/>
      <w:bookmarkEnd w:id="40"/>
      <w:bookmarkEnd w:id="41"/>
      <w:r>
        <w:rPr>
          <w:rFonts w:ascii="Times New Roman;Times;Serif" w:hAnsi="Times New Roman;Times;Serif"/>
          <w:b/>
          <w:i w:val="false"/>
          <w:caps w:val="false"/>
          <w:smallCaps w:val="false"/>
          <w:sz w:val="20"/>
        </w:rPr>
        <w:t>Exhibit 10.38</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$50,000.00</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585"/>
        <w:gridCol w:w="60"/>
        <w:gridCol w:w="2480"/>
      </w:tblGrid>
      <w:tr>
        <w:trPr/>
        <w:tc>
          <w:tcPr>
            <w:tcW w:w="2585" w:type="dxa"/>
            <w:tcBorders/>
            <w:vAlign w:val="center"/>
          </w:tcPr>
          <w:p>
            <w:pPr>
              <w:pStyle w:val="TableContents"/>
              <w:bidi w:val="0"/>
              <w:spacing w:before="0" w:after="283"/>
              <w:jc w:val="both"/>
              <w:rPr>
                <w:b/>
                <w:sz w:val="20"/>
              </w:rPr>
            </w:pPr>
            <w:r>
              <w:rPr>
                <w:b/>
                <w:sz w:val="20"/>
              </w:rPr>
              <w:t>Principal Amount: $50,000.00</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b/>
                <w:sz w:val="20"/>
              </w:rPr>
            </w:pPr>
            <w:r>
              <w:rPr>
                <w:b/>
                <w:sz w:val="20"/>
              </w:rPr>
              <w:t>Issue Date: January 22,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Boot Capital LLC</w:t>
      </w:r>
      <w:r>
        <w:rPr>
          <w:rFonts w:ascii="Times New Roman;Times;Serif" w:hAnsi="Times New Roman;Times;Serif"/>
          <w:b w:val="false"/>
          <w:i w:val="false"/>
          <w:caps w:val="false"/>
          <w:smallCaps w:val="false"/>
          <w:sz w:val="20"/>
        </w:rPr>
        <w:t>, a Delaware limited liability company, or registered assigns (the “Holder”) the sum of $50,000.00 together with any interest as set forth herein, on October 30, 2026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2520" w:right="0" w:hanging="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22"/>
        <w:gridCol w:w="60"/>
        <w:gridCol w:w="1823"/>
      </w:tblGrid>
      <w:tr>
        <w:trPr/>
        <w:tc>
          <w:tcPr>
            <w:tcW w:w="8322" w:type="dxa"/>
            <w:tcBorders>
              <w:bottom w:val="single" w:sz="12" w:space="0" w:color="000000"/>
            </w:tcBorders>
            <w:vAlign w:val="center"/>
          </w:tcPr>
          <w:p>
            <w:pPr>
              <w:pStyle w:val="TableContents"/>
              <w:bidi w:val="0"/>
              <w:spacing w:before="0" w:after="283"/>
              <w:jc w:val="left"/>
              <w:rPr>
                <w:b/>
              </w:rPr>
            </w:pPr>
            <w:r>
              <w:rPr>
                <w:b/>
              </w:rPr>
              <w:t>Prepayment Period</w:t>
            </w:r>
          </w:p>
        </w:tc>
        <w:tc>
          <w:tcPr>
            <w:tcW w:w="60" w:type="dxa"/>
            <w:tcBorders/>
            <w:tcMar>
              <w:bottom w:w="0" w:type="dxa"/>
            </w:tcMar>
            <w:vAlign w:val="center"/>
          </w:tcPr>
          <w:p>
            <w:pPr>
              <w:pStyle w:val="TableContents"/>
              <w:bidi w:val="0"/>
              <w:spacing w:before="0" w:after="283"/>
              <w:jc w:val="center"/>
              <w:rPr/>
            </w:pPr>
            <w:r>
              <w:rPr/>
              <w:t> </w:t>
            </w:r>
          </w:p>
        </w:tc>
        <w:tc>
          <w:tcPr>
            <w:tcW w:w="1823" w:type="dxa"/>
            <w:tcBorders>
              <w:bottom w:val="single" w:sz="12" w:space="0" w:color="000000"/>
            </w:tcBorders>
            <w:vAlign w:val="center"/>
          </w:tcPr>
          <w:p>
            <w:pPr>
              <w:pStyle w:val="TableContents"/>
              <w:bidi w:val="0"/>
              <w:spacing w:before="0" w:after="283"/>
              <w:jc w:val="center"/>
              <w:rPr>
                <w:b/>
              </w:rPr>
            </w:pPr>
            <w:r>
              <w:rPr>
                <w:b/>
              </w:rPr>
              <w:t>Prepayment Percentage</w:t>
            </w:r>
          </w:p>
        </w:tc>
      </w:tr>
      <w:tr>
        <w:trPr/>
        <w:tc>
          <w:tcPr>
            <w:tcW w:w="8322" w:type="dxa"/>
            <w:tcBorders/>
            <w:tcMar>
              <w:bottom w:w="0" w:type="dxa"/>
            </w:tcMar>
            <w:vAlign w:val="center"/>
          </w:tcPr>
          <w:p>
            <w:pPr>
              <w:pStyle w:val="TableContents"/>
              <w:bidi w:val="0"/>
              <w:spacing w:before="0" w:after="283"/>
              <w:jc w:val="both"/>
              <w:rPr/>
            </w:pPr>
            <w:r>
              <w:rPr/>
              <w:t>1) the period beginning on the Issue Date and ending on the date which is one hundred ninety (90) days following the Issue Date.</w:t>
            </w:r>
          </w:p>
        </w:tc>
        <w:tc>
          <w:tcPr>
            <w:tcW w:w="60" w:type="dxa"/>
            <w:tcBorders/>
            <w:tcMar>
              <w:bottom w:w="0" w:type="dxa"/>
            </w:tcMar>
            <w:vAlign w:val="center"/>
          </w:tcPr>
          <w:p>
            <w:pPr>
              <w:pStyle w:val="TableContents"/>
              <w:bidi w:val="0"/>
              <w:spacing w:before="0" w:after="283"/>
              <w:jc w:val="left"/>
              <w:rPr/>
            </w:pPr>
            <w:r>
              <w:rPr/>
              <w:t> </w:t>
            </w:r>
          </w:p>
        </w:tc>
        <w:tc>
          <w:tcPr>
            <w:tcW w:w="1823" w:type="dxa"/>
            <w:tcBorders/>
            <w:tcMar>
              <w:bottom w:w="0" w:type="dxa"/>
            </w:tcMar>
            <w:vAlign w:val="center"/>
          </w:tcPr>
          <w:p>
            <w:pPr>
              <w:pStyle w:val="TableContents"/>
              <w:bidi w:val="0"/>
              <w:spacing w:before="0" w:after="283"/>
              <w:jc w:val="center"/>
              <w:rPr/>
            </w:pPr>
            <w:r>
              <w:rPr/>
              <w:t>120%</w:t>
            </w:r>
          </w:p>
        </w:tc>
      </w:tr>
      <w:tr>
        <w:trPr/>
        <w:tc>
          <w:tcPr>
            <w:tcW w:w="8322"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823" w:type="dxa"/>
            <w:tcBorders/>
            <w:tcMar>
              <w:bottom w:w="0" w:type="dxa"/>
            </w:tcMar>
            <w:vAlign w:val="center"/>
          </w:tcPr>
          <w:p>
            <w:pPr>
              <w:pStyle w:val="TableContents"/>
              <w:bidi w:val="0"/>
              <w:spacing w:before="0" w:after="283"/>
              <w:jc w:val="center"/>
              <w:rPr/>
            </w:pPr>
            <w:r>
              <w:rPr/>
              <w:t> </w:t>
            </w:r>
          </w:p>
        </w:tc>
      </w:tr>
      <w:tr>
        <w:trPr/>
        <w:tc>
          <w:tcPr>
            <w:tcW w:w="8322" w:type="dxa"/>
            <w:tcBorders/>
            <w:tcMar>
              <w:bottom w:w="0" w:type="dxa"/>
            </w:tcMar>
            <w:vAlign w:val="center"/>
          </w:tcPr>
          <w:p>
            <w:pPr>
              <w:pStyle w:val="TableContents"/>
              <w:bidi w:val="0"/>
              <w:spacing w:before="0" w:after="283"/>
              <w:jc w:val="both"/>
              <w:rPr/>
            </w:pPr>
            <w:r>
              <w:rPr/>
              <w:t>2) the period beginning on date which is ninety-one (91) days following the Issue Date and ending on the date which is one hundred eighty (180) days following the Issue Date.</w:t>
            </w:r>
          </w:p>
        </w:tc>
        <w:tc>
          <w:tcPr>
            <w:tcW w:w="60" w:type="dxa"/>
            <w:tcBorders/>
            <w:tcMar>
              <w:bottom w:w="0" w:type="dxa"/>
            </w:tcMar>
            <w:vAlign w:val="center"/>
          </w:tcPr>
          <w:p>
            <w:pPr>
              <w:pStyle w:val="TableContents"/>
              <w:bidi w:val="0"/>
              <w:spacing w:before="0" w:after="283"/>
              <w:jc w:val="left"/>
              <w:rPr/>
            </w:pPr>
            <w:r>
              <w:rPr/>
              <w:t> </w:t>
            </w:r>
          </w:p>
        </w:tc>
        <w:tc>
          <w:tcPr>
            <w:tcW w:w="1823" w:type="dxa"/>
            <w:tcBorders/>
            <w:tcMar>
              <w:bottom w:w="0" w:type="dxa"/>
            </w:tcMar>
            <w:vAlign w:val="center"/>
          </w:tcPr>
          <w:p>
            <w:pPr>
              <w:pStyle w:val="TableContents"/>
              <w:bidi w:val="0"/>
              <w:spacing w:before="0" w:after="283"/>
              <w:jc w:val="center"/>
              <w:rPr/>
            </w:pPr>
            <w:r>
              <w:rPr/>
              <w:t>125%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7" w:right="0" w:hanging="0"/>
        <w:jc w:val="center"/>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Sub-district</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Boot Capital LLC</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 Meridian Ave., Suite 723</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Beach, FL 33139</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Peter Rosten, President</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rost_nyc@yahoo.com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January 22, 2026</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493"/>
        <w:gridCol w:w="3141"/>
        <w:gridCol w:w="75"/>
      </w:tblGrid>
      <w:tr>
        <w:trPr/>
        <w:tc>
          <w:tcPr>
            <w:tcW w:w="3634" w:type="dxa"/>
            <w:gridSpan w:val="2"/>
            <w:tcBorders/>
            <w:vAlign w:val="center"/>
          </w:tcPr>
          <w:p>
            <w:pPr>
              <w:pStyle w:val="TableContents"/>
              <w:bidi w:val="0"/>
              <w:spacing w:before="0" w:after="283"/>
              <w:jc w:val="left"/>
              <w:rPr>
                <w:b/>
              </w:rPr>
            </w:pPr>
            <w:r>
              <w:rPr>
                <w:b/>
              </w:rPr>
              <w:t>NEWGENIVF GROUP LIMITED</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By:</w:t>
            </w:r>
          </w:p>
        </w:tc>
        <w:tc>
          <w:tcPr>
            <w:tcW w:w="3141"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Wing Fung Alfred Siu</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pPr>
            <w:r>
              <w:rPr/>
              <w:t> </w:t>
            </w:r>
          </w:p>
        </w:tc>
        <w:tc>
          <w:tcPr>
            <w:tcW w:w="3141"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$_________________ 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January 22, 2026 (the “Note”), as of the date written below. No fee will be charged to the Holder for any conversion, except for transfer taxes, if 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1440" w:right="0" w:firstLine="720"/>
        <w:jc w:val="both"/>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75"/>
        <w:gridCol w:w="9020"/>
        <w:gridCol w:w="195"/>
      </w:tblGrid>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left"/>
              <w:rPr/>
            </w:pPr>
            <w:r>
              <w:rPr/>
              <w:t>Number of shares of Class A Ordinary Shares to be issued pursuant to conversion of the Notes:</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90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579" w:type="dxa"/>
        <w:jc w:val="left"/>
        <w:tblInd w:w="0" w:type="dxa"/>
        <w:tblLayout w:type="fixed"/>
        <w:tblCellMar>
          <w:top w:w="0" w:type="dxa"/>
          <w:left w:w="0" w:type="dxa"/>
          <w:bottom w:w="0" w:type="dxa"/>
          <w:right w:w="0" w:type="dxa"/>
        </w:tblCellMar>
      </w:tblPr>
      <w:tblGrid>
        <w:gridCol w:w="525"/>
        <w:gridCol w:w="979"/>
        <w:gridCol w:w="75"/>
      </w:tblGrid>
      <w:tr>
        <w:trPr/>
        <w:tc>
          <w:tcPr>
            <w:tcW w:w="1504" w:type="dxa"/>
            <w:gridSpan w:val="2"/>
            <w:tcBorders/>
            <w:vAlign w:val="center"/>
          </w:tcPr>
          <w:p>
            <w:pPr>
              <w:pStyle w:val="TableContents"/>
              <w:bidi w:val="0"/>
              <w:spacing w:before="0" w:after="283"/>
              <w:jc w:val="left"/>
              <w:rPr>
                <w:sz w:val="20"/>
              </w:rPr>
            </w:pPr>
            <w:r>
              <w:rPr>
                <w:sz w:val="20"/>
              </w:rPr>
              <w:t>Boot Capital LLC</w:t>
            </w:r>
          </w:p>
        </w:tc>
        <w:tc>
          <w:tcPr>
            <w:tcW w:w="75" w:type="dxa"/>
            <w:tcBorders/>
            <w:vAlign w:val="center"/>
          </w:tcPr>
          <w:p>
            <w:pPr>
              <w:pStyle w:val="TableContents"/>
              <w:bidi w:val="0"/>
              <w:spacing w:before="0" w:after="283"/>
              <w:jc w:val="left"/>
              <w:rPr/>
            </w:pPr>
            <w:r>
              <w:rPr/>
              <w:t> </w:t>
            </w:r>
          </w:p>
        </w:tc>
      </w:tr>
      <w:tr>
        <w:trPr/>
        <w:tc>
          <w:tcPr>
            <w:tcW w:w="15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5" w:type="dxa"/>
            <w:tcBorders/>
            <w:vAlign w:val="center"/>
          </w:tcPr>
          <w:p>
            <w:pPr>
              <w:pStyle w:val="TableContents"/>
              <w:bidi w:val="0"/>
              <w:spacing w:before="0" w:after="283"/>
              <w:jc w:val="left"/>
              <w:rPr>
                <w:sz w:val="20"/>
              </w:rPr>
            </w:pPr>
            <w:r>
              <w:rPr>
                <w:sz w:val="20"/>
              </w:rPr>
              <w:t>By:</w:t>
            </w:r>
          </w:p>
        </w:tc>
        <w:tc>
          <w:tcPr>
            <w:tcW w:w="97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4" w:type="dxa"/>
            <w:gridSpan w:val="2"/>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1504" w:type="dxa"/>
            <w:gridSpan w:val="2"/>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r>
        <w:trPr/>
        <w:tc>
          <w:tcPr>
            <w:tcW w:w="525" w:type="dxa"/>
            <w:tcBorders/>
            <w:vAlign w:val="center"/>
          </w:tcPr>
          <w:p>
            <w:pPr>
              <w:pStyle w:val="TableContents"/>
              <w:bidi w:val="0"/>
              <w:spacing w:before="0" w:after="283"/>
              <w:jc w:val="left"/>
              <w:rPr>
                <w:sz w:val="20"/>
              </w:rPr>
            </w:pPr>
            <w:r>
              <w:rPr>
                <w:sz w:val="20"/>
              </w:rPr>
              <w:t>Date: </w:t>
            </w:r>
          </w:p>
        </w:tc>
        <w:tc>
          <w:tcPr>
            <w:tcW w:w="979"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both"/>
        <w:rPr>
          <w:caps w:val="false"/>
          <w:smallCaps w:val="false"/>
        </w:rPr>
      </w:pPr>
      <w:r>
        <w:rPr>
          <w:caps w:val="false"/>
          <w:smallCaps w:val="false"/>
        </w:rPr>
        <w:t> </w:t>
      </w:r>
    </w:p>
    <w:p>
      <w:pPr>
        <w:pStyle w:val="TextBody"/>
        <w:bidi w:val="0"/>
        <w:jc w:val="right"/>
        <w:rPr>
          <w:b/>
        </w:rPr>
      </w:pPr>
      <w:bookmarkStart w:id="42" w:name="filename8.htm"/>
      <w:bookmarkStart w:id="43" w:name="ksfilename8"/>
      <w:bookmarkEnd w:id="42"/>
      <w:bookmarkEnd w:id="43"/>
      <w:r>
        <w:rPr>
          <w:b/>
        </w:rPr>
        <w:t>Exhibit 10.51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Heads of Agreement</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For An Acquisition of 2% of the Outstanding Stock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Of Predicxion Group Limited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By NewGenIvf Group Limited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May 15,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9"/>
        <w:gridCol w:w="60"/>
        <w:gridCol w:w="170"/>
        <w:gridCol w:w="238"/>
        <w:gridCol w:w="8448"/>
      </w:tblGrid>
      <w:tr>
        <w:trPr/>
        <w:tc>
          <w:tcPr>
            <w:tcW w:w="1289" w:type="dxa"/>
            <w:tcBorders/>
            <w:vAlign w:val="center"/>
          </w:tcPr>
          <w:p>
            <w:pPr>
              <w:pStyle w:val="TableContents"/>
              <w:bidi w:val="0"/>
              <w:spacing w:before="0" w:after="283"/>
              <w:ind w:left="0" w:right="0" w:hanging="180"/>
              <w:jc w:val="both"/>
              <w:rPr>
                <w:rFonts w:ascii="Times New Roman;Times;Serif" w:hAnsi="Times New Roman;Times;Serif"/>
                <w:b/>
                <w:i/>
                <w:sz w:val="20"/>
              </w:rPr>
            </w:pPr>
            <w:r>
              <w:rPr>
                <w:rFonts w:ascii="Times New Roman;Times;Serif" w:hAnsi="Times New Roman;Times;Serif"/>
                <w:b/>
                <w:i/>
                <w:sz w:val="20"/>
              </w:rPr>
              <w:t>Parties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PredicXion Group Limited (Company Registration No: 2199437), a company organized under the laws of British Virgin Islands, with registered address at Aegis Chambers, 1st floor, Ellen Skelton Building, 3076 Sir Francis Drake’s Highway, Road Town, Tortola, VG1110, British Virgin Islands (“</w:t>
            </w:r>
            <w:r>
              <w:rPr>
                <w:rFonts w:ascii="Times New Roman;Times;Serif" w:hAnsi="Times New Roman;Times;Serif"/>
                <w:b/>
                <w:sz w:val="20"/>
              </w:rPr>
              <w:t>PredicXion</w:t>
            </w:r>
            <w:r>
              <w:rPr>
                <w:rFonts w:ascii="Times New Roman;Times;Serif" w:hAnsi="Times New Roman;Times;Serif"/>
                <w:sz w:val="20"/>
              </w:rPr>
              <w:t>”); and</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NewGenIvf Group Limited, a British Virgin Islands incorporated company, with registered address at 1/F, Pier 2, Central, Hong Kong (“</w:t>
            </w:r>
            <w:r>
              <w:rPr>
                <w:rFonts w:ascii="Times New Roman;Times;Serif" w:hAnsi="Times New Roman;Times;Serif"/>
                <w:b/>
                <w:sz w:val="20"/>
              </w:rPr>
              <w:t>NIVF</w:t>
            </w:r>
            <w:r>
              <w:rPr>
                <w:rFonts w:ascii="Times New Roman;Times;Serif" w:hAnsi="Times New Roman;Times;Serif"/>
                <w:sz w:val="20"/>
              </w:rPr>
              <w:t>”).</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of NIVF and PredicXion are referred to as a “</w:t>
            </w:r>
            <w:r>
              <w:rPr>
                <w:rFonts w:ascii="Times New Roman;Times;Serif" w:hAnsi="Times New Roman;Times;Serif"/>
                <w:b/>
                <w:sz w:val="20"/>
              </w:rPr>
              <w:t>Party</w:t>
            </w:r>
            <w:r>
              <w:rPr>
                <w:rFonts w:ascii="Times New Roman;Times;Serif" w:hAnsi="Times New Roman;Times;Serif"/>
                <w:sz w:val="20"/>
              </w:rPr>
              <w:t>” and collectively referred to as the “</w:t>
            </w:r>
            <w:r>
              <w:rPr>
                <w:rFonts w:ascii="Times New Roman;Times;Serif" w:hAnsi="Times New Roman;Times;Serif"/>
                <w:b/>
                <w:sz w:val="20"/>
              </w:rPr>
              <w:t>Parties</w:t>
            </w:r>
            <w:r>
              <w:rPr>
                <w:rFonts w:ascii="Times New Roman;Times;Serif" w:hAnsi="Times New Roman;Times;Serif"/>
                <w:sz w:val="20"/>
              </w:rPr>
              <w:t>”.</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Acquisition Structure:</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NIVF shall acquire a 2% equity interest in PredicXion (the “</w:t>
            </w:r>
            <w:r>
              <w:rPr>
                <w:rFonts w:ascii="Times New Roman;Times;Serif" w:hAnsi="Times New Roman;Times;Serif"/>
                <w:b/>
                <w:sz w:val="20"/>
              </w:rPr>
              <w:t>Acquisition</w:t>
            </w:r>
            <w:r>
              <w:rPr>
                <w:rFonts w:ascii="Times New Roman;Times;Serif" w:hAnsi="Times New Roman;Times;Serif"/>
                <w:sz w:val="20"/>
              </w:rPr>
              <w:t>”), at a pre-money valuation of US$100,000,000, subject to customary due diligence and entry into definitive transaction documents (“</w:t>
            </w:r>
            <w:r>
              <w:rPr>
                <w:rFonts w:ascii="Times New Roman;Times;Serif" w:hAnsi="Times New Roman;Times;Serif"/>
                <w:b/>
                <w:sz w:val="20"/>
              </w:rPr>
              <w:t>Transaction Documents</w:t>
            </w:r>
            <w:r>
              <w:rPr>
                <w:rFonts w:ascii="Times New Roman;Times;Serif" w:hAnsi="Times New Roman;Times;Serif"/>
                <w:sz w:val="20"/>
              </w:rPr>
              <w:t>”). The shares shall be issued with standard anti-dilution provisions, right to participation, preemption rights, and tag-and-drag along rights.</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NIVF shall have an option exercisable at any time within three months after signing the Share Purchase Agreement, to acquire an additional 8% of PredicXion’s fully diluted equity (bringing NIVF’s total ownership to 10%) at the same pre-money valuation of US$100,000,000 (“</w:t>
            </w:r>
            <w:r>
              <w:rPr>
                <w:rFonts w:ascii="Times New Roman;Times;Serif" w:hAnsi="Times New Roman;Times;Serif"/>
                <w:b/>
                <w:sz w:val="20"/>
              </w:rPr>
              <w:t>Top Up Option</w:t>
            </w:r>
            <w:r>
              <w:rPr>
                <w:rFonts w:ascii="Times New Roman;Times;Serif" w:hAnsi="Times New Roman;Times;Serif"/>
                <w:sz w:val="20"/>
              </w:rPr>
              <w:t>”).</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Notwithstanding the foregoing, if NIVF conducts any fundraising, financing, capital raising, strategic investment, PIPE, private placement, or other equity or equity-linked financing that is marketed, positioned, or otherwise related to K25.ai, PredicXion, AI, prediction markets, information markets, live-streaming prediction markets, or any substantially similar concept, NIVF shall be required to exercise at least 4% of the Top Up Option. Accordingly, NIVF shall subscribe for newly issued shares representing an additional 4% of the fully diluted share capital of PredicXion at the same pre-money valuation and on the same consideration structure set out in the Transaction Documents. The remaining 4% of PredicXion’s fully diluted share capital under the Top Up Option shall remain exercisable at NIVF’s option within the agreed option period and on the agreed terms.</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Consideration:</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Consideration payable for the Acquisition, which shall be paid concurrently with Closing, shall be a combination of:</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44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cash consideration of US$1,000,000 or an equivalent amount in stablecoin, or Solana; and</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844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666,667 newly issued class A ordinary shares of NIVF at a share price of US$1.50 per share.</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8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Consideration payable for the Top Up Option, which shall be paid at closing of the top up option transaction, shall be a combination of:</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44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cash consideration of US$4,000,000 or an equivalent amount in stablecoin, or Solana; and</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86" w:type="dxa"/>
            <w:gridSpan w:val="2"/>
            <w:tcBorders/>
            <w:vAlign w:val="center"/>
          </w:tcPr>
          <w:p>
            <w:pPr>
              <w:pStyle w:val="TableContents"/>
              <w:bidi w:val="0"/>
              <w:spacing w:before="0" w:after="283"/>
              <w:ind w:left="0" w:right="0" w:hanging="180"/>
              <w:jc w:val="both"/>
              <w:rPr/>
            </w:pPr>
            <w:r>
              <w:rPr/>
              <w:t> </w:t>
            </w:r>
          </w:p>
        </w:tc>
      </w:tr>
      <w:tr>
        <w:trPr/>
        <w:tc>
          <w:tcPr>
            <w:tcW w:w="12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84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newly issued class A ordinary shares of NIVF equal to US$4,000,000 based on an issuance price equal to 110% of the Minimum Price. The “</w:t>
            </w:r>
            <w:r>
              <w:rPr>
                <w:rFonts w:ascii="Times New Roman;Times;Serif" w:hAnsi="Times New Roman;Times;Serif"/>
                <w:b/>
                <w:sz w:val="20"/>
              </w:rPr>
              <w:t>Minimum Price</w:t>
            </w:r>
            <w:r>
              <w:rPr>
                <w:rFonts w:ascii="Times New Roman;Times;Serif" w:hAnsi="Times New Roman;Times;Serif"/>
                <w:sz w:val="20"/>
              </w:rPr>
              <w:t>” shall be the lower of (i) the closing price on the trading day immediately preceding the notice to exercise the Top Up Option (the “</w:t>
            </w:r>
            <w:r>
              <w:rPr>
                <w:rFonts w:ascii="Times New Roman;Times;Serif" w:hAnsi="Times New Roman;Times;Serif"/>
                <w:b/>
                <w:sz w:val="20"/>
              </w:rPr>
              <w:t>Reference Day</w:t>
            </w:r>
            <w:r>
              <w:rPr>
                <w:rFonts w:ascii="Times New Roman;Times;Serif" w:hAnsi="Times New Roman;Times;Serif"/>
                <w:sz w:val="20"/>
              </w:rPr>
              <w:t>”), or (ii) average closing price for the five trading days prior to the Reference Day.</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35"/>
        <w:gridCol w:w="60"/>
        <w:gridCol w:w="170"/>
        <w:gridCol w:w="8640"/>
      </w:tblGrid>
      <w:tr>
        <w:trPr/>
        <w:tc>
          <w:tcPr>
            <w:tcW w:w="1335" w:type="dxa"/>
            <w:tcBorders/>
            <w:vAlign w:val="center"/>
          </w:tcPr>
          <w:p>
            <w:pPr>
              <w:pStyle w:val="TableContents"/>
              <w:bidi w:val="0"/>
              <w:spacing w:before="0" w:after="283"/>
              <w:ind w:left="0" w:right="0" w:hanging="180"/>
              <w:jc w:val="left"/>
              <w:rPr>
                <w:rFonts w:ascii="Times New Roman;Times;Serif" w:hAnsi="Times New Roman;Times;Serif"/>
                <w:b/>
                <w:i/>
                <w:sz w:val="20"/>
              </w:rPr>
            </w:pPr>
            <w:r>
              <w:rPr>
                <w:rFonts w:ascii="Times New Roman;Times;Serif" w:hAnsi="Times New Roman;Times;Serif"/>
                <w:b/>
                <w:i/>
                <w:sz w:val="20"/>
              </w:rPr>
              <w:t>Closing</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Closing shall occur within 2 days of the satisfaction or waiver of the Closing Conditions.</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Conditions: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Completion by NIVF of customary confirmatory due diligence on PredicXion, limited to PredicXion’s corporate authority, capitalization, ownership, and any material legal or regulatory restrictions that would prevent Closing. This condition shall be deemed satisfied once PredicXion has provided the requested materials in good faith, after which NIVF shall not unreasonably withhold, delay, or condition Closing based on matters outside the scope above.</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Receipt by the Parties of such corporate approvals as may be necessary to consummate the Acquisition and the transactions contemplated hereby.</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 material adverse change with respect to the Parties or any of their subsidiaries.</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Applicable regulatory clearance having been obtained, if any.</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Waivers of all pre-emptive rights which PredicXion’s existing shareholders have or may have in respect of any of the PredicXion shares to be acquired and/or subscribed for by NIVF at closing pursuant to PredicXion’s existing shareholder agreement.</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Receipt of any required third-party consents.</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Parties’ entry into an exclusive agency agreement as detailed below.</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NIVF Board</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On or after Closing, and as long as PredicXion holds equity in NIVF, PredicXion may nominate 3 independent non-executive directors to NIVF’s board of directors. NIVF shall, subject to approval by its board or relevant committee of its board, and subject to compliance requirements under BVI law, appoint such nominees to the board.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PredicXion Board Observer</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On or after Closing, as long as NIVF holds equity in PredicXion, NIVF shall have the right to designate one non-voting observer to PredicXion’s board of directors. PredicXion shall, subject to approval by its board or relevant committee of its board, and subject to compliance requirements under BVI law and PredicXion’s constitutional documents, permit such nominee to attend board meetings as a non-voting observer.</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Use of Proceeds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All cash/crypto proceeds shall be used by PredicXion as working capital for expansion of its AI-powered prediction market platform (branded as K25.ai) in the Asia-Pacific region.</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Information Rights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NIVF shall have customary information rights, including quarterly unaudited and annual audited financial statements of PredicXion. </w:t>
            </w:r>
          </w:p>
        </w:tc>
      </w:tr>
      <w:tr>
        <w:trPr/>
        <w:tc>
          <w:tcPr>
            <w:tcW w:w="1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640" w:type="dxa"/>
            <w:tcBorders/>
            <w:vAlign w:val="center"/>
          </w:tcPr>
          <w:p>
            <w:pPr>
              <w:pStyle w:val="TableContents"/>
              <w:bidi w:val="0"/>
              <w:spacing w:before="0" w:after="283"/>
              <w:ind w:left="0" w:right="0" w:hanging="180"/>
              <w:jc w:val="both"/>
              <w:rPr/>
            </w:pPr>
            <w:r>
              <w:rPr/>
              <w:t> </w:t>
            </w:r>
          </w:p>
        </w:tc>
      </w:tr>
      <w:tr>
        <w:trPr/>
        <w:tc>
          <w:tcPr>
            <w:tcW w:w="133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Exclusive Agency Agreement</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Concurrently with Closing, NIVF and PredicXion shall enter into an Exclusive Agency Agreement under which NIVF will act as exclusive agent for the promotion and sale of PredicXion’s platform services (K25.ai) in Thailand, Singapore, Japan, and other APAC territories as mutually agreed – excluding Hong Kong. NIVF will earn a commission of 10% of gross profit generated from customers introduced or directly serviced by NIVF.</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39"/>
        <w:gridCol w:w="60"/>
        <w:gridCol w:w="170"/>
        <w:gridCol w:w="226"/>
        <w:gridCol w:w="8210"/>
      </w:tblGrid>
      <w:tr>
        <w:trPr/>
        <w:tc>
          <w:tcPr>
            <w:tcW w:w="1539" w:type="dxa"/>
            <w:tcBorders/>
            <w:vAlign w:val="center"/>
          </w:tcPr>
          <w:p>
            <w:pPr>
              <w:pStyle w:val="TableContents"/>
              <w:bidi w:val="0"/>
              <w:spacing w:before="0" w:after="283"/>
              <w:ind w:left="0" w:right="0" w:hanging="180"/>
              <w:jc w:val="left"/>
              <w:rPr>
                <w:rFonts w:ascii="Times New Roman;Times;Serif" w:hAnsi="Times New Roman;Times;Serif"/>
                <w:b/>
                <w:i/>
                <w:sz w:val="20"/>
              </w:rPr>
            </w:pPr>
            <w:r>
              <w:rPr>
                <w:rFonts w:ascii="Times New Roman;Times;Serif" w:hAnsi="Times New Roman;Times;Serif"/>
                <w:b/>
                <w:i/>
                <w:sz w:val="20"/>
              </w:rPr>
              <w:t>Definitive Agreements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Parties shall use reasonable endeavours to enter into definitive agreements in connection with the Acquisition contemplated herein within two (2) months (the “</w:t>
            </w:r>
            <w:r>
              <w:rPr>
                <w:rFonts w:ascii="Times New Roman;Times;Serif" w:hAnsi="Times New Roman;Times;Serif"/>
                <w:b/>
                <w:sz w:val="20"/>
              </w:rPr>
              <w:t>Definitive Agreements</w:t>
            </w:r>
            <w:r>
              <w:rPr>
                <w:rFonts w:ascii="Times New Roman;Times;Serif" w:hAnsi="Times New Roman;Times;Serif"/>
                <w:sz w:val="20"/>
              </w:rPr>
              <w:t xml:space="preserve">”).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Standard representations and warranties from PredicXion as of signing and Closing, including, corporate existence and authority, no conflicts, no litigation, capitalization, no undisclosed liabilities, financial information, regulatory compliance, intellectual property, and no material adverse change.</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Standard representations and warranties from NIVF as of signing and closing on NIVF shares, Nasdaq listing compliance, and public filings.</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Confidentiality:</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terms and conditions of the Acquisition and other transactions contemplated hereunder will be confidential information and will not be disclosed by any Party without written permission from the other Parties.</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Notwithstanding the foregoing:</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21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Party may disclose this proposed Acquisition to its shareholders, advisors, board of directors and legal counsels for the sole purpose of consideration and evaluation of the Acquisition; and</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8210"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any PR release, public announcement, Form 6-K, regulatory disclosure, investor communication, or other market-facing disclosure relating to the Acquisition or the transactions contemplated hereunder may only be made after this Agreement has been duly executed by both Parties and the Deposit has been deemed received by PredicXion, and shall be subject to prior consultation between the Parties on the content and timing of such disclosure.</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During the period from the date of acceptance by PredicXion of the terms of this Agreement until the earlier of (i) public announcement of the Acquistion; (ii) the date on which discussions regarding the Acquisition are terminated by mutual agreement, and subject to the Definitive Agreement, PredicXion will restrain from trading the shares of NIVF.</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Expenses:</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Party will bear its own costs and expenses (including legal, accounting, and consulting fees) incurred in connection with this Agreement and the Acquisition.</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Deadline:</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2 (two) months from the date of execution of this Agreement, which may be extended by mutual consent of the Parties.</w:t>
            </w:r>
          </w:p>
        </w:tc>
      </w:tr>
      <w:tr>
        <w:trPr/>
        <w:tc>
          <w:tcPr>
            <w:tcW w:w="1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436" w:type="dxa"/>
            <w:gridSpan w:val="2"/>
            <w:tcBorders/>
            <w:vAlign w:val="center"/>
          </w:tcPr>
          <w:p>
            <w:pPr>
              <w:pStyle w:val="TableContents"/>
              <w:bidi w:val="0"/>
              <w:spacing w:before="0" w:after="283"/>
              <w:ind w:left="0" w:right="0" w:hanging="180"/>
              <w:jc w:val="both"/>
              <w:rPr/>
            </w:pPr>
            <w:r>
              <w:rPr/>
              <w:t> </w:t>
            </w:r>
          </w:p>
        </w:tc>
      </w:tr>
      <w:tr>
        <w:trPr/>
        <w:tc>
          <w:tcPr>
            <w:tcW w:w="153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Exclusivity:</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3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the execution of this Agreement until the earlier of: (i) Closing Deadline; and (ii) the date on which discussions regarding the Acquisition are terminated by mutual agreement (“</w:t>
            </w:r>
            <w:r>
              <w:rPr>
                <w:rFonts w:ascii="Times New Roman;Times;Serif" w:hAnsi="Times New Roman;Times;Serif"/>
                <w:b/>
                <w:sz w:val="20"/>
              </w:rPr>
              <w:t>Exclusivity Period</w:t>
            </w:r>
            <w:r>
              <w:rPr>
                <w:rFonts w:ascii="Times New Roman;Times;Serif" w:hAnsi="Times New Roman;Times;Serif"/>
                <w:sz w:val="20"/>
              </w:rPr>
              <w:t xml:space="preserve">”), PredicXion shall not, and shall request PredicXion’s other shareholders shall not, solicit or participate in any discussions or negotiations with any other person relating to the acquisition of PredicXion stock or PredicXion’s assets or business, in whole or in part, through purchase, merger, consolidation, or otherwise other than to undertake discussions pertaining to a fundraising round; provided that no such fundraising round shall be completed during the Exclusivity Period without NIVF’s consent.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18"/>
        <w:gridCol w:w="60"/>
        <w:gridCol w:w="170"/>
        <w:gridCol w:w="8757"/>
      </w:tblGrid>
      <w:tr>
        <w:trPr/>
        <w:tc>
          <w:tcPr>
            <w:tcW w:w="1218" w:type="dxa"/>
            <w:tcBorders/>
            <w:vAlign w:val="center"/>
          </w:tcPr>
          <w:p>
            <w:pPr>
              <w:pStyle w:val="TableContents"/>
              <w:bidi w:val="0"/>
              <w:spacing w:before="0" w:after="283"/>
              <w:ind w:left="0" w:right="0" w:hanging="180"/>
              <w:jc w:val="left"/>
              <w:rPr>
                <w:rFonts w:ascii="Times New Roman;Times;Serif" w:hAnsi="Times New Roman;Times;Serif"/>
                <w:b/>
                <w:i/>
                <w:sz w:val="20"/>
              </w:rPr>
            </w:pPr>
            <w:r>
              <w:rPr>
                <w:rFonts w:ascii="Times New Roman;Times;Serif" w:hAnsi="Times New Roman;Times;Serif"/>
                <w:b/>
                <w:i/>
                <w:sz w:val="20"/>
              </w:rPr>
              <w:t>Deposit</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i/>
                <w:sz w:val="20"/>
              </w:rPr>
              <w:t>Payment.</w:t>
            </w:r>
            <w:r>
              <w:rPr>
                <w:rFonts w:ascii="Times New Roman;Times;Serif" w:hAnsi="Times New Roman;Times;Serif"/>
                <w:sz w:val="20"/>
              </w:rPr>
              <w:t xml:space="preserve"> Within five (5) Business Days of the date of execution of this Agreement, NIVF shall pay to PredicXion a deposit of US$200,000 (the “</w:t>
            </w:r>
            <w:r>
              <w:rPr>
                <w:rFonts w:ascii="Times New Roman;Times;Serif" w:hAnsi="Times New Roman;Times;Serif"/>
                <w:b/>
                <w:sz w:val="20"/>
              </w:rPr>
              <w:t>Deposit</w:t>
            </w:r>
            <w:r>
              <w:rPr>
                <w:rFonts w:ascii="Times New Roman;Times;Serif" w:hAnsi="Times New Roman;Times;Serif"/>
                <w:sz w:val="20"/>
              </w:rPr>
              <w:t>”) by on-chain transfer to the digital wallet address designated by PredicXion in writing. The Deposit shall be deemed received upon sufficient blockchain confirmation and shall be held by PredicXion and dealt with solely in accordance with this clause.</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i/>
                <w:sz w:val="20"/>
              </w:rPr>
              <w:t>Application on Closing.</w:t>
            </w:r>
            <w:r>
              <w:rPr>
                <w:rFonts w:ascii="Times New Roman;Times;Serif" w:hAnsi="Times New Roman;Times;Serif"/>
                <w:sz w:val="20"/>
              </w:rPr>
              <w:t xml:space="preserve"> If the Acquisition closes in accordance with the terms of the Definitive Agreements, the Deposit shall be applied in full toward and credited against the Cash Consideration payable by NIVF at Closing.</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i/>
                <w:sz w:val="20"/>
              </w:rPr>
              <w:t>Liquidated Damages — PredicXion Breach.</w:t>
            </w:r>
            <w:r>
              <w:rPr>
                <w:rFonts w:ascii="Times New Roman;Times;Serif" w:hAnsi="Times New Roman;Times;Serif"/>
                <w:sz w:val="20"/>
              </w:rPr>
              <w:t xml:space="preserve"> If, during the Exclusivity Period, PredicXion: (i) breaches its exclusivity obligations under this clause; or (ii) enters into any agreement, whether binding or non-binding, with any third party in respect of any transaction described in paragraph (a) or (b) of the PredicXion Exclusivity Obligation above, then PredicXion shall within five (5) Business Days of written demand by NIVF: (A) return the Deposit in full to NIVF; and (B) pay to NIVF an additional sum of US$200,000 as agreed liquidated damages (the “</w:t>
            </w:r>
            <w:r>
              <w:rPr>
                <w:rFonts w:ascii="Times New Roman;Times;Serif" w:hAnsi="Times New Roman;Times;Serif"/>
                <w:b/>
                <w:sz w:val="20"/>
              </w:rPr>
              <w:t>Liquidated Damages</w:t>
            </w:r>
            <w:r>
              <w:rPr>
                <w:rFonts w:ascii="Times New Roman;Times;Serif" w:hAnsi="Times New Roman;Times;Serif"/>
                <w:sz w:val="20"/>
              </w:rPr>
              <w:t>”). The Parties agree that the Liquidated Damages represent a genuine pre-estimate of NIVF’s loss arising from a breach of exclusivity, including NIVF’s due diligence costs, management time, and opportunity cost, and are not a penalty.</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i/>
                <w:sz w:val="20"/>
              </w:rPr>
              <w:t xml:space="preserve">Penalty — NIVF Withdrawal Without Cause. </w:t>
            </w:r>
            <w:r>
              <w:rPr>
                <w:rFonts w:ascii="Times New Roman;Times;Serif" w:hAnsi="Times New Roman;Times;Serif"/>
                <w:sz w:val="20"/>
              </w:rPr>
              <w:t>If NIVF withdraws from or terminates discussions regarding the Acquisition other than due to the non-satisfaction of the Closing Conditions or a breach by PredicXion of its obligations under this Agreement, NIVF shall pay PredicXion a penalty of US$800,000 as agreed compensation for PredicXion’s lost opportunity, transaction costs, and related commercial impact.</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Governing Law and Dispute Resolution:</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This Agreement is governed by the laws of the British Virgin Islands.</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BVI International Arbitration Centre (BVI IAC) under the BVI Arbitration Rules in force when the Notice of Arbitration is submitted. The number of arbitrators shall be one.</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language of the arbitral proceedings shall be English.</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Definitive Agreements entered into pursuant to this Agreement shall be governed by the laws of the British Virgin Islands.</w:t>
            </w:r>
          </w:p>
        </w:tc>
      </w:tr>
      <w:tr>
        <w:trPr/>
        <w:tc>
          <w:tcPr>
            <w:tcW w:w="1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8757" w:type="dxa"/>
            <w:tcBorders/>
            <w:vAlign w:val="center"/>
          </w:tcPr>
          <w:p>
            <w:pPr>
              <w:pStyle w:val="TableContents"/>
              <w:bidi w:val="0"/>
              <w:spacing w:before="0" w:after="283"/>
              <w:ind w:left="0" w:right="0" w:hanging="180"/>
              <w:jc w:val="both"/>
              <w:rPr/>
            </w:pPr>
            <w:r>
              <w:rPr/>
              <w:t> </w:t>
            </w:r>
          </w:p>
        </w:tc>
      </w:tr>
      <w:tr>
        <w:trPr/>
        <w:tc>
          <w:tcPr>
            <w:tcW w:w="1218"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Binding Effect:</w:t>
            </w:r>
          </w:p>
        </w:tc>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7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terms of this Agreement shall be binding on the Parties, and are intended to create a duty to negotiate in good faith towards a definitive transaction documents.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and delivered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989" w:type="dxa"/>
        <w:jc w:val="left"/>
        <w:tblInd w:w="0" w:type="dxa"/>
        <w:tblLayout w:type="fixed"/>
        <w:tblCellMar>
          <w:top w:w="0" w:type="dxa"/>
          <w:left w:w="0" w:type="dxa"/>
          <w:bottom w:w="0" w:type="dxa"/>
          <w:right w:w="0" w:type="dxa"/>
        </w:tblCellMar>
      </w:tblPr>
      <w:tblGrid>
        <w:gridCol w:w="75"/>
        <w:gridCol w:w="689"/>
        <w:gridCol w:w="2225"/>
      </w:tblGrid>
      <w:tr>
        <w:trPr/>
        <w:tc>
          <w:tcPr>
            <w:tcW w:w="75"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both"/>
              <w:rPr>
                <w:b/>
                <w:sz w:val="20"/>
              </w:rPr>
            </w:pPr>
            <w:r>
              <w:rPr>
                <w:b/>
                <w:sz w:val="20"/>
              </w:rPr>
              <w:t>PREDICXION GROUP LIMITED</w:t>
            </w:r>
          </w:p>
        </w:tc>
      </w:tr>
      <w:tr>
        <w:trPr/>
        <w:tc>
          <w:tcPr>
            <w:tcW w:w="75" w:type="dxa"/>
            <w:tcBorders/>
            <w:vAlign w:val="center"/>
          </w:tcPr>
          <w:p>
            <w:pPr>
              <w:pStyle w:val="TableContents"/>
              <w:bidi w:val="0"/>
              <w:spacing w:before="0" w:after="283"/>
              <w:jc w:val="left"/>
              <w:rPr/>
            </w:pPr>
            <w:r>
              <w:rPr/>
              <w:t> </w:t>
            </w:r>
          </w:p>
        </w:tc>
        <w:tc>
          <w:tcPr>
            <w:tcW w:w="29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both"/>
              <w:rPr>
                <w:sz w:val="20"/>
              </w:rPr>
            </w:pPr>
            <w:r>
              <w:rPr>
                <w:sz w:val="20"/>
              </w:rPr>
              <w:t>By:</w:t>
            </w:r>
          </w:p>
        </w:tc>
        <w:tc>
          <w:tcPr>
            <w:tcW w:w="222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Cheung Kong Yiu</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both"/>
              <w:rPr>
                <w:sz w:val="20"/>
              </w:rPr>
            </w:pPr>
            <w:r>
              <w:rPr>
                <w:sz w:val="20"/>
              </w:rPr>
              <w:t>Name:</w:t>
            </w:r>
          </w:p>
        </w:tc>
        <w:tc>
          <w:tcPr>
            <w:tcW w:w="2225" w:type="dxa"/>
            <w:tcBorders/>
            <w:vAlign w:val="center"/>
          </w:tcPr>
          <w:p>
            <w:pPr>
              <w:pStyle w:val="TableContents"/>
              <w:bidi w:val="0"/>
              <w:spacing w:before="0" w:after="283"/>
              <w:jc w:val="both"/>
              <w:rPr>
                <w:sz w:val="20"/>
              </w:rPr>
            </w:pPr>
            <w:r>
              <w:rPr>
                <w:sz w:val="20"/>
              </w:rPr>
              <w:t>Cheung Kong Yiu</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Title:</w:t>
            </w:r>
          </w:p>
        </w:tc>
        <w:tc>
          <w:tcPr>
            <w:tcW w:w="2225" w:type="dxa"/>
            <w:tcBorders/>
            <w:vAlign w:val="center"/>
          </w:tcPr>
          <w:p>
            <w:pPr>
              <w:pStyle w:val="TableContents"/>
              <w:bidi w:val="0"/>
              <w:spacing w:before="0" w:after="283"/>
              <w:jc w:val="left"/>
              <w:rPr>
                <w:sz w:val="20"/>
              </w:rPr>
            </w:pPr>
            <w:r>
              <w:rPr>
                <w:sz w:val="20"/>
              </w:rPr>
              <w:t>CEO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and delivered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606"/>
        <w:gridCol w:w="2293"/>
      </w:tblGrid>
      <w:tr>
        <w:trPr/>
        <w:tc>
          <w:tcPr>
            <w:tcW w:w="75" w:type="dxa"/>
            <w:tcBorders/>
            <w:vAlign w:val="center"/>
          </w:tcPr>
          <w:p>
            <w:pPr>
              <w:pStyle w:val="TableContents"/>
              <w:bidi w:val="0"/>
              <w:spacing w:before="0" w:after="283"/>
              <w:jc w:val="both"/>
              <w:rPr/>
            </w:pPr>
            <w:r>
              <w:rPr/>
              <w:t> </w:t>
            </w:r>
          </w:p>
        </w:tc>
        <w:tc>
          <w:tcPr>
            <w:tcW w:w="2899" w:type="dxa"/>
            <w:gridSpan w:val="2"/>
            <w:tcBorders/>
            <w:vAlign w:val="center"/>
          </w:tcPr>
          <w:p>
            <w:pPr>
              <w:pStyle w:val="TableContents"/>
              <w:bidi w:val="0"/>
              <w:spacing w:before="0" w:after="283"/>
              <w:jc w:val="both"/>
              <w:rPr>
                <w:b/>
                <w:sz w:val="20"/>
              </w:rPr>
            </w:pPr>
            <w:r>
              <w:rPr>
                <w:b/>
                <w:sz w:val="20"/>
              </w:rPr>
              <w:t>NEWGENIVF GROUP LIMITED</w:t>
            </w:r>
          </w:p>
        </w:tc>
      </w:tr>
      <w:tr>
        <w:trPr/>
        <w:tc>
          <w:tcPr>
            <w:tcW w:w="75" w:type="dxa"/>
            <w:tcBorders/>
            <w:vAlign w:val="center"/>
          </w:tcPr>
          <w:p>
            <w:pPr>
              <w:pStyle w:val="TableContents"/>
              <w:bidi w:val="0"/>
              <w:spacing w:before="0" w:after="283"/>
              <w:jc w:val="both"/>
              <w:rPr/>
            </w:pPr>
            <w:r>
              <w:rPr/>
              <w:t> </w:t>
            </w:r>
          </w:p>
        </w:tc>
        <w:tc>
          <w:tcPr>
            <w:tcW w:w="28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6" w:type="dxa"/>
            <w:tcBorders/>
            <w:vAlign w:val="center"/>
          </w:tcPr>
          <w:p>
            <w:pPr>
              <w:pStyle w:val="TableContents"/>
              <w:bidi w:val="0"/>
              <w:spacing w:before="0" w:after="283"/>
              <w:jc w:val="both"/>
              <w:rPr>
                <w:sz w:val="20"/>
              </w:rPr>
            </w:pPr>
            <w:r>
              <w:rPr>
                <w:sz w:val="20"/>
              </w:rPr>
              <w:t>By:</w:t>
            </w:r>
          </w:p>
        </w:tc>
        <w:tc>
          <w:tcPr>
            <w:tcW w:w="2293"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Siu Wing Fung Alfred</w:t>
            </w:r>
          </w:p>
        </w:tc>
      </w:tr>
      <w:tr>
        <w:trPr/>
        <w:tc>
          <w:tcPr>
            <w:tcW w:w="75" w:type="dxa"/>
            <w:tcBorders/>
            <w:vAlign w:val="center"/>
          </w:tcPr>
          <w:p>
            <w:pPr>
              <w:pStyle w:val="TableContents"/>
              <w:bidi w:val="0"/>
              <w:spacing w:before="0" w:after="283"/>
              <w:jc w:val="both"/>
              <w:rPr/>
            </w:pPr>
            <w:r>
              <w:rPr/>
              <w:t> </w:t>
            </w:r>
          </w:p>
        </w:tc>
        <w:tc>
          <w:tcPr>
            <w:tcW w:w="606" w:type="dxa"/>
            <w:tcBorders/>
            <w:vAlign w:val="center"/>
          </w:tcPr>
          <w:p>
            <w:pPr>
              <w:pStyle w:val="TableContents"/>
              <w:bidi w:val="0"/>
              <w:spacing w:before="0" w:after="283"/>
              <w:jc w:val="both"/>
              <w:rPr>
                <w:sz w:val="20"/>
              </w:rPr>
            </w:pPr>
            <w:r>
              <w:rPr>
                <w:sz w:val="20"/>
              </w:rPr>
              <w:t>Name:</w:t>
            </w:r>
          </w:p>
        </w:tc>
        <w:tc>
          <w:tcPr>
            <w:tcW w:w="2293" w:type="dxa"/>
            <w:tcBorders/>
            <w:vAlign w:val="center"/>
          </w:tcPr>
          <w:p>
            <w:pPr>
              <w:pStyle w:val="TableContents"/>
              <w:bidi w:val="0"/>
              <w:spacing w:before="0" w:after="283"/>
              <w:jc w:val="both"/>
              <w:rPr>
                <w:sz w:val="20"/>
              </w:rPr>
            </w:pPr>
            <w:r>
              <w:rPr>
                <w:sz w:val="20"/>
              </w:rPr>
              <w:t>Siu Wing Fung Alfred</w:t>
            </w:r>
          </w:p>
        </w:tc>
      </w:tr>
      <w:tr>
        <w:trPr/>
        <w:tc>
          <w:tcPr>
            <w:tcW w:w="75" w:type="dxa"/>
            <w:tcBorders/>
            <w:vAlign w:val="center"/>
          </w:tcPr>
          <w:p>
            <w:pPr>
              <w:pStyle w:val="TableContents"/>
              <w:bidi w:val="0"/>
              <w:spacing w:before="0" w:after="283"/>
              <w:jc w:val="left"/>
              <w:rPr/>
            </w:pPr>
            <w:r>
              <w:rPr/>
              <w:t> </w:t>
            </w:r>
          </w:p>
        </w:tc>
        <w:tc>
          <w:tcPr>
            <w:tcW w:w="606" w:type="dxa"/>
            <w:tcBorders/>
            <w:vAlign w:val="center"/>
          </w:tcPr>
          <w:p>
            <w:pPr>
              <w:pStyle w:val="TableContents"/>
              <w:bidi w:val="0"/>
              <w:spacing w:before="0" w:after="283"/>
              <w:jc w:val="left"/>
              <w:rPr>
                <w:sz w:val="20"/>
              </w:rPr>
            </w:pPr>
            <w:r>
              <w:rPr>
                <w:sz w:val="20"/>
              </w:rPr>
              <w:t>Title:</w:t>
            </w:r>
          </w:p>
        </w:tc>
        <w:tc>
          <w:tcPr>
            <w:tcW w:w="2293" w:type="dxa"/>
            <w:tcBorders/>
            <w:vAlign w:val="center"/>
          </w:tcPr>
          <w:p>
            <w:pPr>
              <w:pStyle w:val="TableContents"/>
              <w:bidi w:val="0"/>
              <w:spacing w:before="0" w:after="283"/>
              <w:jc w:val="left"/>
              <w:rPr>
                <w:sz w:val="20"/>
              </w:rPr>
            </w:pPr>
            <w:r>
              <w:rPr>
                <w:sz w:val="20"/>
              </w:rPr>
              <w:t>CEO and Chairperson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4" w:right="0" w:hanging="0"/>
        <w:jc w:val="right"/>
        <w:rPr>
          <w:rFonts w:ascii="Times New Roman;Times;Serif" w:hAnsi="Times New Roman;Times;Serif"/>
          <w:b/>
          <w:i w:val="false"/>
          <w:caps w:val="false"/>
          <w:smallCaps w:val="false"/>
          <w:sz w:val="20"/>
        </w:rPr>
      </w:pPr>
      <w:bookmarkStart w:id="44" w:name="filename9.htm"/>
      <w:bookmarkStart w:id="45" w:name="ksfilename9"/>
      <w:bookmarkEnd w:id="44"/>
      <w:bookmarkEnd w:id="45"/>
      <w:r>
        <w:rPr>
          <w:rFonts w:ascii="Times New Roman;Times;Serif" w:hAnsi="Times New Roman;Times;Serif"/>
          <w:b/>
          <w:i w:val="false"/>
          <w:caps w:val="false"/>
          <w:smallCaps w:val="false"/>
          <w:sz w:val="20"/>
        </w:rPr>
        <w:t>Exhibit 10.55</w:t>
      </w:r>
      <w:r>
        <w:br w:type="page"/>
      </w:r>
    </w:p>
    <w:p>
      <w:pPr>
        <w:pStyle w:val="TextBody"/>
        <w:bidi w:val="0"/>
        <w:spacing w:before="0" w:after="0"/>
        <w:ind w:left="34" w:right="0" w:hanging="0"/>
        <w:jc w:val="center"/>
        <w:rPr>
          <w:caps w:val="false"/>
          <w:smallCaps w:val="false"/>
        </w:rPr>
      </w:pPr>
      <w:r>
        <w:rPr>
          <w:caps w:val="false"/>
          <w:smallCaps w:val="false"/>
        </w:rPr>
        <w:t> </w:t>
      </w:r>
    </w:p>
    <w:p>
      <w:pPr>
        <w:pStyle w:val="TextBody"/>
        <w:bidi w:val="0"/>
        <w:spacing w:before="0" w:after="0"/>
        <w:ind w:left="3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June 2,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with its address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with its address at 1800 Diagonal Road, Suite 623, Alexandria VA 22314 (the “Lender”).</w:t>
      </w:r>
    </w:p>
    <w:p>
      <w:pPr>
        <w:pStyle w:val="TextBody"/>
        <w:bidi w:val="0"/>
        <w:spacing w:before="0" w:after="0"/>
        <w:ind w:left="34" w:right="0" w:hanging="0"/>
        <w:jc w:val="center"/>
        <w:rPr>
          <w:caps w:val="false"/>
          <w:smallCaps w:val="false"/>
        </w:rPr>
      </w:pPr>
      <w:r>
        <w:rPr>
          <w:caps w:val="false"/>
          <w:smallCaps w:val="false"/>
        </w:rPr>
        <w:t> </w:t>
      </w:r>
    </w:p>
    <w:p>
      <w:pPr>
        <w:pStyle w:val="TextBody"/>
        <w:bidi w:val="0"/>
        <w:spacing w:before="0" w:after="0"/>
        <w:ind w:left="3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Lender are executing and delivering this Agreement in reliance upon the exemption from securities registration afforded by the rules and regulations as promulgated by the United States Securities and Exchange Commission (the “SEC”) under the Securities Act of 1933, as amended (the “1933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desires to purchase and the Company desires to issue and sell, upon the terms and conditions set forth in this Agreement, a convertible promissory note of the Company, in the form attached hereto as Exhibit A, in the aggregate principal amount of $132,000.00 (the “Note”);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Company and the Lender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the Securities</w:t>
      </w:r>
      <w:r>
        <w:rPr>
          <w:rFonts w:ascii="Times New Roman;Times;Serif" w:hAnsi="Times New Roman;Times;Serif"/>
          <w:b w:val="false"/>
          <w:i w:val="false"/>
          <w:caps w:val="false"/>
          <w:smallCaps w:val="false"/>
          <w:sz w:val="20"/>
        </w:rPr>
        <w:t>. On the Closing Date (as defined below), the Company shall issue and sell to the Lender and the Lender agrees to purchase from the Company the Securities as is set forth immediately below the Lender’s name on the signature pages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On the Closing Date (as defined below), (i) the Lender shall pay the purchase price for the Securities be issued and sold to it at the Closing (as defined below) (the “Purchase Price”) by wire transfer of immediately available funds to the Company, in accordance with the Company’s written wiring instructions, against delivery of the Securities, and (ii) the Company shall deliver such duly executed Note on behalf of the Company against delivery of such Purchase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satisfaction (or written waiver) of the conditions thereto set forth in Section 6 and Section 7 below, the date and time of the issuance and sale of the Securities pursuant to this Agreement (the “Closing Date”) shall be 12:00 noon, Eastern Standard Time on or about June 2, 2026, or such other mutually agreed upon time. The closing of the transactions contemplated by this Agreement (the “Closing”) shall occur on the Closing Date at such location as may be agreed to by the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Lender’s Representations and Warranties.</w:t>
      </w:r>
      <w:r>
        <w:rPr>
          <w:rFonts w:ascii="Times New Roman;Times;Serif" w:hAnsi="Times New Roman;Times;Serif"/>
          <w:b w:val="false"/>
          <w:i w:val="false"/>
          <w:caps w:val="false"/>
          <w:smallCaps w:val="false"/>
          <w:sz w:val="20"/>
        </w:rPr>
        <w:t xml:space="preserve"> The Lender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As of the date hereof, the Lender is purchasing the Note and the shares of Class A Ordinary Shares of the Company (“Class A Ordinary Shares”) issuable upon conversion of or otherwise pursuant to the Note (such shares of Class A Ordinary Shares being collectively referred to herein as the “Conversion Shares” and, collectively with the Note, the “Securities”) for its own account and not with a present view towards the public sale or distribution thereof, except pursuant to sales registered or exempted from registration under the 1933 Act.</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Lender is an “accredited investor” as that term is defined in Rule 501(a) of Regulation D (an “Accredited Investor”). Lender, either alone or together with its representatives, has such knowledge, sophistication and experience in business and financial matters so as to be capable of evaluating the merits and risks of the prospective investment in the Note and the Conversion Shares, and has so evaluated the merits and risks of such investment. Lender is able to bear the economic risk of an investment in the Note and Conversion Share and, at the present time, is able to afford a complete loss of such investment. Lender acknowledges that it has had the opportunity to review the reports filed by the Company with the Securities and Exchange Commission, and has been afforded: (i) the opportunity to ask such questions as it has deemed necessary of, and to receive answers from, representatives of the Company concerning the terms and conditions of the offering of the Note and Conversion Shares and the merits and risks of investing in the Note and Conversion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Lender understands that the Securities are being offered and sold to it in reliance upon specific exemptions from the registration requirements of United States federal and state securities laws and that the Company is relying upon the truth and accuracy of, and the Lender’s compliance with, the representations, warranties, agreements, acknowledgments and understandings of the Lender set forth herein in order to determine the availability of such exemptions and the eligibility of the Lender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Company has not disclosed to the Lender any material nonpublic information and will not disclose such information unless such information is disclosed to the public prior to or promptly following such disclosure to the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Lender understands that the Securities have not been registered under the 1933 Act; and may bear a restrictive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INSTRUMENT HAVE NOT BEEN REGISTERED UNDER THE SECURITIES ACT OF 1933, AS AMENDED (THE “SECURITIES ACT”), OR UNDER ANY STATE SECURITIES LAWS, AND MAY NOT BE PLEDGED, SOLD, ASSIGNED, HYPOTHECATED OR OTHERWISE TRANSFERRED UNLESS (1) A REGISTRATION STATEMENT WITH RESPECT THERETO IS EFFECTIVE UNDER THE SECURITIES ACT AND ANY APPLICABLE STATE SECURITIES LAWS OR (2) THE ISSUER OF SUCH SECURITIES RECEIVES AN OPINION OF COUNSEL TO THE BUYER OF SUCH SECURITIES, WHICH COUNSEL AND OPINION ARE REASONABLY ACCEPTABLE TO THE ISSUER’S TRANSFER AGENT, THAT SUCH SECURITIES MAY BE PLEDGED, SOLD, ASSIGNED, HYPOTHECATED OR OTHERWISE TRANSFERRED WITHOUT AN EFFECTIVE REGISTRATION STATEMENT UNDER THE SECURITIES ACT AND APPLICABLE STATE SECURITIES LAWS.”</w:t>
      </w:r>
    </w:p>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without such legend to the Lender of any Security upon which it is stamped, if, unless otherwise required by applicable state securities laws, (a) such Security is registered for sale under an effective registration statement filed under the 1933 Act or otherwise may be sold pursuant to an exemption from registration without any restriction as to the number of securities as of a particular date that can then be immediately sold, or (b) such Lender provides the Company with an opinion of counsel, in form, substance and scope customary for opinions of counsel in comparable transactions, to the effect that a public sale or transfer of such Security may be made without registration under the 1933 Act, which opinion shall be accepted by the Company so that the sale or transfer is effected. The Lender agrees to sell all Securities, including those represented by a certificate(s) from which the legend has been removed, in compliance with applicable prospectus delivery requirements, if any. In the event that the Company does not reasonably accept the opinion of counsel that properly conforms to applicable securities laws provided by the Lender with respect to the transfer of any Securities pursuant to an exemption from registration, such as Rule 144, at the Deadline, it will be considered an Event of Default pursuant to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This Agreement has been duly executed and delivered on behalf of the Lender, and this Agreement constitutes a valid and binding agreement of the Lender enforceable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Lender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(as defined below), if any, is a corporation duly organized, validly existing and in good standing under the laws of the jurisdiction in which it is incorporated, with full power and authority (corporate and other) to own, lease, use and operate its properties and to carry on its business as and where now owned, leased, used, operated and conducted.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(i) The Company has all requisite corporate power and authority to enter into and perform this Agreement, the Note and to consummate the transactions contemplated hereby and thereby and to issue the Securities, in accordance with the terms hereof and thereof, (ii) the execution and delivery of this Agreement, the Note by the Company and the consummation by it of the transactions contemplated hereby and thereby (including without limitation, the issuance of the Note has been duly authorized by the Company’s Board of Directors and no further consent or authorization of the Company, its Board of Directors, or its shareholders is required, (iii) this Agreement has been duly executed and delivered by the Company by its authorized representative, and such authorized representative is the true and official representative with authority to sign this Agreement and the other documents executed in connection herewith and bind the Company accordingly, and (iv) this Agreement constitutes, and upon execution and delivery by the Company of the Note, each of such instruments will constitute, a legal, valid and binding obligation of the Company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hereof, the authorized Class A Ordinary Shares of the Company consists of unlimited authorized shares, no par value per share, of which 568,448 shares are issued and outstanding. All of such outstanding shares of capital stock are, or upon issuance will be,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Securities are duly authorized and reserved for issuance in accordance with its respective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Lender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of this Agreement, the Note by the Company and the consummation by the Company of the transactions contemplated hereby and thereby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are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The businesses of the Company and its Subsidiaries, if any, are not being conducted, and shall not be conducted so long as the Lender owns any of the Securities, in violation of any law, ordinance or regulation of any governmental entity.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This Note is subordinate to the currently outstanding Series A Preferred Stock, solely with respect to dividend rights and rights on the distribution of assets on any voluntary or involuntary liquidation, dissolution or winding up of the affairs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or if amended, as of the dates of the amendments,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or if amended, as of the dates of the amendments,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The Company is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2024, except as set forth in the SEC Documents, there has been no material adverse change and no material adverse development in the assets, liabilities, business, properties, operations, financial condition, results of operations, prospects or Exchange Act reporting status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Except as set forth in the SEC Documents,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Lender. The issuance of the Securities to the Lender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Brokers</w:t>
      </w:r>
      <w:r>
        <w:rPr>
          <w:rFonts w:ascii="Times New Roman;Times;Serif" w:hAnsi="Times New Roman;Times;Serif"/>
          <w:b w:val="false"/>
          <w:i w:val="false"/>
          <w:caps w:val="false"/>
          <w:smallCaps w:val="false"/>
          <w:sz w:val="20"/>
        </w:rPr>
        <w:t>. Other than D. Boral, the Company has taken no action which would give rise to any claim by any person for brokerage commissions, transaction fees or similar payments relating to this Agreement or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If the Company breaches any of the material representations or warranties set forth in this Section 3 which is continuing after the applicable cure period as set forth in the Note, if any, and in addition to any other remedies available to the Lender pursuant to this Agreement, it will be considered an Event of default under Section 4.4 of the Note.</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Reasonable Commercial Efforts</w:t>
      </w:r>
      <w:r>
        <w:rPr>
          <w:rFonts w:ascii="Times New Roman;Times;Serif" w:hAnsi="Times New Roman;Times;Serif"/>
          <w:b w:val="false"/>
          <w:i w:val="false"/>
          <w:caps w:val="false"/>
          <w:smallCaps w:val="false"/>
          <w:sz w:val="20"/>
        </w:rPr>
        <w:t>. The Company shall use its reasonable commercial efforts to satisfy timely each of the conditions described in Section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proceeds for general working capital purposes.</w:t>
      </w:r>
    </w:p>
    <w:p>
      <w:pPr>
        <w:pStyle w:val="TextBody"/>
        <w:bidi w:val="0"/>
        <w:spacing w:before="0" w:after="0"/>
        <w:ind w:left="0" w:right="0" w:firstLine="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At the Closing, the Company’s obligation with respect to the transactions contemplated by this Agreement is to reimburse Lender’s expenses shall be $23,000.00 for Lender’s legal fees; due diligence fee and the Company’s investment bankers.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So long as the Lender beneficially owns any Note, the Company shall maintain its corporate existence and shall not sell all or substantially all of the Company’s assets in one or a series of transactions the result of which would render the Company a “shell company” as such term in defined in Rule 144.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If the Company breaches any of the material covenants set forth in this Section 4, and in addition to any other remedies available to the Lender pursuant to this Agreement which is continuing after the applicable cure period as set forth in the Note, it will be considered an event of default under Section 4.4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So long as the Lender beneficially owns the Note, the Company shall comply with the reporting requirements of the Exchange Act; and the Company shall continue to be subject to the reporting requirements of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The Company has not engaged the Lender to perform “Dealer” actions</w:t>
      </w:r>
      <w:r>
        <w:rPr>
          <w:rFonts w:ascii="Times New Roman;Times;Serif" w:hAnsi="Times New Roman;Times;Serif"/>
          <w:b w:val="false"/>
          <w:i w:val="false"/>
          <w:caps w:val="false"/>
          <w:smallCaps w:val="false"/>
          <w:sz w:val="20"/>
        </w:rPr>
        <w:t>. The Lender and the Company hereby acknowledge and agree that the Company has not engaged the Lender to: (i) act as an underwriter; (ii) act as a market maker or specialist; (iii) act as “de facto” market maker; or (iv) conduct any other professional market activities such as providing investment advice, extending credit and lending securities in connection.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Shorting</w:t>
      </w:r>
      <w:r>
        <w:rPr>
          <w:rFonts w:ascii="Times New Roman;Times;Serif" w:hAnsi="Times New Roman;Times;Serif"/>
          <w:b w:val="false"/>
          <w:i w:val="false"/>
          <w:caps w:val="false"/>
          <w:smallCaps w:val="false"/>
          <w:sz w:val="20"/>
        </w:rPr>
        <w:t>. So long as any portion of the Note remains outstanding, the Holder agrees that neither it nor any of its affiliates shall, directly or indirectly, engage in any short sales of the Company’s Common Stock or otherwise take any action that would have the effect of decreasing the trading price of the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to issue certificates, registered in the name of the Lender or its nominee, for the shares underlying any conversion of the Note upon default of the Note (the “Conversion Shares”) in such amounts as specified from time to time by the Lender to the Company upon conversion of the Note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 shares of Class A Ordinary Shares in the Reserved Amount as such term is defined in the Note) signed by the successor transfer agent to Company and the Company. Prior to registration of the Conversion Shares under the 1933 Act or the date on which the Conversion Shares may be sold pursuant to an exemption from registration, all such certificates shall bear the restrictive legend specified in Section 2(e)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Conversion Shares to be issued to the Lender upon conversion of or otherwise pursuant to the Note as and when required by the Note and this Agreement; and (iii) it will not fail to remove (or directs its transfer agent not to remove or impairs, delays, and/or hinders its transfer agent from removing) any restrictive legend (or to withdraw any stop transfer instructions in respect thereof) on any certificate for any Conversion Shares issued to the Lender upon conversion of or otherwise pursuant to the Note as and when required by the Note and/or this Agreement. If the Lender provides the Company and the Company’s transfer, at the cost of the Lender, with an opinion of counsel in form, substance and scope customary for opinions in comparable transactions, to the effect that a public sale or transfer of such Securities may be made without registration under the 1933 Act, the Company shall permit the transfer, and, in the case of the Conversion Shares, promptly instruct its transfer agent to issue one or more certificates, free from restrictive legend, in such name and in such denominations as specified by the Lender. The Company acknowledges that a breach by it of its obligations hereunder will cause irreparable harm to the Lender,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Lender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Securities to the Lender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2879" w:right="0" w:hanging="719"/>
        <w:jc w:val="left"/>
        <w:rPr>
          <w:caps w:val="false"/>
          <w:smallCaps w:val="false"/>
        </w:rPr>
      </w:pPr>
      <w:r>
        <w:rPr>
          <w:caps w:val="false"/>
          <w:smallCaps w:val="false"/>
        </w:rPr>
        <w:t> </w:t>
      </w:r>
    </w:p>
    <w:p>
      <w:pPr>
        <w:pStyle w:val="TextBody"/>
        <w:bidi w:val="0"/>
        <w:spacing w:before="0" w:after="0"/>
        <w:ind w:left="287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shall have executed this Agreement and delivered the same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delivered the Purchase Price in accordance with Section 1(b) above.</w:t>
      </w:r>
    </w:p>
    <w:p>
      <w:pPr>
        <w:pStyle w:val="TextBody"/>
        <w:bidi w:val="0"/>
        <w:spacing w:before="0" w:after="0"/>
        <w:ind w:left="2879" w:right="0" w:hanging="719"/>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Lender shall be true and correct in all material respects as of the date when made and as of the Closing Date as though made at that time (except for representations and warranties that speak as of a specific date), and the Lender shall have performed, satisfied and complied in all material respects with the covenants, agreements and conditions required by this Agreement to be performed, satisfied or complied with by the Lender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Lender’s Obligation to Purchase</w:t>
      </w:r>
      <w:r>
        <w:rPr>
          <w:rFonts w:ascii="Times New Roman;Times;Serif" w:hAnsi="Times New Roman;Times;Serif"/>
          <w:b w:val="false"/>
          <w:i w:val="false"/>
          <w:caps w:val="false"/>
          <w:smallCaps w:val="false"/>
          <w:sz w:val="20"/>
        </w:rPr>
        <w:t>. The obligation of the Lender hereunder to purchase the Securities at the Closing is subject to the satisfaction, at or before the Closing Date of each of the following conditions, provided that these conditions are for the Lender’s sole benefit and may be waived by the Lender at any time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87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executed this Agreement and delivered the same to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Lender the duly executed Note,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Lender, shall have been delivered to and acknowledged in writing by the Company’s Transfer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the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 The Lender shall have received a certificate or certificates, executed by the chief executive officer of the Company, dated as of the Closing Date, to the foregoing effect and as to such other matters as may be reasonably requested by the Lender including, but not limited to certificates with respect to the Board of Directors’ resolutions relating to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Exchange Act reporting status of the Company or the failure of the Company to be timely in its Exchange Act reporting obligations.</w:t>
      </w:r>
    </w:p>
    <w:p>
      <w:pPr>
        <w:pStyle w:val="TextBody"/>
        <w:bidi w:val="0"/>
        <w:spacing w:before="0" w:after="0"/>
        <w:ind w:left="2159" w:right="0" w:hanging="719"/>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59" w:right="0" w:hanging="719"/>
        <w:jc w:val="left"/>
        <w:rPr>
          <w:caps w:val="false"/>
          <w:smallCaps w:val="false"/>
        </w:rPr>
      </w:pPr>
      <w:r>
        <w:rPr>
          <w:caps w:val="false"/>
          <w:smallCaps w:val="false"/>
        </w:rPr>
        <w:t> </w:t>
      </w:r>
    </w:p>
    <w:p>
      <w:pPr>
        <w:pStyle w:val="TextBody"/>
        <w:bidi w:val="0"/>
        <w:spacing w:before="0" w:after="0"/>
        <w:ind w:left="2159" w:right="0" w:hanging="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Virginia without regard to principles of conflicts of laws. Any action brought by either party against the other concerning the transactions contemplated by this Agreement shall be brought only in the Circuit Court of Fairfax County, Virginia or in the Alexandria Division of the United States District Court for the Eastern District of Virginia. The parties to this Agreement hereby irrevocably waive any objection to jurisdiction and venue of any action instituted hereunder and shall not assert any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Company and Lender waive trial by jury. The Lender shall be entitled to recover from the Company its reasonable attorney’s fees and costs. In the event that any provision of this Agreement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 Each party hereby irrevocably waives personal service of process and consents to process being served in any suit, action or proceeding in connection with this Agreement, the Note or any related document or agreement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shall constitute one and the same agreement and shall become effective when counterparts have been signed by each party and delivered to the other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the instruments referenced herein contain the entire understanding of the parties with respect to the matters covered herein and therein and, except as specifically set forth herein or therein, neither the Company nor the Lender makes any representation, warranty, covenant or undertaking with respect to such matters. No provision of this Agreement may be waived or amended other than by an instrument in writing signed by the majority in interest of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facsimile, addressed as set forth below or to such other address as such party shall have specified most recently by written notice. Any notice or other communication required or permitted to be given hereunder shall be deemed effective (a) upon hand delivery or delivery by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heading of this Agreement. Each party shall provide notice to the other party of any change in address.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assigns. Neither the Company nor the Lender shall assign this Agreement or any rights or obligations hereunder without the prior written consent of the other. Notwithstanding the foregoing, the Lender may assign its rights hereunder to any person that purchases Securities in a private transaction from the Lender or to any of its “affiliates,” as that term is defined under the Exchange Act, without the consent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of the Company and the agreements and covenants set forth in this Agreement shall survive the closing hereunder notwithstanding any due diligence investigation conducted by or on behalf of the Lender. The Company agrees to indemnify and hold harmless the Lender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Company acknowledges that a breach by it of its obligations hereunder will cause irreparable harm to the Lender by vitiating the intent and purpose of the transaction contemplated hereby. Accordingly, the Company acknowledges that the remedy at law for a breach of its obligations under this Agreement will be inadequate and agrees, in the event of a breach or threatened breach by the Company of the provisions of this Agreement, that the Lender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34"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Lender and the Company have caused this Agreement to be duly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35"/>
        <w:gridCol w:w="242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Vanquish Funding Group Inc.</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335"/>
        <w:gridCol w:w="1010"/>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Curt Kramer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3605"/>
        <w:gridCol w:w="60"/>
        <w:gridCol w:w="140"/>
        <w:gridCol w:w="1100"/>
        <w:gridCol w:w="75"/>
      </w:tblGrid>
      <w:tr>
        <w:trPr/>
        <w:tc>
          <w:tcPr>
            <w:tcW w:w="3605" w:type="dxa"/>
            <w:tcBorders/>
            <w:vAlign w:val="center"/>
          </w:tcPr>
          <w:p>
            <w:pPr>
              <w:pStyle w:val="TableContents"/>
              <w:bidi w:val="0"/>
              <w:spacing w:before="0" w:after="283"/>
              <w:jc w:val="left"/>
              <w:rPr/>
            </w:pPr>
            <w:r>
              <w:rPr/>
              <w:t>Aggregate Principal Amount of Note: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132,000.00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b/>
        </w:rPr>
      </w:pPr>
      <w:bookmarkStart w:id="46" w:name="filename10.htm"/>
      <w:bookmarkStart w:id="47" w:name="ksfilename10"/>
      <w:bookmarkEnd w:id="46"/>
      <w:bookmarkEnd w:id="47"/>
      <w:r>
        <w:rPr>
          <w:b/>
        </w:rPr>
        <w:t>Exhibit 10.56</w:t>
      </w:r>
      <w:r>
        <w:br w:type="page"/>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(WHICH COUNSEL SHALL BE SELECTED BY THE HOLDER), IN A GENERALLY ACCEPTABLE FORM, THAT REGISTRATION IS NOT REQUIRED UNDER SAID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 PRICE OF THIS NOTE IS $132,000.00</w:t>
      </w:r>
    </w:p>
    <w:p>
      <w:pPr>
        <w:pStyle w:val="TextBody"/>
        <w:bidi w:val="0"/>
        <w:spacing w:before="0" w:after="0"/>
        <w:ind w:left="4" w:right="0" w:hanging="0"/>
        <w:jc w:val="center"/>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690"/>
        <w:gridCol w:w="2105"/>
      </w:tblGrid>
      <w:tr>
        <w:trPr/>
        <w:tc>
          <w:tcPr>
            <w:tcW w:w="26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$132,000.00</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132,000.00132,000.00</w:t>
            </w:r>
          </w:p>
        </w:tc>
        <w:tc>
          <w:tcPr>
            <w:tcW w:w="2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Issue Date: June 2,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44"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company formed pursuant to the laws of British Virgin Islands (hereinafter called the “Borrower”), hereby promises to pay to the order of </w:t>
      </w:r>
      <w:r>
        <w:rPr>
          <w:rFonts w:ascii="Times New Roman;Times;Serif" w:hAnsi="Times New Roman;Times;Serif"/>
          <w:b/>
          <w:i w:val="false"/>
          <w:caps w:val="false"/>
          <w:smallCaps w:val="false"/>
          <w:sz w:val="20"/>
        </w:rPr>
        <w:t>Vanquish Funding Group Inc.</w:t>
      </w:r>
      <w:r>
        <w:rPr>
          <w:rFonts w:ascii="Times New Roman;Times;Serif" w:hAnsi="Times New Roman;Times;Serif"/>
          <w:b w:val="false"/>
          <w:i w:val="false"/>
          <w:caps w:val="false"/>
          <w:smallCaps w:val="false"/>
          <w:sz w:val="20"/>
        </w:rPr>
        <w:t>, a Virginia corporation, or registered assigns (the “Holder”) the sum of $132,000.00 together with any interest as set forth herein, on March 15, 2027 (the “Maturity Date”), and to pay interest on the unpaid principal balance hereof at the rate of ten percent (10%) (the “Interest Rate”) per annum from the date hereof (the “Issue Date”) until the same becomes due and payable, whether at maturity or upon acceleration or by prepayment or otherwise. This Note may not be prepaid in whole or in part except as otherwise explicitly set forth herein. Any amount of principal or interest on this Note which is not paid when due shall bear interest at the rate of twenty two percent (22%) per annum (or the highest amount of legally permitted interest under applicable usury statutes) from the due date thereof until the same is paid (“Default Interest”). Interest shall be computed on the basis of a 365 day year and the actual number of days elapsed. Interest shall commence accruing on the Issue Date but shall not be payable until the Note becomes payable (whether at Maturity Date or upon acceleration or by prepayment). All payments due hereunder (to the extent not converted into Class A Ordinary Shares of the Borrower, no par value per share (the “Class A Ordinary Shares”) in accordance with the terms hereof) shall be made in lawful money of the United States of America. All payments shall be made at such address as the Holder shall hereafter give to the Borrower by written notice made in accordance with the provisions of this Note. Each capitalized term used herein, and not otherwise defined, shall have the meaning ascribed thereto in that certain Securities Purchase Agreement dated the date hereof, pursuant to which this Note was originally issued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apply to this Note:</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xml:space="preserve">. The Holder shall have the right from time to time, </w:t>
      </w:r>
      <w:r>
        <w:rPr>
          <w:rFonts w:ascii="Times New Roman;Times;Serif" w:hAnsi="Times New Roman;Times;Serif"/>
          <w:b w:val="false"/>
          <w:i w:val="false"/>
          <w:caps w:val="false"/>
          <w:smallCaps w:val="false"/>
          <w:sz w:val="20"/>
          <w:u w:val="single"/>
        </w:rPr>
        <w:t>and at any time during the period beginning on the date which is one hundred eighty (180) days following the date of this Note and ending on the later of: (i) the Maturity Date, or (ii) the date of payment of the Default Amount (as defined in Article III)</w:t>
      </w:r>
      <w:r>
        <w:rPr>
          <w:rFonts w:ascii="Times New Roman;Times;Serif" w:hAnsi="Times New Roman;Times;Serif"/>
          <w:b w:val="false"/>
          <w:i w:val="false"/>
          <w:caps w:val="false"/>
          <w:smallCaps w:val="false"/>
          <w:sz w:val="20"/>
        </w:rPr>
        <w:t xml:space="preserve">, each in respect of the remaining outstanding amount of this Note to convert all or any part of the outstanding and unpaid amount of this Note into fully paid and non-assessable shares of Class A Ordinary Shares, as such Class A Ordinary Shares exists on the Issue Date, or any shares of capital stock or other securities of the Borrower into which such Class A Ordinary Shares shall hereafter be changed or reclassified at the conversion price (the “Conversion Price”) determined as provided herein (a “Conversion”);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Holder be entitled to convert any portion of this Note in excess of that portion of this Note upon conversion of which the sum of (1) the number of shares of Class A Ordinary Shares beneficially owned by the Holder and its affiliates (other than shares of Class A Ordinary Shares which may be deemed beneficially owned through the ownership of the unconverted portion of the Notes or the unexercised or unconverted portion of any other security of the Borrower subject to a limitation on conversion or exercise analogous to the limitations contained herein) and (2) the number of shares of Class A Ordinary Shares issuable upon the conversion of the portion of this Note with respect to which the determination of this proviso is being made, would result in beneficial ownership by the Holder and its affiliates of more than 4.99% of the outstanding shares of Class A Ordinary Shares. For purposes of the proviso to the immediately preceding sentence, beneficial ownership shall be determined in accordance with Section 13(d) of the Securities Exchange Act of 1934, as amended (the “Exchange Act”), and Regulations 13D-G thereunder, except as otherwise provided in clause (1) of such proviso. </w:t>
      </w:r>
      <w:r>
        <w:rPr>
          <w:rFonts w:ascii="Times New Roman;Times;Serif" w:hAnsi="Times New Roman;Times;Serif"/>
          <w:b w:val="false"/>
          <w:i w:val="false"/>
          <w:caps w:val="false"/>
          <w:smallCaps w:val="false"/>
          <w:sz w:val="20"/>
          <w:u w:val="single"/>
        </w:rPr>
        <w:t>The beneficial ownership limitations on conversion as set forth in the section may NOT be waived by the Holder</w:t>
      </w:r>
      <w:r>
        <w:rPr>
          <w:rFonts w:ascii="Times New Roman;Times;Serif" w:hAnsi="Times New Roman;Times;Serif"/>
          <w:b w:val="false"/>
          <w:i w:val="false"/>
          <w:caps w:val="false"/>
          <w:smallCaps w:val="false"/>
          <w:sz w:val="20"/>
        </w:rPr>
        <w:t xml:space="preserve">. The number of shares of Class A Ordinary Shares to be issued upon each conversion of this Note shall be determined by dividing the Conversion Amount (as defined below) by the applicable Conversion Price then in effect on the date specified in the notice of conversion, in the form attached hereto as Exhibit A (the “Notice of Conversion”), delivered to the Borrower by the Holder in accordance with Section 1.4 below; provided that the Notice of Conversion is submitted by facsimile or e-mail (or by other means resulting in, or reasonably expected to result in, notice) to the Borrower before 6:00 p.m., New York, New York time on such conversion date (the “Conversion Date”); however, if the Notice of Conversion is sent after 6:00pm, New York, New York time the Conversion Date shall be the next business day. The term “Conversion Amount”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(3) at the Holder’s option, Default Interest, if any, on the amounts referred to in the immediately preceding clauses (1) and/or (2)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(4) at the Holder’s option, any amounts owed to the Holder pursuant to Sections 1.4 hereof.</w:t>
      </w:r>
    </w:p>
    <w:p>
      <w:pPr>
        <w:pStyle w:val="TextBody"/>
        <w:bidi w:val="0"/>
        <w:spacing w:before="0" w:after="0"/>
        <w:ind w:left="0" w:right="0" w:hanging="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be entitled to deduct $1,500.00 from the conversion amount in each Notice of Conversion to cover Holder's deposit fees associated with each Notice of Conversion. Any additional expenses incurred by Holder with respect to the Borrower's transfer agent, for the issuance of the Class A Ordinary Shares into which this Note is convertible into, shall immediately and automatically be added to the balance of the Note at such time as the expenses are incurred by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shall equal 75% multiplied by the Market Price (as defined herein) (representing a discount rate of 25%). “Market Price” means the lowest Trading Price (as defined below) for the Class A Ordinary Shares during the ten (10) Trading Day period ending on the latest complete Trading Day prior to the Conversion Date. “Trading Price” means, for any security as of any date, the closing bid price on the OTCQB, OTCQX, Pink Sheets electronic quotation system or applicable trading market (the “OTC”) as reported by a reliable reporting service (“Reporting Service”) designated by the Holder (i.e. Bloomberg) or, if the OTC is not the principal trading market for such security, the closing bid price of such security on the principal securities exchange or trading market where such security is listed or traded or, if no closing bid price of such security is available in any of the foregoing manners, the average of the closing bid prices of any market makers for such security that are listed in the “pink sheets”. If the Trading Price cannot be calculated for such security on such date in the manner provided above, the Trading Price shall be the fair market value as mutually determined by the Borrower and the holders of a majority in interest of the Notes being converted for which the calculation of the Trading Price is required in order to determine the Conversion Price of such Notes. “Trading Day” shall mean any day on which the Class A Ordinary Shares is tradable for any period on the OTC, or on the principal securities exchange or other securities market on which the Class A Ordinary Shares is then being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Class A Ordinary Shares a sufficient number of shares, free from preemptive rights, to provide for the issuance of Class A Ordinary Shares upon the full conversion of this Note issued pursuant to the Purchase Agreement. The Borrower is required at all times to have authorized and reserved four times the number of shares that is actually issuable upon full conversion of the Note (based on the Conversion Price of the Note in effect from time to time)(the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Class A Ordinary Shares into which the Notes shall be convertible at the then current Conversion Price, the Borrower shall at the same time make proper provision so that thereafter there shall be a sufficient number of shares of Class A Ordinary Shares authorized and reserved, free from preemptive rights, for conversion of the outstanding Note. The Borrower (i) acknowledges that it has irrevocably instructed its transfer agent to issue certificates for the Class A Ordinary Shares issuable upon conversion of this Note, and (ii) agrees that its issuance of this Note shall constitute full authority to its officers and agents who are charged with the duty of executing stock certificates to execute and issue the necessary certificates for shares of Class A Ordinary Shares in accordance with the terms and conditions of this Note. If, at any time the Borrower does not maintain the Reserved Amount it will be considered an Event of Default under Section 3.2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A</w:t>
      </w:r>
      <w:r>
        <w:rPr>
          <w:rFonts w:ascii="Times New Roman;Times;Serif" w:hAnsi="Times New Roman;Times;Serif"/>
          <w:b w:val="false"/>
          <w:i w:val="false"/>
          <w:caps w:val="false"/>
          <w:smallCaps w:val="false"/>
          <w:sz w:val="20"/>
          <w:u w:val="single"/>
        </w:rPr>
        <w:t>s set forth in Section 1.1 hereof, from time to time, and at any time during the period beginning on the date which is one hundred eighty (180) days following the date of this Note and ending on the later of: (i) the Maturity Date and (ii) the date of payment of the Default Amount</w:t>
      </w:r>
      <w:r>
        <w:rPr>
          <w:rFonts w:ascii="Times New Roman;Times;Serif" w:hAnsi="Times New Roman;Times;Serif"/>
          <w:b w:val="false"/>
          <w:i w:val="false"/>
          <w:caps w:val="false"/>
          <w:smallCaps w:val="false"/>
          <w:sz w:val="20"/>
        </w:rPr>
        <w:t>, this Note may be converted by the Holder in whole or in part at any time from time to time after the Issue Date, by (A) submitting to the Borrower a Notice of Conversion (by facsimile, e-mail or other reasonable means of communication dispatched on the Conversion Date prior to 6:00 p.m., New York, New York time) and (B) subject to Section 1.4(b), surrendering this Note at the principal office of the Borrower (upon payment in full of any amounts owed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Class A Ordinary Shares Upon Conversion</w:t>
      </w:r>
      <w:r>
        <w:rPr>
          <w:rFonts w:ascii="Times New Roman;Times;Serif" w:hAnsi="Times New Roman;Times;Serif"/>
          <w:b w:val="false"/>
          <w:i w:val="false"/>
          <w:caps w:val="false"/>
          <w:smallCaps w:val="false"/>
          <w:sz w:val="20"/>
        </w:rPr>
        <w:t>. Upon receipt by the Borrower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Class A Ordinary Shares issuable upon such conversion within three (3) business days after such receipt (the “Deadline”) (and, solely in the case of conversion of the entire unpaid principal amount hereof, surrender of this Note) in accordance with the terms hereof and the Purchase Agreement. Upon receipt by the Borrower of a Notice of Conversion, the Holder shall be deemed to be the holder of record of the Class A Ordinary Shares issuable upon such conversion, the outstanding principal amount and the amount of accrued and unpaid interest on this Note shall be reduced to reflect such conversion, and, unless the Borrower defaults on its obligations hereunder, all rights with respect to the portion of this Note being so converted shall forthwith terminate except the right to receive the Class A Ordinary Shares or other securities, cash or other assets, as herein provided, on such conversion. If the Holder shall have given a Notice of Conversion as provided herein, the Borrower’s obligation to issue and deliver the certificates for Class A Ordinary Shares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Class A Ordinary Shares by Electronic Transfer</w:t>
      </w:r>
      <w:r>
        <w:rPr>
          <w:rFonts w:ascii="Times New Roman;Times;Serif" w:hAnsi="Times New Roman;Times;Serif"/>
          <w:b w:val="false"/>
          <w:i w:val="false"/>
          <w:caps w:val="false"/>
          <w:smallCaps w:val="false"/>
          <w:sz w:val="20"/>
        </w:rPr>
        <w:t>. In lieu of delivering physical certificates representing the Class A Ordinary Shares issuable upon conversion, provided the Borrower is participating in the Depository Trust Company (“DTC”) Fast Automated Securities Transfer (“FAST”) program, upon request of the Holder and its compliance with the provisions set forth herein, the Borrower shall use its best efforts to cause its transfer agent to electronically transmit the Class A Ordinary Shares issuable upon conversion to the Holder by crediting the account of Holder’s Prime Broker with DTC through its Deposit and Withdrawal at Custodian (“DWAC”)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Failure to Deliver Class A Ordinary Shares Prior to Deadline</w:t>
      </w:r>
      <w:r>
        <w:rPr>
          <w:rFonts w:ascii="Times New Roman;Times;Serif" w:hAnsi="Times New Roman;Times;Serif"/>
          <w:b w:val="false"/>
          <w:i w:val="false"/>
          <w:caps w:val="false"/>
          <w:smallCaps w:val="false"/>
          <w:sz w:val="20"/>
        </w:rPr>
        <w:t>. Without in any way limiting the Holder’s right to pursue other remedies, including actual damages and/or equitable relief, the parties agree that if delivery of the Class A Ordinary Shares issuable upon conversion of this Note is not delivered by the Deadline due to action and/or inaction of the Borrower, the Borrower shall pay to the Holder $2,000 per day in cash, for each day beyond the Deadline that the Borrower fails to deliver such Class A Ordinary Shares (the “Fail to Deliver Fee”); provided; however that the Fail to Deliver Fee shall not be due if the failure is a result of a third party (i.e., transfer agent; and not the result of any failure to pay such transfer agent) despite the best efforts of the Borrower to effect delivery of such Class A Ordinary Shares.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Class A Ordinary Shares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Section 1.4(e) are justified.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shares of Class A Ordinary Shares issuable upon conversion of this Note may not be sold or transferred unless: (i) such shares are sold pursuant to an effective registration statement under the Act or (ii) the Borrower or its transfer agent shall have been furnished with an opinion of counsel (which opinion shall be in form, substance and scope customary for opinions of counsel in comparable transactions) to the effect that the shares to be sold or transferred may be sold or transferred pursuant to an exemption from such registration (such as Rule 144 or a successor rule) (“Rule 144”); or (iii) such shares are transferred to an “affiliate” (as defined in Rule 144) of the Borrower who agrees to sell or otherwise transfer the shares only in accordance with this Section 1.5 and who is an Accredited Investor (as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legend on certificates representing shares of Class A Ordinary Shares issuable upon conversion of this Note shall be removed and the Borrower shall issue to the Holder a new certificate therefore free of any transfer legend if the Borrower or its transfer agent shall have received an opinion of counsel from Holder’s counsel, in form, substance and scope customary for opinions of counsel in comparable transactions, to the effect that (i) a public sale or transfer of such Class A Ordinary Shares may be made without registration under the Act, which opinion shall be accepted by the Borrower so that the sale or transfer is effected; or (ii) in the case of the Class A Ordinary Shares issuable upon conversion of this Note, such security is registered for sale by the Holder under an effective registration statement filed under the Act; or otherwise may be sold pursuant to an exemption from registration. In the event that the Borrower does not reasonably accept the opinion of counsel provided by the Holder with respect to the transfer of Securities pursuant to an exemption from registration (such as Rule 144), at the Deadline, it will be considered an Event of Default pursuant to Section 3.2 of the Note.</w:t>
      </w:r>
    </w:p>
    <w:p>
      <w:pPr>
        <w:pStyle w:val="TextBody"/>
        <w:bidi w:val="0"/>
        <w:spacing w:before="0" w:after="0"/>
        <w:ind w:left="2519" w:right="0" w:hanging="143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Except with respect to any transactions disclosed by the Borrower in any of its filings with the SEC prior to the date of this Note, at the option of the Holder, the sale, conveyance or disposition of all or substantially all of the assets of the Borrower, the effectuation by the Borrower of a transaction or series of related transactions in which more than 50% of the voting power of the Borrower is disposed of, or the consolidation, merger or other business combination of the Borrower with or into any other Person (as defined below) or Persons when the Borrower is not the survivor shall be deemed to be an Event of Default (as defined in Article III) pursuant to which the Borrower shall be required to pay to the Holder upon the consummation of and as a condition to such transaction an amount equal to the Default Amount (as defined in Article III).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the Note, there shall be any merger, consolidation, exchange of shares, recapitalization, reorganization, or other similar event, as a result of which shares of Class A Ordinary Shares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Class A Ordinary Shares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Section 1.6(b) unless (a) it first gives, to the extent practicable, ten (10) days prior written notice (but in any event at least five (5)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If the Borrower shall declare or make any distribution of its assets (or rights to acquire its assets) to holders of Class A Ordinary Shares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Class A Ordinary Shares issuable upon such conversion had such Holder been the holder of such shares of Class A Ordinary Shares on the record date for the determination of shareholders entitled to such Distribution. 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Notwithstanding anything to the contrary contained in this Note, at any time during the periods set forth on the table immediately following this paragraph (the “Prepayment Periods”) or as otherwise agreed to between the Borrower and the Holder, the Borrower shall have the right, exercisable on not more than three (3) Trading Days prior written notice to the Holder of the Note to prepay the outstanding Note (principal and accrued interest), in full, in accordance with this Section 1.7. Any notice of prepayment hereunder (an “Optional Prepayment Notice”) shall be delivered to the Holder of the Note at its registered addresses and shall state: (1) that the Borrower is exercising its right to prepay the Note, and (2) the date of prepayment which shall be not more than three (3) Trading Days from the date of the Optional Prepayment Notice. On the date fixed for prepayment (the “Optional Prepayment Date”), the Borrower shall make payment of the Optional Prepayment Amount (as defined below) to Holder, or upon the direction of the Holder as specified by the Holder in a writing to the Borrower (which shall direction to be sent to Borrower by the Holder at least one (1) business day prior to the Optional Prepayment Date). If the Borrower exercises its right to prepay the Note, the Borrower shall make payment to the Holder of an amount in cash equal to the percentage (“Prepayment Percentage”) as set forth in the table immediately following this paragraph opposite the applicable Prepayment Period, multiplied by the sum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Optional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 1.4 hereof (the “Optional Prepayment Amount”).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546" w:type="dxa"/>
          <w:bottom w:w="28" w:type="dxa"/>
          <w:right w:w="28" w:type="dxa"/>
        </w:tblCellMar>
      </w:tblPr>
      <w:tblGrid>
        <w:gridCol w:w="8572"/>
        <w:gridCol w:w="1633"/>
      </w:tblGrid>
      <w:tr>
        <w:trPr/>
        <w:tc>
          <w:tcPr>
            <w:tcW w:w="85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Prepayment Period</w:t>
            </w:r>
          </w:p>
        </w:tc>
        <w:tc>
          <w:tcPr>
            <w:tcW w:w="16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Prepayment Percentage</w:t>
            </w:r>
          </w:p>
        </w:tc>
      </w:tr>
      <w:tr>
        <w:trPr/>
        <w:tc>
          <w:tcPr>
            <w:tcW w:w="8572" w:type="dxa"/>
            <w:tcBorders>
              <w:left w:val="single" w:sz="8" w:space="0" w:color="000000"/>
              <w:right w:val="single" w:sz="8" w:space="0" w:color="000000"/>
            </w:tcBorders>
            <w:tcMar>
              <w:top w:w="0" w:type="dxa"/>
              <w:left w:w="28"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the period beginning on the Issue Date and ending on the date which is one hundred ninety (90) days following the Issue Date.</w:t>
            </w:r>
          </w:p>
        </w:tc>
        <w:tc>
          <w:tcPr>
            <w:tcW w:w="1633"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w:t>
            </w:r>
          </w:p>
        </w:tc>
      </w:tr>
      <w:tr>
        <w:trPr/>
        <w:tc>
          <w:tcPr>
            <w:tcW w:w="8572" w:type="dxa"/>
            <w:tcBorders>
              <w:top w:val="single" w:sz="8" w:space="0" w:color="000000"/>
              <w:left w:val="single" w:sz="8" w:space="0" w:color="000000"/>
              <w:bottom w:val="single" w:sz="8" w:space="0" w:color="000000"/>
              <w:right w:val="single" w:sz="8" w:space="0" w:color="000000"/>
            </w:tcBorders>
            <w:tcMar>
              <w:lef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the period beginning on date which is ninety-one (91) days following the Issue Date and ending on the date which is one hundred eighty (180) days following the Issue Date.</w:t>
            </w:r>
          </w:p>
        </w:tc>
        <w:tc>
          <w:tcPr>
            <w:tcW w:w="163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the Holder’s conversion rights herein shall not be affected in any way until the Note is fully paid (funds received by the Holder) pursuant to an Optional Prepayment Notice.</w:t>
      </w:r>
    </w:p>
    <w:p>
      <w:pPr>
        <w:pStyle w:val="TextBody"/>
        <w:bidi w:val="0"/>
        <w:spacing w:before="0" w:after="0"/>
        <w:ind w:left="4"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So long as the Borrower shall have any obligation under this Note, the Borrower shall not, without the Holder’s written consent, sell, lease or otherwise dispose of any significant portion of its assets outside the ordinary course of business. Any consent to the disposition of any assets may be conditioned on a specified use of the proceeds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Registration: Piggyback Rights</w:t>
      </w:r>
      <w:r>
        <w:rPr>
          <w:rFonts w:ascii="Times New Roman;Times;Serif" w:hAnsi="Times New Roman;Times;Serif"/>
          <w:b w:val="false"/>
          <w:i w:val="false"/>
          <w:caps w:val="false"/>
          <w:smallCaps w:val="false"/>
          <w:sz w:val="20"/>
        </w:rPr>
        <w:t>. If at any time during the period that this Note is outstanding, the Borrower shall determine to file with the SEC a registration statement relating to an offering for its own account or the account of others of any its Class A Ordinary Shares (“Registration Statement”)(other than on Form S-4 or Form S-8 or their then-equivalents relating to equity securities to be issued solely in connection with any acquisition of any entity or business or equity securities issuable in connection with stock option or other employee benefit plans), the Borrower shall send to the written notice of such determination and, unless objected to in writing by the Holder by written notice delivered to the Borrower within five (5) days after the date of such notice from the Borrower, the Borrower shall include in such Registration Statement all shares issuable upon conversion of this Note (“Registrable Securities”).</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following events of default (each, an “Event of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and Interest</w:t>
      </w:r>
      <w:r>
        <w:rPr>
          <w:rFonts w:ascii="Times New Roman;Times;Serif" w:hAnsi="Times New Roman;Times;Serif"/>
          <w:b w:val="false"/>
          <w:i w:val="false"/>
          <w:caps w:val="false"/>
          <w:smallCaps w:val="false"/>
          <w:sz w:val="20"/>
        </w:rPr>
        <w:t>. The Borrower fails to pay the principal hereof or interest thereon when due on this Note, whether at maturity or upon acceleration and such breach continues for a period of five (5) days after written notice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issue shares of Class A Ordinary Shares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Class A Ordinary Shares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Class A Ordinary Shares to be issued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shares of Class A Ordinary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three (3)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anything contained herein to the contrary, if such failure to timely issue shares of Class A Ordinary Shares to the Holder upon conversion is not a result of the action or inaction of the Borrower, direct or indirect, such failure to issue will not be an event of default (i.e., act of God).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The Borrower breaches any material covenant or other material term or condition contained in this Note and any collateral documents including but not limited to the Purchase Agreement and such breach continues for a period of twenty (20) days after written notice thereof to the Borrower from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 and the breach of which has (or with the passage of time will have)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Delisting of Class A Ordinary Shares</w:t>
      </w:r>
      <w:r>
        <w:rPr>
          <w:rFonts w:ascii="Times New Roman;Times;Serif" w:hAnsi="Times New Roman;Times;Serif"/>
          <w:b w:val="false"/>
          <w:i w:val="false"/>
          <w:caps w:val="false"/>
          <w:smallCaps w:val="false"/>
          <w:sz w:val="20"/>
        </w:rPr>
        <w:t>. The Borrower shall fail to maintain the listing of the Class A Ordinary Shares on the Nasdaq National Market, the Nasdaq SmallCap Market, the New York Stock Exchange, or the NYSE American Stock Exchange (collectively, the “Exchanges”) or the quotation platforms maintained by the OTC Markets Group or an equivalent replacement exchange (collectively with the Exchanges,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Exchange Act</w:t>
      </w:r>
      <w:r>
        <w:rPr>
          <w:rFonts w:ascii="Times New Roman;Times;Serif" w:hAnsi="Times New Roman;Times;Serif"/>
          <w:b w:val="false"/>
          <w:i w:val="false"/>
          <w:caps w:val="false"/>
          <w:smallCaps w:val="false"/>
          <w:sz w:val="20"/>
        </w:rPr>
        <w:t>. The Borrower shall fail to comply with the reporting requirements of the Exchange Act; and/or the Borrower shall cease to be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Any dissolution, liquidation, or winding up of Borrower or any substantial portion of its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which would result in the Borrower becoming a “shell company” as such term is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at any time after 180 days after the Issuance Date for any date or period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Class A Ordinary Shares in the Reserved Amount) signed by the successor transfer agent to Borrower and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Notwithstanding anything to the contrary contained in this Note or the other related or companion documents, a breach or default by the Borrower of any covenant or other term or condition contained in any of the Other Agreements, after the passage of all applicable notice and cure or grace periods, shall, at the option of the Holder, be considered a default under this Note and the Other Agreements, in which event the Holder shall be entitled (but in no event required) to apply all rights and remedies of the Holder under the terms of this Note and the Other Agreements by reason of a default under said Other Agreement or hereunder. “Other Agreements” means, collectively, all agreements and instruments between, among or by: (1) the Borrower, and, or for the benefit of, (2) the Holder and any affiliate of the Holder, including, without limitation, promissory notes; provided, however, the term “Other Agreements” shall not include the related or companion documents to this Note. Each of the loan transactions will be cross-defaulted with each other loan transaction and with all other existing and future debt of Borrower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and during the continuation of any Event of Default specified in Section 3.1 (solely with respect to failure to pay the principal hereof or interest thereon when due at the Maturity Date), the Note shall become immediately due and payable and the Borrower shall pay to the Holder, in full satisfaction of its obligations hereunder, an amount equal to the Default Amount (as defined herein). UPON THE OCCURRENCE AND DURING THE CONTINUATION OF ANY EVENT OF DEFAULT SPECIFIED IN SECTION 3.2, THE NOTE SHALL BECOME IMMEDIATELY DUE AND PAYABLE AND THE BORROWER SHALL PAY TO THE HOLDER, IN FULL SATISFACTION OF ITS OBLIGATIONS HEREUNDER, AN AMOUNT EQUAL TO: (Y) THE DEFAULT AMOUNT (AS DEFINED HEREIN); MULTIPLIED BY (Z) TWO (2). Upon the occurrence and during the continuation of any Event of Default specified in this Article III (other than Section 3.2 as set forth above), the Note shall become immediately due and payable and the Borrower shall pay to the Holder, in full satisfaction of its obligations hereunder, an amount equal to 150%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sum</w:t>
      </w:r>
      <w:r>
        <w:rPr>
          <w:rFonts w:ascii="Times New Roman;Times;Serif" w:hAnsi="Times New Roman;Times;Serif"/>
          <w:b w:val="false"/>
          <w:i w:val="false"/>
          <w:caps w:val="false"/>
          <w:smallCaps w:val="false"/>
          <w:sz w:val="20"/>
        </w:rPr>
        <w:t xml:space="preserve"> of (w)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accrued and unpaid interest on the unpaid principal amount of this Note to the date of payment (the “Mandatory Prepayment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Default Interest, if any, on the amounts referred to in clauses (w) and/or (x)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Sections 1.3 and 1.4(g)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“Default Amount”) and all other amounts payable hereunder shall immediately become due and payable, all without demand, presentment or notice, all of which hereby are expressly waived, together with all costs, including, without limitation, legal fees and expenses, of collection, and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fails to pay the Default Amount within five (5) business days of written notice that such amount is due and payable, then the Holder shall have the right at any time, so long as the Borrower remains in default (and so long and to the extent that there are sufficient authorized shares), to require the Borrower, upon written notice, to immediately issue, in lieu of the Default Amount, the number of shares of Class A Ordinary Shares of the Borrower equal to the Default Amount divided by the Conversion Price then in effect.</w:t>
      </w:r>
    </w:p>
    <w:p>
      <w:pPr>
        <w:pStyle w:val="TextBody"/>
        <w:bidi w:val="0"/>
        <w:spacing w:before="0" w:after="0"/>
        <w:ind w:left="4" w:right="0" w:hanging="0"/>
        <w:jc w:val="center"/>
        <w:rPr>
          <w:caps w:val="false"/>
          <w:smallCaps w:val="false"/>
        </w:rPr>
      </w:pPr>
      <w:r>
        <w:rPr>
          <w:caps w:val="false"/>
          <w:smallCaps w:val="false"/>
        </w:rPr>
        <w:t> </w:t>
      </w:r>
    </w:p>
    <w:p>
      <w:pPr>
        <w:pStyle w:val="TextBody"/>
        <w:bidi w:val="0"/>
        <w:spacing w:before="0" w:after="0"/>
        <w:ind w:left="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or delivery by electronic mail,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 Sukhumvit 21 Road (Asoke), Khlong Toei Nuea Sub- district</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 Thailand</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Wing Fung Alfred Siu, Chief Executive Officer</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 Diagonal Road, Suite 623</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Alexandria VA 22314</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Curt Kramer, President</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ckramer6@bloomberg.net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 The term “Note” and all reference thereto, as used throughout this instrument, shall mean this instrument (and the other Notes issued pursuant to the Purchase Agreement) as originally executed, or if later amended or supplemented, then as so amended or supplemented.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Each transferee of this Note must be an “accredited investor” (as defined in Rule 501(a) of the Securities and Exchange Commission). Notwithstanding anything in this Note to the contrary, this Note may be pledged as collateral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and may be assigned by the Holder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governed by and construed in accordance with the laws of the Commonwealth of Virginia without regard to principles of conflicts of laws. Any action brought by either party against the other concerning the transactions contemplated by this Note shall be brought only in the Circuit Court of Fairfax County, Virginia or in the Alexandria Division of the United States District Court for the Eastern District of Virginia. The parties to this Note hereby irrevocably waive any objection to jurisdiction and venue of any action instituted hereunder and shall not assert any objection or defense based on lack of jurisdiction or venue or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The Borrower and Holder waive trial by jury. The Holder shall be entitled to recover from the Borrower its reasonable attorney's fees and costs incurred in connection with or related to any Event of Default by the Borrower, as defined in Article III hereof. In the event that any provision of this Note or any other agreement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hereof or any agreement delivered in connection herewith. Each party hereby irrevocably waives personal service of process and consents to process being served in any suit, action or proceeding in connection with this Note, any agreement or any other document delivered in connection with this Note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this on June 2, 2026</w:t>
      </w:r>
    </w:p>
    <w:p>
      <w:pPr>
        <w:pStyle w:val="TextBody"/>
        <w:bidi w:val="0"/>
        <w:spacing w:before="0" w:after="0"/>
        <w:ind w:left="35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359"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207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59"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81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811"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convert $__________ principal amount of the Note (defined below) into that number of shares of Class A Ordinary Shares to be issued pursuant to the conversion of the Note (“Class A Ordinary Shares”) as set forth below, of NEWGENIVF GROUP LIMITED, a British Virgin Islands corporation (the “Borrower”) according to the conditions of the convertible note of the Borrower dated as of June 2, 2026 (the “Note”), as of the date written below. No fee will be charged to the Holder for any conversion, except for transfer taxes, if any.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Class A Ordinary Shares issuable pursuant to this Notice of Conversion to the account of the undersigned or its nominee with DTC through its Deposit Withdrawal Agent Commission system (“DWAC Transfer”).</w:t>
      </w:r>
    </w:p>
    <w:p>
      <w:pPr>
        <w:pStyle w:val="TextBody"/>
        <w:bidi w:val="0"/>
        <w:spacing w:before="0" w:after="0"/>
        <w:ind w:left="2520" w:right="0" w:hanging="0"/>
        <w:jc w:val="left"/>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Class A Ordinary Shares set forth below (which numbers are based on the Holder’s calculation attached hereto) in the name(s) specified immediately below or, if additional space is necessary, on an attachment hereto:</w:t>
      </w:r>
    </w:p>
    <w:p>
      <w:pPr>
        <w:pStyle w:val="TextBody"/>
        <w:bidi w:val="0"/>
        <w:spacing w:before="0" w:after="0"/>
        <w:ind w:left="1800" w:right="0" w:firstLine="720"/>
        <w:jc w:val="both"/>
        <w:rPr>
          <w:caps w:val="false"/>
          <w:smallCaps w:val="false"/>
        </w:rPr>
      </w:pPr>
      <w:r>
        <w:rPr>
          <w:caps w:val="false"/>
          <w:smallCaps w:val="false"/>
        </w:rPr>
        <w:t> </w:t>
      </w:r>
    </w:p>
    <w:tbl>
      <w:tblPr>
        <w:tblW w:w="9507" w:type="dxa"/>
        <w:jc w:val="left"/>
        <w:tblInd w:w="0" w:type="dxa"/>
        <w:tblLayout w:type="fixed"/>
        <w:tblCellMar>
          <w:top w:w="0" w:type="dxa"/>
          <w:left w:w="0" w:type="dxa"/>
          <w:bottom w:w="0" w:type="dxa"/>
          <w:right w:w="0" w:type="dxa"/>
        </w:tblCellMar>
      </w:tblPr>
      <w:tblGrid>
        <w:gridCol w:w="75"/>
        <w:gridCol w:w="7610"/>
        <w:gridCol w:w="1822"/>
      </w:tblGrid>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sz w:val="20"/>
              </w:rPr>
            </w:pPr>
            <w:r>
              <w:rPr>
                <w:sz w:val="20"/>
              </w:rPr>
              <w:t>Date of conversion:</w:t>
            </w:r>
          </w:p>
        </w:tc>
        <w:tc>
          <w:tcPr>
            <w:tcW w:w="182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sz w:val="20"/>
              </w:rPr>
            </w:pPr>
            <w:r>
              <w:rPr>
                <w:sz w:val="20"/>
              </w:rPr>
              <w:t>Applicable Conversion Price:</w:t>
            </w:r>
          </w:p>
        </w:tc>
        <w:tc>
          <w:tcPr>
            <w:tcW w:w="1822" w:type="dxa"/>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pBdr/>
              <w:bidi w:val="0"/>
              <w:spacing w:before="0" w:after="283"/>
              <w:ind w:left="0" w:right="0" w:hanging="540"/>
              <w:jc w:val="both"/>
              <w:rPr>
                <w:sz w:val="20"/>
              </w:rPr>
            </w:pPr>
            <w:r>
              <w:rPr>
                <w:sz w:val="20"/>
              </w:rPr>
              <w:t>Number of shares of Class A Ordinary Shares to be issued pursuant to conversion of the Notes:</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bl>
    <w:p>
      <w:pPr>
        <w:pStyle w:val="TextBody"/>
        <w:bidi w:val="0"/>
        <w:spacing w:before="0" w:after="0"/>
        <w:ind w:left="180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Vanquish Funding Group Inc.</w:t>
      </w:r>
    </w:p>
    <w:p>
      <w:pPr>
        <w:pStyle w:val="TextBody"/>
        <w:bidi w:val="0"/>
        <w:spacing w:before="0" w:after="0"/>
        <w:ind w:left="306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8" w:name="filename11.htm"/>
      <w:bookmarkStart w:id="49" w:name="ksfilename11"/>
      <w:bookmarkEnd w:id="48"/>
      <w:bookmarkEnd w:id="49"/>
      <w:r>
        <w:rPr>
          <w:rFonts w:ascii="Times New Roman;Times;Serif" w:hAnsi="Times New Roman;Times;Serif"/>
          <w:b/>
          <w:i w:val="false"/>
          <w:caps w:val="false"/>
          <w:smallCaps w:val="false"/>
          <w:sz w:val="20"/>
        </w:rPr>
        <w:t>Exhibit 10.57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REPURCHASE AND FORBEARANCE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Repurchase and Forbearance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June 15, 2026, is by and between NewGenIvf Group Limited, a business company incorporated under the laws of the British Virgin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 xml:space="preserve">JAK </w:t>
      </w:r>
      <w:r>
        <w:rPr>
          <w:rFonts w:ascii="Times New Roman;Times;Serif" w:hAnsi="Times New Roman;Times;Serif"/>
          <w:b w:val="false"/>
          <w:i w:val="false"/>
          <w:caps w:val="false"/>
          <w:smallCaps w:val="false"/>
          <w:sz w:val="20"/>
        </w:rPr>
        <w:t xml:space="preserve">Opportunities </w:t>
      </w:r>
      <w:r>
        <w:rPr>
          <w:rFonts w:ascii="Times New Roman;Times;Serif" w:hAnsi="Times New Roman;Times;Serif"/>
          <w:b w:val="false"/>
          <w:i w:val="false"/>
          <w:smallCaps/>
          <w:sz w:val="20"/>
        </w:rPr>
        <w:t>VI LLC</w:t>
      </w:r>
      <w:r>
        <w:rPr>
          <w:rFonts w:ascii="Times New Roman;Times;Serif" w:hAnsi="Times New Roman;Times;Serif"/>
          <w:b w:val="false"/>
          <w:i w:val="false"/>
          <w:caps w:val="false"/>
          <w:smallCaps w:val="false"/>
          <w:sz w:val="20"/>
        </w:rPr>
        <w:t>, a Delaware limited liability company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The Company and the Investor are referred to herein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Capitalized terms not defined herein shall have the meaning as set forth in the Existing Securities Purchase Agreements (as defined below),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August 7, 2024, the Parties entered into that certain Securities Purchase Agreement (as amended, modified or waived prior to the date hereof, the “</w:t>
      </w:r>
      <w:r>
        <w:rPr>
          <w:rFonts w:ascii="Times New Roman;Times;Serif" w:hAnsi="Times New Roman;Times;Serif"/>
          <w:b/>
          <w:i w:val="false"/>
          <w:caps w:val="false"/>
          <w:smallCaps w:val="false"/>
          <w:sz w:val="20"/>
        </w:rPr>
        <w:t>2024 Securities Purchase Agreement</w:t>
      </w:r>
      <w:r>
        <w:rPr>
          <w:rFonts w:ascii="Times New Roman;Times;Serif" w:hAnsi="Times New Roman;Times;Serif"/>
          <w:b w:val="false"/>
          <w:i w:val="false"/>
          <w:caps w:val="false"/>
          <w:smallCaps w:val="false"/>
          <w:sz w:val="20"/>
        </w:rPr>
        <w:t>”), pursuant to which, among other things, the Company issued to the Investor (i) that certain senior convertible note of the Company, dated as of July 16, 2025, in the aggregate original principal amount of $2,000,000 (as amended, modified or waived prior to the date hereof, the “</w:t>
      </w:r>
      <w:r>
        <w:rPr>
          <w:rFonts w:ascii="Times New Roman;Times;Serif" w:hAnsi="Times New Roman;Times;Serif"/>
          <w:b/>
          <w:i w:val="false"/>
          <w:caps w:val="false"/>
          <w:smallCaps w:val="false"/>
          <w:sz w:val="20"/>
        </w:rPr>
        <w:t>2024 Note</w:t>
      </w:r>
      <w:r>
        <w:rPr>
          <w:rFonts w:ascii="Times New Roman;Times;Serif" w:hAnsi="Times New Roman;Times;Serif"/>
          <w:b w:val="false"/>
          <w:i w:val="false"/>
          <w:caps w:val="false"/>
          <w:smallCaps w:val="false"/>
          <w:sz w:val="20"/>
        </w:rPr>
        <w:t>”) and (ii) certain Warrants (as defined in the 2024 Securities Purchase Agreement) (as amended, modified or waived prior to the date hereof, collectively, the “</w:t>
      </w:r>
      <w:r>
        <w:rPr>
          <w:rFonts w:ascii="Times New Roman;Times;Serif" w:hAnsi="Times New Roman;Times;Serif"/>
          <w:b/>
          <w:i w:val="false"/>
          <w:caps w:val="false"/>
          <w:smallCaps w:val="false"/>
          <w:sz w:val="20"/>
        </w:rPr>
        <w:t>Original Warrants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April 1, 2025, the Parties entered into that certain Securities Purchase Agreement (as amended, modified or waived prior to the date hereof, the “</w:t>
      </w:r>
      <w:r>
        <w:rPr>
          <w:rFonts w:ascii="Times New Roman;Times;Serif" w:hAnsi="Times New Roman;Times;Serif"/>
          <w:b/>
          <w:i w:val="false"/>
          <w:caps w:val="false"/>
          <w:smallCaps w:val="false"/>
          <w:sz w:val="20"/>
        </w:rPr>
        <w:t>2025 Securities Purchase Agreement</w:t>
      </w:r>
      <w:r>
        <w:rPr>
          <w:rFonts w:ascii="Times New Roman;Times;Serif" w:hAnsi="Times New Roman;Times;Serif"/>
          <w:b w:val="false"/>
          <w:i w:val="false"/>
          <w:caps w:val="false"/>
          <w:smallCaps w:val="false"/>
          <w:sz w:val="20"/>
        </w:rPr>
        <w:t>”, and together with the 2024 Securities Purchase Agreement, the “</w:t>
      </w:r>
      <w:r>
        <w:rPr>
          <w:rFonts w:ascii="Times New Roman;Times;Serif" w:hAnsi="Times New Roman;Times;Serif"/>
          <w:b/>
          <w:i w:val="false"/>
          <w:caps w:val="false"/>
          <w:smallCaps w:val="false"/>
          <w:sz w:val="20"/>
        </w:rPr>
        <w:t>Existing Securities Purchase Agreements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Existing Securities Purchase Agreement</w:t>
      </w:r>
      <w:r>
        <w:rPr>
          <w:rFonts w:ascii="Times New Roman;Times;Serif" w:hAnsi="Times New Roman;Times;Serif"/>
          <w:b w:val="false"/>
          <w:i w:val="false"/>
          <w:caps w:val="false"/>
          <w:smallCaps w:val="false"/>
          <w:sz w:val="20"/>
        </w:rPr>
        <w:t>”), pursuant to which, among other things, the Company issued to the Investor that certain senior convertible note of the Company, dated as of June 3, 2025, in the aggregate original principal amount of $3,200,000 (as amended, modified or waived prior to the date hereof, the “</w:t>
      </w:r>
      <w:r>
        <w:rPr>
          <w:rFonts w:ascii="Times New Roman;Times;Serif" w:hAnsi="Times New Roman;Times;Serif"/>
          <w:b/>
          <w:i w:val="false"/>
          <w:caps w:val="false"/>
          <w:smallCaps w:val="false"/>
          <w:sz w:val="20"/>
        </w:rPr>
        <w:t>2025 Note</w:t>
      </w:r>
      <w:r>
        <w:rPr>
          <w:rFonts w:ascii="Times New Roman;Times;Serif" w:hAnsi="Times New Roman;Times;Serif"/>
          <w:b w:val="false"/>
          <w:i w:val="false"/>
          <w:caps w:val="false"/>
          <w:smallCaps w:val="false"/>
          <w:sz w:val="20"/>
        </w:rPr>
        <w:t>”, and together with the 2024 Note, the “</w:t>
      </w:r>
      <w:r>
        <w:rPr>
          <w:rFonts w:ascii="Times New Roman;Times;Serif" w:hAnsi="Times New Roman;Times;Serif"/>
          <w:b/>
          <w:i w:val="false"/>
          <w:caps w:val="false"/>
          <w:smallCaps w:val="false"/>
          <w:sz w:val="20"/>
        </w:rPr>
        <w:t>Original Notes</w:t>
      </w:r>
      <w:r>
        <w:rPr>
          <w:rFonts w:ascii="Times New Roman;Times;Serif" w:hAnsi="Times New Roman;Times;Serif"/>
          <w:b w:val="false"/>
          <w:i w:val="false"/>
          <w:caps w:val="false"/>
          <w:smallCaps w:val="false"/>
          <w:sz w:val="20"/>
        </w:rPr>
        <w:t>”, and collectively with the Original Warrants, the “</w:t>
      </w:r>
      <w:r>
        <w:rPr>
          <w:rFonts w:ascii="Times New Roman;Times;Serif" w:hAnsi="Times New Roman;Times;Serif"/>
          <w:b/>
          <w:i w:val="false"/>
          <w:caps w:val="false"/>
          <w:smallCaps w:val="false"/>
          <w:sz w:val="20"/>
        </w:rPr>
        <w:t>Original Securities</w:t>
      </w:r>
      <w:r>
        <w:rPr>
          <w:rFonts w:ascii="Times New Roman;Times;Serif" w:hAnsi="Times New Roman;Times;Serif"/>
          <w:b w:val="false"/>
          <w:i w:val="false"/>
          <w:caps w:val="false"/>
          <w:smallCaps w:val="false"/>
          <w:sz w:val="20"/>
        </w:rPr>
        <w:t>”). The Original Securities and the Existing Securities Purchase Agreements are collectively referred to herein as the “</w:t>
      </w:r>
      <w:r>
        <w:rPr>
          <w:rFonts w:ascii="Times New Roman;Times;Serif" w:hAnsi="Times New Roman;Times;Serif"/>
          <w:b/>
          <w:i w:val="false"/>
          <w:caps w:val="false"/>
          <w:smallCaps w:val="false"/>
          <w:sz w:val="20"/>
        </w:rPr>
        <w:t>Existing 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Section 1(b)(ii) of the 2024 Securities Purchase Agreement, the Company may sell to the Investor, and the Investor may purchase from the Company, one or more Additional Notes in one or more Additional Closings (the “</w:t>
      </w:r>
      <w:r>
        <w:rPr>
          <w:rFonts w:ascii="Times New Roman;Times;Serif" w:hAnsi="Times New Roman;Times;Serif"/>
          <w:b/>
          <w:i w:val="false"/>
          <w:caps w:val="false"/>
          <w:smallCaps w:val="false"/>
          <w:sz w:val="20"/>
        </w:rPr>
        <w:t>2024 Additional Closing Option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Section 1(b)(ii) of the 2025 Securities Purchase Agreement, the Company may sell to the Investor, and the Investor may purchase from the Company, one or more Additional Notes in one or more Additional Closings (the “</w:t>
      </w:r>
      <w:r>
        <w:rPr>
          <w:rFonts w:ascii="Times New Roman;Times;Serif" w:hAnsi="Times New Roman;Times;Serif"/>
          <w:b/>
          <w:i w:val="false"/>
          <w:caps w:val="false"/>
          <w:smallCaps w:val="false"/>
          <w:sz w:val="20"/>
        </w:rPr>
        <w:t>2025 Additional Closing Option</w:t>
      </w:r>
      <w:r>
        <w:rPr>
          <w:rFonts w:ascii="Times New Roman;Times;Serif" w:hAnsi="Times New Roman;Times;Serif"/>
          <w:b w:val="false"/>
          <w:i w:val="false"/>
          <w:caps w:val="false"/>
          <w:smallCaps w:val="false"/>
          <w:sz w:val="20"/>
        </w:rPr>
        <w:t>”, and together with the 2024 Additional Closing Option, the “</w:t>
      </w:r>
      <w:r>
        <w:rPr>
          <w:rFonts w:ascii="Times New Roman;Times;Serif" w:hAnsi="Times New Roman;Times;Serif"/>
          <w:b/>
          <w:i w:val="false"/>
          <w:caps w:val="false"/>
          <w:smallCaps w:val="false"/>
          <w:sz w:val="20"/>
        </w:rPr>
        <w:t>Additional Closing Options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 Investor holds Original Notes with such aggregate amounts outstanding thereunder (the “</w:t>
      </w:r>
      <w:r>
        <w:rPr>
          <w:rFonts w:ascii="Times New Roman;Times;Serif" w:hAnsi="Times New Roman;Times;Serif"/>
          <w:b/>
          <w:i w:val="false"/>
          <w:caps w:val="false"/>
          <w:smallCaps w:val="false"/>
          <w:sz w:val="20"/>
        </w:rPr>
        <w:t>Purchased Note Amount</w:t>
      </w:r>
      <w:r>
        <w:rPr>
          <w:rFonts w:ascii="Times New Roman;Times;Serif" w:hAnsi="Times New Roman;Times;Serif"/>
          <w:b w:val="false"/>
          <w:i w:val="false"/>
          <w:caps w:val="false"/>
          <w:smallCaps w:val="false"/>
          <w:sz w:val="20"/>
        </w:rPr>
        <w:t>”) as set forth on the signature page of the Investor attached hereto (collectively, the “</w:t>
      </w:r>
      <w:r>
        <w:rPr>
          <w:rFonts w:ascii="Times New Roman;Times;Serif" w:hAnsi="Times New Roman;Times;Serif"/>
          <w:b/>
          <w:i w:val="false"/>
          <w:caps w:val="false"/>
          <w:smallCaps w:val="false"/>
          <w:sz w:val="20"/>
        </w:rPr>
        <w:t>Purchased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 of the date hereof, the Investor holds Original Warrants exercisable into such aggregate number (the “</w:t>
      </w:r>
      <w:r>
        <w:rPr>
          <w:rFonts w:ascii="Times New Roman;Times;Serif" w:hAnsi="Times New Roman;Times;Serif"/>
          <w:b/>
          <w:i w:val="false"/>
          <w:caps w:val="false"/>
          <w:smallCaps w:val="false"/>
          <w:sz w:val="20"/>
        </w:rPr>
        <w:t>Purchased Warrant Number</w:t>
      </w:r>
      <w:r>
        <w:rPr>
          <w:rFonts w:ascii="Times New Roman;Times;Serif" w:hAnsi="Times New Roman;Times;Serif"/>
          <w:b w:val="false"/>
          <w:i w:val="false"/>
          <w:caps w:val="false"/>
          <w:smallCaps w:val="false"/>
          <w:sz w:val="20"/>
        </w:rPr>
        <w:t>”) of Ordinary Shares (without regard to any limitations on exercise set forth therein) as set forth on the signature page of the Investor attached hereto (collectively, the “</w:t>
      </w:r>
      <w:r>
        <w:rPr>
          <w:rFonts w:ascii="Times New Roman;Times;Serif" w:hAnsi="Times New Roman;Times;Serif"/>
          <w:b/>
          <w:i w:val="false"/>
          <w:caps w:val="false"/>
          <w:smallCaps w:val="false"/>
          <w:sz w:val="20"/>
        </w:rPr>
        <w:t>Purchased Warrants</w:t>
      </w:r>
      <w:r>
        <w:rPr>
          <w:rFonts w:ascii="Times New Roman;Times;Serif" w:hAnsi="Times New Roman;Times;Serif"/>
          <w:b w:val="false"/>
          <w:i w:val="false"/>
          <w:caps w:val="false"/>
          <w:smallCaps w:val="false"/>
          <w:sz w:val="20"/>
        </w:rPr>
        <w:t>”, and together with the Purchased Notes, the “</w:t>
      </w:r>
      <w:r>
        <w:rPr>
          <w:rFonts w:ascii="Times New Roman;Times;Serif" w:hAnsi="Times New Roman;Times;Serif"/>
          <w:b/>
          <w:i w:val="false"/>
          <w:caps w:val="false"/>
          <w:smallCaps w:val="false"/>
          <w:sz w:val="20"/>
        </w:rPr>
        <w:t>Purchased Securities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Parties desire to enter into this Agreement, pursuant to which, among other things, the Company shall (i) repurchase from the Investor, and the Investor shall sell to the Company, the Original Notes at an aggregate purchase price of $4,531,250 (the “</w:t>
      </w:r>
      <w:r>
        <w:rPr>
          <w:rFonts w:ascii="Times New Roman;Times;Serif" w:hAnsi="Times New Roman;Times;Serif"/>
          <w:b/>
          <w:i w:val="false"/>
          <w:caps w:val="false"/>
          <w:smallCaps w:val="false"/>
          <w:sz w:val="20"/>
        </w:rPr>
        <w:t>Note Purchase Price</w:t>
      </w:r>
      <w:r>
        <w:rPr>
          <w:rFonts w:ascii="Times New Roman;Times;Serif" w:hAnsi="Times New Roman;Times;Serif"/>
          <w:b w:val="false"/>
          <w:i w:val="false"/>
          <w:caps w:val="false"/>
          <w:smallCaps w:val="false"/>
          <w:sz w:val="20"/>
        </w:rPr>
        <w:t>”), (ii) repurchase from the Investor, and the Investor shall sell to the Company, the Purchased Warrants at an aggregate purchase price of $600,000 (the “</w:t>
      </w:r>
      <w:r>
        <w:rPr>
          <w:rFonts w:ascii="Times New Roman;Times;Serif" w:hAnsi="Times New Roman;Times;Serif"/>
          <w:b/>
          <w:i w:val="false"/>
          <w:caps w:val="false"/>
          <w:smallCaps w:val="false"/>
          <w:sz w:val="20"/>
        </w:rPr>
        <w:t>Warrant Purchase Price</w:t>
      </w:r>
      <w:r>
        <w:rPr>
          <w:rFonts w:ascii="Times New Roman;Times;Serif" w:hAnsi="Times New Roman;Times;Serif"/>
          <w:b w:val="false"/>
          <w:i w:val="false"/>
          <w:caps w:val="false"/>
          <w:smallCaps w:val="false"/>
          <w:sz w:val="20"/>
        </w:rPr>
        <w:t>”), and (iii) pay to the Investor an aggregate amount of $2,250,000 (the “</w:t>
      </w:r>
      <w:r>
        <w:rPr>
          <w:rFonts w:ascii="Times New Roman;Times;Serif" w:hAnsi="Times New Roman;Times;Serif"/>
          <w:b/>
          <w:i w:val="false"/>
          <w:caps w:val="false"/>
          <w:smallCaps w:val="false"/>
          <w:sz w:val="20"/>
        </w:rPr>
        <w:t>Forbearance Payment Amount</w:t>
      </w:r>
      <w:r>
        <w:rPr>
          <w:rFonts w:ascii="Times New Roman;Times;Serif" w:hAnsi="Times New Roman;Times;Serif"/>
          <w:b w:val="false"/>
          <w:i w:val="false"/>
          <w:caps w:val="false"/>
          <w:smallCaps w:val="false"/>
          <w:sz w:val="20"/>
        </w:rPr>
        <w:t>”, and together with the Note Purchase Price and the Warrant Purchase Price, each, a “</w:t>
      </w:r>
      <w:r>
        <w:rPr>
          <w:rFonts w:ascii="Times New Roman;Times;Serif" w:hAnsi="Times New Roman;Times;Serif"/>
          <w:b/>
          <w:i w:val="false"/>
          <w:caps w:val="false"/>
          <w:smallCaps w:val="false"/>
          <w:sz w:val="20"/>
        </w:rPr>
        <w:t>Payment Amount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Aggregate Payment Amount</w:t>
      </w:r>
      <w:r>
        <w:rPr>
          <w:rFonts w:ascii="Times New Roman;Times;Serif" w:hAnsi="Times New Roman;Times;Serif"/>
          <w:b w:val="false"/>
          <w:i w:val="false"/>
          <w:caps w:val="false"/>
          <w:smallCaps w:val="false"/>
          <w:sz w:val="20"/>
        </w:rPr>
        <w:t>”) to (x) forbear the Additional Closing Options and (y) subject to payment of the Aggregate Payment Amount, waive the Additional Closing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and for other good and valuable consideration, the receipt and sufficiency of which is hereby acknowledge,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Repurchase and Cancellation of Purchased Notes</w:t>
      </w:r>
      <w:r>
        <w:rPr>
          <w:rFonts w:ascii="Times New Roman;Times;Serif" w:hAnsi="Times New Roman;Times;Serif"/>
          <w:b w:val="false"/>
          <w:i w:val="false"/>
          <w:caps w:val="false"/>
          <w:smallCaps w:val="false"/>
          <w:sz w:val="20"/>
        </w:rPr>
        <w:t xml:space="preserve">. On each date set forth in column (1) of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val="false"/>
          <w:caps w:val="false"/>
          <w:smallCaps w:val="false"/>
          <w:sz w:val="20"/>
        </w:rPr>
        <w:t>Installment Schedule</w:t>
      </w:r>
      <w:r>
        <w:rPr>
          <w:rFonts w:ascii="Times New Roman;Times;Serif" w:hAnsi="Times New Roman;Times;Serif"/>
          <w:b w:val="false"/>
          <w:i w:val="false"/>
          <w:caps w:val="false"/>
          <w:smallCaps w:val="false"/>
          <w:sz w:val="20"/>
        </w:rPr>
        <w:t>”, and each such date, an “</w:t>
      </w:r>
      <w:r>
        <w:rPr>
          <w:rFonts w:ascii="Times New Roman;Times;Serif" w:hAnsi="Times New Roman;Times;Serif"/>
          <w:b/>
          <w:i w:val="false"/>
          <w:caps w:val="false"/>
          <w:smallCaps w:val="false"/>
          <w:sz w:val="20"/>
        </w:rPr>
        <w:t>Installment Date</w:t>
      </w:r>
      <w:r>
        <w:rPr>
          <w:rFonts w:ascii="Times New Roman;Times;Serif" w:hAnsi="Times New Roman;Times;Serif"/>
          <w:b w:val="false"/>
          <w:i w:val="false"/>
          <w:caps w:val="false"/>
          <w:smallCaps w:val="false"/>
          <w:sz w:val="20"/>
        </w:rPr>
        <w:t>”), the Company shall pay to the Investor, subject the terms and conditions set forth herein, such portion of the Note Purchase Price equal to such note installment amount set forth opposite such Installment Date in column (2) of the Installment Schedule (each, a “</w:t>
      </w:r>
      <w:r>
        <w:rPr>
          <w:rFonts w:ascii="Times New Roman;Times;Serif" w:hAnsi="Times New Roman;Times;Serif"/>
          <w:b/>
          <w:i w:val="false"/>
          <w:caps w:val="false"/>
          <w:smallCaps w:val="false"/>
          <w:sz w:val="20"/>
        </w:rPr>
        <w:t>Note Installment Amount</w:t>
      </w:r>
      <w:r>
        <w:rPr>
          <w:rFonts w:ascii="Times New Roman;Times;Serif" w:hAnsi="Times New Roman;Times;Serif"/>
          <w:b w:val="false"/>
          <w:i w:val="false"/>
          <w:caps w:val="false"/>
          <w:smallCaps w:val="false"/>
          <w:sz w:val="20"/>
        </w:rPr>
        <w:t>”) by wire transfer of immediately available funds in U.S. dollars. Effective as of such date that the Company shall have paid the Note Purchase Price, in full, to the Investor, the Investor hereby sells, assigns, delivers and transfers to the Company all of its right, title and interest in and to the Purchased Notes (the “</w:t>
      </w:r>
      <w:r>
        <w:rPr>
          <w:rFonts w:ascii="Times New Roman;Times;Serif" w:hAnsi="Times New Roman;Times;Serif"/>
          <w:b/>
          <w:i w:val="false"/>
          <w:caps w:val="false"/>
          <w:smallCaps w:val="false"/>
          <w:sz w:val="20"/>
        </w:rPr>
        <w:t>Note Repurchase</w:t>
      </w:r>
      <w:r>
        <w:rPr>
          <w:rFonts w:ascii="Times New Roman;Times;Serif" w:hAnsi="Times New Roman;Times;Serif"/>
          <w:b w:val="false"/>
          <w:i w:val="false"/>
          <w:caps w:val="false"/>
          <w:smallCaps w:val="false"/>
          <w:sz w:val="20"/>
        </w:rPr>
        <w:t>”), which shall thereafter be cancelled by the Company. Effective as of the Effective Time (as defined below), the Investor hereby agrees to forbear from converting all, or any portion, of the Purchased Notes unless or until (x) any breach or default by the Company of any term of this Agreement occurs and remains uncured for a period of at least three (3) Trading Days (each, a “</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and each such uncured breach or default, a “</w:t>
      </w:r>
      <w:r>
        <w:rPr>
          <w:rFonts w:ascii="Times New Roman;Times;Serif" w:hAnsi="Times New Roman;Times;Serif"/>
          <w:b/>
          <w:i w:val="false"/>
          <w:caps w:val="false"/>
          <w:smallCaps w:val="false"/>
          <w:sz w:val="20"/>
        </w:rPr>
        <w:t>Forbearance Default</w:t>
      </w:r>
      <w:r>
        <w:rPr>
          <w:rFonts w:ascii="Times New Roman;Times;Serif" w:hAnsi="Times New Roman;Times;Serif"/>
          <w:b w:val="false"/>
          <w:i w:val="false"/>
          <w:caps w:val="false"/>
          <w:smallCaps w:val="false"/>
          <w:sz w:val="20"/>
        </w:rPr>
        <w:t>”), (y) the occurrence of any Event of Default (as defined in the Purchased Notes), regardless of whether such Event of Default is subsequently cured (and together with each Forbearance Default, each, a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or (z) such time as the Purchased Notes are no longer outstanding (the “</w:t>
      </w:r>
      <w:r>
        <w:rPr>
          <w:rFonts w:ascii="Times New Roman;Times;Serif" w:hAnsi="Times New Roman;Times;Serif"/>
          <w:b/>
          <w:i w:val="false"/>
          <w:caps w:val="false"/>
          <w:smallCaps w:val="false"/>
          <w:sz w:val="20"/>
        </w:rPr>
        <w:t>Conversion Forbearance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Repurchase and Cancellation of Purchased Warrants</w:t>
      </w:r>
      <w:r>
        <w:rPr>
          <w:rFonts w:ascii="Times New Roman;Times;Serif" w:hAnsi="Times New Roman;Times;Serif"/>
          <w:b w:val="false"/>
          <w:i w:val="false"/>
          <w:caps w:val="false"/>
          <w:smallCaps w:val="false"/>
          <w:sz w:val="20"/>
        </w:rPr>
        <w:t>. On each Installment Dat</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the Company shall pay to the Investor, subject the terms and conditions set forth herein, such portion of the Warrant Purchase Price equal to such warrant installment amount set forth opposite such Installment Date in column (3) of the Installment Schedule (each, a “</w:t>
      </w:r>
      <w:r>
        <w:rPr>
          <w:rFonts w:ascii="Times New Roman;Times;Serif" w:hAnsi="Times New Roman;Times;Serif"/>
          <w:b/>
          <w:i w:val="false"/>
          <w:caps w:val="false"/>
          <w:smallCaps w:val="false"/>
          <w:sz w:val="20"/>
        </w:rPr>
        <w:t>Warrant Installment Amount</w:t>
      </w:r>
      <w:r>
        <w:rPr>
          <w:rFonts w:ascii="Times New Roman;Times;Serif" w:hAnsi="Times New Roman;Times;Serif"/>
          <w:b w:val="false"/>
          <w:i w:val="false"/>
          <w:caps w:val="false"/>
          <w:smallCaps w:val="false"/>
          <w:sz w:val="20"/>
        </w:rPr>
        <w:t>”) by wire transfer of immediately available funds in U.S. dollars. Effective as of such date that the Company shall have paid the Warrant Purchase Price, in full, to the Investor, the Investor hereby sells, assigns, delivers and transfers to the Company all of its right, title and interest in and to the Purchased Warrants (the “</w:t>
      </w:r>
      <w:r>
        <w:rPr>
          <w:rFonts w:ascii="Times New Roman;Times;Serif" w:hAnsi="Times New Roman;Times;Serif"/>
          <w:b/>
          <w:i w:val="false"/>
          <w:caps w:val="false"/>
          <w:smallCaps w:val="false"/>
          <w:sz w:val="20"/>
        </w:rPr>
        <w:t>Warrant Repurchase</w:t>
      </w:r>
      <w:r>
        <w:rPr>
          <w:rFonts w:ascii="Times New Roman;Times;Serif" w:hAnsi="Times New Roman;Times;Serif"/>
          <w:b w:val="false"/>
          <w:i w:val="false"/>
          <w:caps w:val="false"/>
          <w:smallCaps w:val="false"/>
          <w:sz w:val="20"/>
        </w:rPr>
        <w:t>”), which shall thereafter be cancelled by the Company. Effective as of the Effective Time, the Investor hereby agrees to forbear from exercising all or any portion of the Purchased Warrants unless or until (x) any Default occurs or (y) such time as the Purchased Warrants are no longer outstanding (the “</w:t>
      </w:r>
      <w:r>
        <w:rPr>
          <w:rFonts w:ascii="Times New Roman;Times;Serif" w:hAnsi="Times New Roman;Times;Serif"/>
          <w:b/>
          <w:i w:val="false"/>
          <w:caps w:val="false"/>
          <w:smallCaps w:val="false"/>
          <w:sz w:val="20"/>
        </w:rPr>
        <w:t>Exercise Forbearance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Forbearance Payments.</w:t>
      </w:r>
      <w:r>
        <w:rPr>
          <w:rFonts w:ascii="Times New Roman;Times;Serif" w:hAnsi="Times New Roman;Times;Serif"/>
          <w:b w:val="false"/>
          <w:i w:val="false"/>
          <w:caps w:val="false"/>
          <w:smallCaps w:val="false"/>
          <w:sz w:val="20"/>
        </w:rPr>
        <w:t xml:space="preserve"> On each Installment Date, the Company shall pay the Investor, subject the terms and conditions set forth herein, a portion of the Forbearance Payment Amount equal to such forbearance installment amount set forth opposite such Installment Date in column (4) of the Installment Schedule (each, a “</w:t>
      </w:r>
      <w:r>
        <w:rPr>
          <w:rFonts w:ascii="Times New Roman;Times;Serif" w:hAnsi="Times New Roman;Times;Serif"/>
          <w:b/>
          <w:i w:val="false"/>
          <w:caps w:val="false"/>
          <w:smallCaps w:val="false"/>
          <w:sz w:val="20"/>
        </w:rPr>
        <w:t>Forbearance Installment Amount</w:t>
      </w:r>
      <w:r>
        <w:rPr>
          <w:rFonts w:ascii="Times New Roman;Times;Serif" w:hAnsi="Times New Roman;Times;Serif"/>
          <w:b w:val="false"/>
          <w:i w:val="false"/>
          <w:caps w:val="false"/>
          <w:smallCaps w:val="false"/>
          <w:sz w:val="20"/>
        </w:rPr>
        <w:t>”, and together with the Note Installment Amounts and Warrant Installment Amounts, each, an “</w:t>
      </w:r>
      <w:r>
        <w:rPr>
          <w:rFonts w:ascii="Times New Roman;Times;Serif" w:hAnsi="Times New Roman;Times;Serif"/>
          <w:b/>
          <w:i w:val="false"/>
          <w:caps w:val="false"/>
          <w:smallCaps w:val="false"/>
          <w:sz w:val="20"/>
        </w:rPr>
        <w:t>Installment Amount</w:t>
      </w:r>
      <w:r>
        <w:rPr>
          <w:rFonts w:ascii="Times New Roman;Times;Serif" w:hAnsi="Times New Roman;Times;Serif"/>
          <w:b w:val="false"/>
          <w:i w:val="false"/>
          <w:caps w:val="false"/>
          <w:smallCaps w:val="false"/>
          <w:sz w:val="20"/>
        </w:rPr>
        <w:t>”) by wire transfer of immediately available funds in U.S. dollars.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Forbearance of Additional Closings under the Existing Securities Purchase Agreements.</w:t>
      </w:r>
      <w:r>
        <w:rPr>
          <w:rFonts w:ascii="Times New Roman;Times;Serif" w:hAnsi="Times New Roman;Times;Serif"/>
          <w:b w:val="false"/>
          <w:i w:val="false"/>
          <w:caps w:val="false"/>
          <w:smallCaps w:val="false"/>
          <w:sz w:val="20"/>
        </w:rPr>
        <w:t xml:space="preserve"> Effective as of the Effective Time, unless or until (x) any Default occurs or (y) the Aggregate Payment Amount is satisfied in full (such period, the “</w:t>
      </w:r>
      <w:r>
        <w:rPr>
          <w:rFonts w:ascii="Times New Roman;Times;Serif" w:hAnsi="Times New Roman;Times;Serif"/>
          <w:b/>
          <w:i w:val="false"/>
          <w:caps w:val="false"/>
          <w:smallCaps w:val="false"/>
          <w:sz w:val="20"/>
        </w:rPr>
        <w:t>Forbearance Period</w:t>
      </w:r>
      <w:r>
        <w:rPr>
          <w:rFonts w:ascii="Times New Roman;Times;Serif" w:hAnsi="Times New Roman;Times;Serif"/>
          <w:b w:val="false"/>
          <w:i w:val="false"/>
          <w:caps w:val="false"/>
          <w:smallCaps w:val="false"/>
          <w:sz w:val="20"/>
        </w:rPr>
        <w:t>”), the Investor agrees to forbear from requesting or consummating any Additional Closing pursuant to the Additional Closing Options (the “</w:t>
      </w:r>
      <w:r>
        <w:rPr>
          <w:rFonts w:ascii="Times New Roman;Times;Serif" w:hAnsi="Times New Roman;Times;Serif"/>
          <w:b/>
          <w:i w:val="false"/>
          <w:caps w:val="false"/>
          <w:smallCaps w:val="false"/>
          <w:sz w:val="20"/>
        </w:rPr>
        <w:t>Additional Closing Forbearance</w:t>
      </w:r>
      <w:r>
        <w:rPr>
          <w:rFonts w:ascii="Times New Roman;Times;Serif" w:hAnsi="Times New Roman;Times;Serif"/>
          <w:b w:val="false"/>
          <w:i w:val="false"/>
          <w:caps w:val="false"/>
          <w:smallCaps w:val="false"/>
          <w:sz w:val="20"/>
        </w:rPr>
        <w:t>”, and together with the Conversion Forbearance and the Exercise Forbearance, the “</w:t>
      </w:r>
      <w:r>
        <w:rPr>
          <w:rFonts w:ascii="Times New Roman;Times;Serif" w:hAnsi="Times New Roman;Times;Serif"/>
          <w:b/>
          <w:i w:val="false"/>
          <w:caps w:val="false"/>
          <w:smallCaps w:val="false"/>
          <w:sz w:val="20"/>
        </w:rPr>
        <w:t>Forbearances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Forbearance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Waiver of Additional Closings under the Existing Securities Purchase Agreements.</w:t>
      </w:r>
      <w:r>
        <w:rPr>
          <w:rFonts w:ascii="Times New Roman;Times;Serif" w:hAnsi="Times New Roman;Times;Serif"/>
          <w:b w:val="false"/>
          <w:i w:val="false"/>
          <w:caps w:val="false"/>
          <w:smallCaps w:val="false"/>
          <w:sz w:val="20"/>
        </w:rPr>
        <w:t xml:space="preserve"> Provided that the Company is not in breach of its obligations under this Agreement, effective as of such date that the Company shall have paid the Aggregate Payment Amount, in full, to the Investor, the Investor and the Company hereby mutually acknowledge and agree that Section 1(b)(ii) of each Existing Securities Purchase Agreement shall be of no further force or effect and no further Additional Closings shall occur thereunder (the “</w:t>
      </w:r>
      <w:r>
        <w:rPr>
          <w:rFonts w:ascii="Times New Roman;Times;Serif" w:hAnsi="Times New Roman;Times;Serif"/>
          <w:b/>
          <w:i w:val="false"/>
          <w:caps w:val="false"/>
          <w:smallCaps w:val="false"/>
          <w:sz w:val="20"/>
        </w:rPr>
        <w:t>Additional Closings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Prepayments.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Optional Prepayments.</w:t>
      </w:r>
      <w:r>
        <w:rPr>
          <w:rFonts w:ascii="Times New Roman;Times;Serif" w:hAnsi="Times New Roman;Times;Serif"/>
          <w:b w:val="false"/>
          <w:i w:val="false"/>
          <w:caps w:val="false"/>
          <w:smallCaps w:val="false"/>
          <w:sz w:val="20"/>
        </w:rPr>
        <w:t xml:space="preserve"> The Company may prepay all, or any portion, of the outstanding Aggregate Payment Amount at any time without penalty (each, an “</w:t>
      </w:r>
      <w:r>
        <w:rPr>
          <w:rFonts w:ascii="Times New Roman;Times;Serif" w:hAnsi="Times New Roman;Times;Serif"/>
          <w:b/>
          <w:i w:val="false"/>
          <w:caps w:val="false"/>
          <w:smallCaps w:val="false"/>
          <w:sz w:val="20"/>
        </w:rPr>
        <w:t>Optional Prepayment</w:t>
      </w:r>
      <w:r>
        <w:rPr>
          <w:rFonts w:ascii="Times New Roman;Times;Serif" w:hAnsi="Times New Roman;Times;Serif"/>
          <w:b w:val="false"/>
          <w:i w:val="false"/>
          <w:caps w:val="false"/>
          <w:smallCaps w:val="false"/>
          <w:sz w:val="20"/>
        </w:rPr>
        <w:t xml:space="preserve">”). Any Optional Prepayments made by the Company to the Investor in accordance herewith shall be applied as follows: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Note Purchase Price, by proportionally reducing each Note Installment Amount, until the Note Purchase Price is satisfied in full,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allocated pro rata to the Warrant Purchase Price and the Forbearance Payment Amount, by proportionally reducing each Installment Amount with respect to such Payment Amount, until the Aggregate Payment Amount is satisfied in full. The Investor may deliver a revised Installment Schedule to the Company reflecting any adjustments to the Installment Schedule as a result of any Optional Repayments, any Mandatory Repayments (as defined below) or pursuant to Section 7, which shall amend the Installment Schedule thereafter unless disputed by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Mandatory Prepayments.</w:t>
      </w:r>
      <w:r>
        <w:rPr>
          <w:rFonts w:ascii="Times New Roman;Times;Serif" w:hAnsi="Times New Roman;Times;Serif"/>
          <w:b w:val="false"/>
          <w:i w:val="false"/>
          <w:caps w:val="false"/>
          <w:smallCaps w:val="false"/>
          <w:sz w:val="20"/>
        </w:rPr>
        <w:t xml:space="preserve"> At least one (1) Trading Day prior to any proposed or intended Subsequent Placement (in each case, other than with respect to Excluded Securities (as defined below)) (each, an “</w:t>
      </w:r>
      <w:r>
        <w:rPr>
          <w:rFonts w:ascii="Times New Roman;Times;Serif" w:hAnsi="Times New Roman;Times;Serif"/>
          <w:b/>
          <w:i w:val="false"/>
          <w:caps w:val="false"/>
          <w:smallCaps w:val="false"/>
          <w:sz w:val="20"/>
        </w:rPr>
        <w:t>Eligible Subsequent Placement</w:t>
      </w:r>
      <w:r>
        <w:rPr>
          <w:rFonts w:ascii="Times New Roman;Times;Serif" w:hAnsi="Times New Roman;Times;Serif"/>
          <w:b w:val="false"/>
          <w:i w:val="false"/>
          <w:caps w:val="false"/>
          <w:smallCaps w:val="false"/>
          <w:sz w:val="20"/>
        </w:rPr>
        <w:t>”), the Company shall deliver to the Investor a written notice (each such notice, a “</w:t>
      </w:r>
      <w:r>
        <w:rPr>
          <w:rFonts w:ascii="Times New Roman;Times;Serif" w:hAnsi="Times New Roman;Times;Serif"/>
          <w:b/>
          <w:i w:val="false"/>
          <w:caps w:val="false"/>
          <w:smallCaps w:val="false"/>
          <w:sz w:val="20"/>
        </w:rPr>
        <w:t>Mandatory Prepayment Notice</w:t>
      </w:r>
      <w:r>
        <w:rPr>
          <w:rFonts w:ascii="Times New Roman;Times;Serif" w:hAnsi="Times New Roman;Times;Serif"/>
          <w:b w:val="false"/>
          <w:i w:val="false"/>
          <w:caps w:val="false"/>
          <w:smallCaps w:val="false"/>
          <w:sz w:val="20"/>
        </w:rPr>
        <w:t>”) specifying (i) the aggregate gross proceeds (less any reasonable and documented legal fees and expenses) of such Eligible Subsequent Placement (each, a “</w:t>
      </w:r>
      <w:r>
        <w:rPr>
          <w:rFonts w:ascii="Times New Roman;Times;Serif" w:hAnsi="Times New Roman;Times;Serif"/>
          <w:b/>
          <w:i w:val="false"/>
          <w:caps w:val="false"/>
          <w:smallCaps w:val="false"/>
          <w:sz w:val="20"/>
        </w:rPr>
        <w:t>Subsequent Placement Proceeds Amount</w:t>
      </w:r>
      <w:r>
        <w:rPr>
          <w:rFonts w:ascii="Times New Roman;Times;Serif" w:hAnsi="Times New Roman;Times;Serif"/>
          <w:b w:val="false"/>
          <w:i w:val="false"/>
          <w:caps w:val="false"/>
          <w:smallCaps w:val="false"/>
          <w:sz w:val="20"/>
        </w:rPr>
        <w:t>”), (ii) the applicable Mandatory Prepayment Amount (as defined below), and (iii) the applicable Mandatory Prepayment Date (as defined below). The Company shall pay a prepayment amount to the Investor equal to sixty-six percent (66%) of the Subsequent Placement Proceeds Amount of such Eligible Subsequent Placement (each, a “</w:t>
      </w:r>
      <w:r>
        <w:rPr>
          <w:rFonts w:ascii="Times New Roman;Times;Serif" w:hAnsi="Times New Roman;Times;Serif"/>
          <w:b/>
          <w:i w:val="false"/>
          <w:caps w:val="false"/>
          <w:smallCaps w:val="false"/>
          <w:sz w:val="20"/>
        </w:rPr>
        <w:t>Mandatory Prepayment Amount</w:t>
      </w:r>
      <w:r>
        <w:rPr>
          <w:rFonts w:ascii="Times New Roman;Times;Serif" w:hAnsi="Times New Roman;Times;Serif"/>
          <w:b w:val="false"/>
          <w:i w:val="false"/>
          <w:caps w:val="false"/>
          <w:smallCaps w:val="false"/>
          <w:sz w:val="20"/>
        </w:rPr>
        <w:t>”), which Mandatory Prepayment Amount shall be applied pro rata among the Payments Amounts, by proportionally reducing each Installment Amount with respect to such Payment Amount. For the avoidance of doubt, a Payment Amount’s pro rata portion of each Mandatory Prepayment Amount shall be based on the quotient of (x) such Payment Amount on the date hereof divided by (y) the Aggregate Payment Amount on the date hereof. Unless waived in writing by the Investor, on the date of the consummation of such Eligible Subsequent Placement (each, a “</w:t>
      </w:r>
      <w:r>
        <w:rPr>
          <w:rFonts w:ascii="Times New Roman;Times;Serif" w:hAnsi="Times New Roman;Times;Serif"/>
          <w:b/>
          <w:i w:val="false"/>
          <w:caps w:val="false"/>
          <w:smallCaps w:val="false"/>
          <w:sz w:val="20"/>
        </w:rPr>
        <w:t>Mandatory Prepayment Date</w:t>
      </w:r>
      <w:r>
        <w:rPr>
          <w:rFonts w:ascii="Times New Roman;Times;Serif" w:hAnsi="Times New Roman;Times;Serif"/>
          <w:b w:val="false"/>
          <w:i w:val="false"/>
          <w:caps w:val="false"/>
          <w:smallCaps w:val="false"/>
          <w:sz w:val="20"/>
        </w:rPr>
        <w:t>”), the Company shall pay the Investor in cash (each, a “</w:t>
      </w:r>
      <w:r>
        <w:rPr>
          <w:rFonts w:ascii="Times New Roman;Times;Serif" w:hAnsi="Times New Roman;Times;Serif"/>
          <w:b/>
          <w:i w:val="false"/>
          <w:caps w:val="false"/>
          <w:smallCaps w:val="false"/>
          <w:sz w:val="20"/>
        </w:rPr>
        <w:t>Mandatory Prepayment</w:t>
      </w:r>
      <w:r>
        <w:rPr>
          <w:rFonts w:ascii="Times New Roman;Times;Serif" w:hAnsi="Times New Roman;Times;Serif"/>
          <w:b w:val="false"/>
          <w:i w:val="false"/>
          <w:caps w:val="false"/>
          <w:smallCaps w:val="false"/>
          <w:sz w:val="20"/>
        </w:rPr>
        <w:t>”), without the requirement for any notice or demand or other action by the Investor or any other Person, an amount equal to applicable Mandatory Prepayment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Agreement,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Ordinary Shares or standard options to purchase Ordinary Shares issued to directors, officers or employees of the Company for services rendered to the Company in their capacity as such pursuant to an Approved Share Plan (as defined in the 2025 Note), provided that (A) all such issuances (taking into account the Ordinary Shares issuable upon exercise of such options) after the date hereof pursuant to this clause (i) do not, in the aggregate, exceed more than 10% of the Ordinary Shares issued and outstanding immediately prior to the date hereof and (B) the exercise price of any such options is not lowered, none of such options are amended to increase the number of shares issuable thereunder and none of the terms or conditions of any such options are otherwise materially changed in any manner that adversely affects the Investor; (ii) Ordinary Shares issued upon the conversion or exercise of Convertible Securities (as defined in the 2025 Notes) or Options (as defined in the 2025 Notes) (other than standard options to purchase Ordinary Shares issued pursuant to an Approved Share Plan that are covered by clause (i) above) issued prior to the date hereof, provided that the conversion price of any such Convertible Securities (other than standard options to purchase Ordinary Shares issued pursuant to an Approved Share Plan that are covered by clause (i) above) is not lowered, none of such Convertible Securities or Options (other than standard options to purchase Ordinary Shares issued pursuant to an Approved Share Plan that are covered by clause (i) above) are amended to increase the number of shares issuable thereunder and none of the terms or conditions of any such Convertible Securities or Options (other than standard options to purchase Ordinary Shares issued pursuant to an Approved Share Plan that are covered by clause (i) above) are otherwise materially changed in any manner that adversely affects the Investor; (iii) Ordinary Shares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Ordinary Shares are issued as “restricted securities” (as defined in Rule 144 ) and carry no registration rights that require or permit the filing of any registration statement in connection therewith during the Restricted Period,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(iv) Ordinary Shares issued pursuant to that certain Common Stock Purchase Agreement, dated as of November 21, 2024, by and between the Company and White Lion Capital,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 xml:space="preserve">Cure Period Conversions and Exercises. </w:t>
      </w:r>
      <w:r>
        <w:rPr>
          <w:rFonts w:ascii="Times New Roman;Times;Serif" w:hAnsi="Times New Roman;Times;Serif"/>
          <w:b w:val="false"/>
          <w:i w:val="false"/>
          <w:caps w:val="false"/>
          <w:smallCaps w:val="false"/>
          <w:sz w:val="20"/>
        </w:rPr>
        <w:t xml:space="preserve">For the avoidance of doubt, during a Cure Period, each Forbearance shall cease to be effective unless and until the applicable Forbearance Default is cured during such Cure Period (and no other Default then exists). Notwithstanding anything to the contrary herein, if the Investor converts and/or exercises (as the case may be) any portion of the Purchased Securities during a Cure Period, the aggregate Conversion Amount (as defined in the Purchased Notes) and/or the aggregate Aggregate Exercise Price (as defined in the Purchased Warrants) (as the case may be), shall be applied as follows: (x)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Note Purchase Price in reverse order commencing on the last Note Installment Amount on the Installment Schedule, until such Note Installment Amount is paid in full, then the prior Note Installment Amount, if any, respectively, until the Note Purchase Price is satisfied in full and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Warrant Purchase Price in reverse order commencing on the last Warrant Installment Amount on the Installment Schedule, until such Warrant Installment Amount is paid in full, then the prior Warrant Installment Amount, if any, respectively.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 xml:space="preserve">Termination. </w:t>
      </w:r>
      <w:r>
        <w:rPr>
          <w:rFonts w:ascii="Times New Roman;Times;Serif" w:hAnsi="Times New Roman;Times;Serif"/>
          <w:b w:val="false"/>
          <w:i w:val="false"/>
          <w:caps w:val="false"/>
          <w:smallCaps w:val="false"/>
          <w:sz w:val="20"/>
        </w:rPr>
        <w:t>Upon the occurrence of a Default, the Forbearances and any waiver of any provision contained in the Existing Transaction Documents shall terminate and be of no further force and effect. Notwithstanding anything to the contrary herein, in the event of a Default, the Company agrees that any and all Installment Payments made hereunder shall be deemed as nonrefundable liquidated damages and not as a penalty or as payment under the Original Securities; provided that, if the Company pays the Investor an amount in cash equal to 100% of the outstanding Aggregate Payment Amount within fifteen (15) Business Days of such Default, the Investor hereby (i) grants the Additional Closing Waiver, (ii) agrees that the Note Repurchase shall have occurred and (iii) agrees that the Warrant Repurchase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Ratification.</w:t>
      </w:r>
      <w:r>
        <w:rPr>
          <w:rFonts w:ascii="Times New Roman;Times;Serif" w:hAnsi="Times New Roman;Times;Serif"/>
          <w:b w:val="false"/>
          <w:i w:val="false"/>
          <w:caps w:val="false"/>
          <w:smallCaps w:val="false"/>
          <w:sz w:val="20"/>
        </w:rPr>
        <w:t xml:space="preserve"> Except as specifically provided in this Agreement, all other terms and conditions of the Transaction Documents (as defined in the Existing Securities Purchase Agreements, as applicable) remain in full force and effect and are hereby ratified and confirmed in all respects.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Transfer Agent Instructions</w:t>
      </w:r>
      <w:r>
        <w:rPr>
          <w:rFonts w:ascii="Times New Roman;Times;Serif" w:hAnsi="Times New Roman;Times;Serif"/>
          <w:b w:val="false"/>
          <w:i w:val="false"/>
          <w:caps w:val="false"/>
          <w:smallCaps w:val="false"/>
          <w:sz w:val="20"/>
        </w:rPr>
        <w:t>. On or prior to the date hereof, the Company shall execute and deliver updated irrevocable transfer agent instructions to the Transfer Agent (the “</w:t>
      </w:r>
      <w:r>
        <w:rPr>
          <w:rFonts w:ascii="Times New Roman;Times;Serif" w:hAnsi="Times New Roman;Times;Serif"/>
          <w:b/>
          <w:i w:val="false"/>
          <w:caps w:val="false"/>
          <w:smallCaps w:val="false"/>
          <w:sz w:val="20"/>
        </w:rPr>
        <w:t>Irrevocable Transfer Agent Instructions</w:t>
      </w:r>
      <w:r>
        <w:rPr>
          <w:rFonts w:ascii="Times New Roman;Times;Serif" w:hAnsi="Times New Roman;Times;Serif"/>
          <w:b w:val="false"/>
          <w:i w:val="false"/>
          <w:caps w:val="false"/>
          <w:smallCaps w:val="false"/>
          <w:sz w:val="20"/>
        </w:rPr>
        <w:t>”), which shall irrevocably instruct the Transfer Agent to increase the reserve with respect to the Original Securities to at least 100,000,000 Ordinary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This Agreement shall be deemed to be effective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upon the latest of (a) the time of due execution and delivery by the Company and the Investor of this Agreement, (b) such time that the Company shall have delivered to the Investor a copy of the Irrevocable Transfer Agent Instructions, in the form acceptable to the Investor, which instructions shall have been delivered to and acknowledged in writing by the Transfer Agent, and (c) such time that the Company Legal Fee Amount is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Representations and Warranties of the Company.</w:t>
      </w:r>
      <w:r>
        <w:rPr>
          <w:rFonts w:ascii="Times New Roman;Times;Serif" w:hAnsi="Times New Roman;Times;Serif"/>
          <w:b w:val="false"/>
          <w:i w:val="false"/>
          <w:caps w:val="false"/>
          <w:smallCaps w:val="false"/>
          <w:sz w:val="20"/>
        </w:rPr>
        <w:t xml:space="preserve"> The Company represents and warrants to Investor as of the date hereof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Organization, Good Standing and Authorization.</w:t>
      </w:r>
      <w:r>
        <w:rPr>
          <w:rFonts w:ascii="Times New Roman;Times;Serif" w:hAnsi="Times New Roman;Times;Serif"/>
          <w:b w:val="false"/>
          <w:i w:val="false"/>
          <w:caps w:val="false"/>
          <w:smallCaps w:val="false"/>
          <w:sz w:val="20"/>
        </w:rPr>
        <w:t xml:space="preserve"> The Company is duly incorporated, validly existing and in good standing under the laws of the British Virgin Islands with full right, corporate, partnership, limited liability company or similar power and authority to enter into and to consummate the transactions contemplated by the Agreement and otherwise to carry out its obligations hereunder. The execution and delivery of the Agreement and the consummation by the Company of the transactions contemplated hereby have been duly authorized by the Company’s board of directors or other governing body, as applicable, and no further filing, consent or authorization is required by the Company, its Subsidiaries, their respective boards of directors or their shareholders or other governing body, on the part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Enforceability.</w:t>
      </w:r>
      <w:r>
        <w:rPr>
          <w:rFonts w:ascii="Times New Roman;Times;Serif" w:hAnsi="Times New Roman;Times;Serif"/>
          <w:b w:val="false"/>
          <w:i w:val="false"/>
          <w:caps w:val="false"/>
          <w:smallCaps w:val="false"/>
          <w:sz w:val="20"/>
        </w:rPr>
        <w:t xml:space="preserve"> The Agreement has been duly executed by the Company, and when delivered by the Company in accordance with the terms hereof, will constitute the valid and legally binding obligation of the Company, enforceable against it in accordance with its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xml:space="preserve"> The execution, delivery and performance of this Agreement by the Company and the consummation by the Company of the transactions contemplated hereby will not (i) result in a violation of the certificate of incorporation, as may be amended from time to time, of the Company, the Memorandum of Association, and Articles of Association, or the certificate of formation, memorandum of association, articles of association, bylaws or other organizational documents of the Company or any of its Subsidiaries, or any share capital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Principal Market and including all applicable foreign, federal and state laws, rules and regulations, including, without limitation, the laws, rules and regulations of the British Virgin Islands, Thailand and/or the People’s Republic of China as applicable to the Company or any of its Subsidiaries or by which any property or asset of the Company or any of its Subsidiaries is bound or affected), except in the case of clauses (ii) and (iii) above, for such conflicts, defaults, rights or violations which could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Information.</w:t>
      </w:r>
      <w:r>
        <w:rPr>
          <w:rFonts w:ascii="Times New Roman;Times;Serif" w:hAnsi="Times New Roman;Times;Serif"/>
          <w:b w:val="false"/>
          <w:i w:val="false"/>
          <w:caps w:val="false"/>
          <w:smallCaps w:val="false"/>
          <w:sz w:val="20"/>
        </w:rPr>
        <w:t xml:space="preserve"> The Company confirms that neither it nor to its knowledge any other Person acting on its behalf has provided the Investor or any of its agents or counsel with any information that constitutes or could reasonably be expected to constitute material, non-public information concerning the Company or any of its subsidiaries, other than the existence of the transactions contemplated by this Agreement. The Company understands and confirms that the Investor will rely on the foregoing representations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Representations and Warranties of Investor</w:t>
      </w:r>
      <w:r>
        <w:rPr>
          <w:rFonts w:ascii="Times New Roman;Times;Serif" w:hAnsi="Times New Roman;Times;Serif"/>
          <w:b w:val="false"/>
          <w:i w:val="false"/>
          <w:caps w:val="false"/>
          <w:smallCaps w:val="false"/>
          <w:sz w:val="20"/>
        </w:rPr>
        <w:t>. Investor represents and warrants to the Company as of the date hereof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xml:space="preserve"> The execution, delivery and performance by the Investor of this Agreement and the consummation of the transactions contemplated hereby will not will not (i) result in a violation of the organizational documents of the Investor, or (ii) conflict with, or constitute a default (or an event which with notice or lapse of time or both would become a default) under, or give to others any rights of termination, amendment, acceleration or cancellation of, any agreement, indenture or instrument to which the Investor is a party, or (iii) result in a violation of any law, rule, regulation, order, judgment or decree (including federal and state securities laws) applicable to the Investor, except in the case of clauses (ii) and (iii) above, for such conflicts, defaults, rights or violations which could not, individually or in the aggregate, reasonably be expected to have a material adverse effect on the ability of the Investor to perform its obligations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Enforceability.</w:t>
      </w:r>
      <w:r>
        <w:rPr>
          <w:rFonts w:ascii="Times New Roman;Times;Serif" w:hAnsi="Times New Roman;Times;Serif"/>
          <w:b w:val="false"/>
          <w:i w:val="false"/>
          <w:caps w:val="false"/>
          <w:smallCaps w:val="false"/>
          <w:sz w:val="20"/>
        </w:rPr>
        <w:t xml:space="preserve"> This Agreement has been duly executed and delivered by Investor and is a valid and binding agreement, enforceable against Investor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Ownership of Securities. </w:t>
      </w:r>
      <w:r>
        <w:rPr>
          <w:rFonts w:ascii="Times New Roman;Times;Serif" w:hAnsi="Times New Roman;Times;Serif"/>
          <w:b w:val="false"/>
          <w:i w:val="false"/>
          <w:caps w:val="false"/>
          <w:smallCaps w:val="false"/>
          <w:sz w:val="20"/>
        </w:rPr>
        <w:t>Investor owns and has valid title to the Purchased Notes and the Purchased Warrants free and clear of all liens. Investor has not sold, assigned or otherwise transferred to any third party any of the Investor’s right, title or interest in or to any of the Purchased Notes or the Purchased Warrants, and the Investor has not agreed to do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Disclosure of Transactions and Other Material Information</w:t>
      </w:r>
      <w:r>
        <w:rPr>
          <w:rFonts w:ascii="Times New Roman;Times;Serif" w:hAnsi="Times New Roman;Times;Serif"/>
          <w:b w:val="false"/>
          <w:i w:val="false"/>
          <w:caps w:val="false"/>
          <w:smallCaps w:val="false"/>
          <w:sz w:val="20"/>
        </w:rPr>
        <w:t>. The Company shall, on or before 8:30 a.m., New York City Time, on the first Business Day after the date of this Agreement, publicly issue a Report of Foreign Private Issuer on Form 6-K (the “</w:t>
      </w:r>
      <w:r>
        <w:rPr>
          <w:rFonts w:ascii="Times New Roman;Times;Serif" w:hAnsi="Times New Roman;Times;Serif"/>
          <w:b/>
          <w:i w:val="false"/>
          <w:caps w:val="false"/>
          <w:smallCaps w:val="false"/>
          <w:sz w:val="20"/>
        </w:rPr>
        <w:t>6-K Filing</w:t>
      </w:r>
      <w:r>
        <w:rPr>
          <w:rFonts w:ascii="Times New Roman;Times;Serif" w:hAnsi="Times New Roman;Times;Serif"/>
          <w:b w:val="false"/>
          <w:i w:val="false"/>
          <w:caps w:val="false"/>
          <w:smallCaps w:val="false"/>
          <w:sz w:val="20"/>
        </w:rPr>
        <w:t>”) disclosing all material terms of the transactions contemplated hereby. From and after the issuance of the 6-K Filing, the Investor shall not be in possession of any material, nonpublic information received from the Company, any of its Subsidiaries or any of its respective officers, directors, employees or agents, that is not disclosed in the 6-K Filing. In addition, effective upon the issuance of the 6-K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Investor or any of its affiliates, on the other hand, shall terminate. The Company shall not, and shall cause each of its Subsidiaries and each of their respective officers, directors, employees and agents, not to, provide the Investor with any material, nonpublic information regarding the Company or any of its Subsidiaries from and after the date hereof without the express written consent of the Investor. To the extent that the Company delivers any material, non-public information to the Investor without the Investor’s consent, the Company hereby covenants and agrees that the Investor shall not have any duty of confidentiality with respect to, or a duty not to trade on the basis of, such material, non-public information. The Company shall not disclose the name of the Investor in any filing, announcement, release or otherwise, unless such disclosure is required by law or regulation, except this initial 6-K Filing and any further disclosure in any Securities Act and Exchange Act filings covering the same subject matter.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xml:space="preserve"> The parties shall reimburse Kelley Drye &amp; Warren LLP, on demand, for all costs and expenses incurred by it in connection with preparing and delivering this Agreement in an aggregate non-accountable amount equal to $76,000, of which the Company shall pay $50,000 (the “</w:t>
      </w:r>
      <w:r>
        <w:rPr>
          <w:rFonts w:ascii="Times New Roman;Times;Serif" w:hAnsi="Times New Roman;Times;Serif"/>
          <w:b/>
          <w:i w:val="false"/>
          <w:caps w:val="false"/>
          <w:smallCaps w:val="false"/>
          <w:sz w:val="20"/>
        </w:rPr>
        <w:t>Company Legal Fee Amount</w:t>
      </w:r>
      <w:r>
        <w:rPr>
          <w:rFonts w:ascii="Times New Roman;Times;Serif" w:hAnsi="Times New Roman;Times;Serif"/>
          <w:b w:val="false"/>
          <w:i w:val="false"/>
          <w:caps w:val="false"/>
          <w:smallCaps w:val="false"/>
          <w:sz w:val="20"/>
        </w:rPr>
        <w:t>”) and the Investor shall pay $26,000.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The Agreement constitutes the entire understanding and agreement of the Parties with respect to the subject matter hereof and supersedes all prior and/or contemporaneous oral or written proposals or agreements relating thereto all of which are merged herein. This Agreement may not be amended or any provision hereof waived in whole or in part, except by a written amendment signed by all the parties. No waiver of any provision of this Agreement shall be effective unless it is in writing and signed by an authorized representative of the waiving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Miscellaneous Provisions.</w:t>
      </w:r>
      <w:r>
        <w:rPr>
          <w:rFonts w:ascii="Times New Roman;Times;Serif" w:hAnsi="Times New Roman;Times;Serif"/>
          <w:b w:val="false"/>
          <w:i w:val="false"/>
          <w:caps w:val="false"/>
          <w:smallCaps w:val="false"/>
          <w:sz w:val="20"/>
        </w:rPr>
        <w:t xml:space="preserve"> Section 9 of the 2025 Securities Purchase Agreement (other than subsections (e), (k), (q) and (r) thereof) is hereby incorporated by reference herein, </w:t>
      </w:r>
      <w:r>
        <w:rPr>
          <w:rFonts w:ascii="Times New Roman;Times;Serif" w:hAnsi="Times New Roman;Times;Serif"/>
          <w:b w:val="false"/>
          <w:i/>
          <w:caps w:val="false"/>
          <w:smallCaps w:val="false"/>
          <w:sz w:val="20"/>
        </w:rPr>
        <w:t>mutatis mutandis.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Parties have caused their respective signature page to this Agreement to be duly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661"/>
        <w:gridCol w:w="2778"/>
      </w:tblGrid>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27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NEWGENIVF GROUP LIMITED</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27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39" w:type="dxa"/>
            <w:gridSpan w:val="2"/>
            <w:tcBorders>
              <w:bottom w:val="single" w:sz="12" w:space="0" w:color="000000"/>
            </w:tcBorders>
            <w:tcMar>
              <w:bottom w:w="28" w:type="dxa"/>
            </w:tcMar>
            <w:vAlign w:val="center"/>
          </w:tcPr>
          <w:p>
            <w:pPr>
              <w:pStyle w:val="TableContents"/>
              <w:bidi w:val="0"/>
              <w:spacing w:before="0" w:after="283"/>
              <w:jc w:val="left"/>
              <w:rPr/>
            </w:pPr>
            <w:r>
              <w:rPr/>
              <w:t>/s/ Siu Wing Fung Alfred</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By:</w:t>
            </w:r>
          </w:p>
        </w:tc>
        <w:tc>
          <w:tcPr>
            <w:tcW w:w="2778" w:type="dxa"/>
            <w:tcBorders/>
            <w:vAlign w:val="center"/>
          </w:tcPr>
          <w:p>
            <w:pPr>
              <w:pStyle w:val="TableContents"/>
              <w:bidi w:val="0"/>
              <w:spacing w:before="0" w:after="283"/>
              <w:jc w:val="left"/>
              <w:rPr/>
            </w:pPr>
            <w:r>
              <w:rPr/>
              <w:t>Siu Wing Fung Alfred</w:t>
            </w:r>
          </w:p>
        </w:tc>
      </w:tr>
      <w:tr>
        <w:trPr/>
        <w:tc>
          <w:tcPr>
            <w:tcW w:w="75"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Title:</w:t>
            </w:r>
          </w:p>
        </w:tc>
        <w:tc>
          <w:tcPr>
            <w:tcW w:w="2778" w:type="dxa"/>
            <w:tcBorders/>
            <w:vAlign w:val="center"/>
          </w:tcPr>
          <w:p>
            <w:pPr>
              <w:pStyle w:val="TableContents"/>
              <w:bidi w:val="0"/>
              <w:spacing w:before="0" w:after="283"/>
              <w:jc w:val="left"/>
              <w:rPr/>
            </w:pPr>
            <w:r>
              <w:rPr/>
              <w:t>CEO</w:t>
            </w:r>
          </w:p>
        </w:tc>
      </w:tr>
    </w:tbl>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608"/>
        <w:gridCol w:w="2666"/>
      </w:tblGrid>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b/>
              </w:rPr>
            </w:pPr>
            <w:r>
              <w:rPr>
                <w:b/>
              </w:rPr>
              <w:t>INVESTOR</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JAK OPPORTUNITIES VI LLC</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26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4" w:type="dxa"/>
            <w:gridSpan w:val="2"/>
            <w:tcBorders>
              <w:bottom w:val="single" w:sz="12" w:space="0" w:color="000000"/>
            </w:tcBorders>
            <w:tcMar>
              <w:bottom w:w="28" w:type="dxa"/>
            </w:tcMar>
            <w:vAlign w:val="center"/>
          </w:tcPr>
          <w:p>
            <w:pPr>
              <w:pStyle w:val="TableContents"/>
              <w:bidi w:val="0"/>
              <w:spacing w:before="0" w:after="283"/>
              <w:jc w:val="left"/>
              <w:rPr/>
            </w:pPr>
            <w:r>
              <w:rPr/>
              <w:t>/s/ Antonio Ruiz-Gimenez</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By:</w:t>
            </w:r>
          </w:p>
        </w:tc>
        <w:tc>
          <w:tcPr>
            <w:tcW w:w="2666" w:type="dxa"/>
            <w:tcBorders/>
            <w:vAlign w:val="center"/>
          </w:tcPr>
          <w:p>
            <w:pPr>
              <w:pStyle w:val="TableContents"/>
              <w:bidi w:val="0"/>
              <w:spacing w:before="0" w:after="283"/>
              <w:jc w:val="left"/>
              <w:rPr/>
            </w:pPr>
            <w:r>
              <w:rPr/>
              <w:t>Antonio Ruiz-Gimenez</w:t>
            </w:r>
          </w:p>
        </w:tc>
      </w:tr>
      <w:tr>
        <w:trPr/>
        <w:tc>
          <w:tcPr>
            <w:tcW w:w="75"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Title:</w:t>
            </w:r>
          </w:p>
        </w:tc>
        <w:tc>
          <w:tcPr>
            <w:tcW w:w="2666"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tbl>
      <w:tblPr>
        <w:tblW w:w="3995" w:type="dxa"/>
        <w:jc w:val="left"/>
        <w:tblInd w:w="0" w:type="dxa"/>
        <w:tblLayout w:type="fixed"/>
        <w:tblCellMar>
          <w:top w:w="0" w:type="dxa"/>
          <w:left w:w="0" w:type="dxa"/>
          <w:bottom w:w="0" w:type="dxa"/>
          <w:right w:w="0" w:type="dxa"/>
        </w:tblCellMar>
      </w:tblPr>
      <w:tblGrid>
        <w:gridCol w:w="75"/>
        <w:gridCol w:w="3920"/>
      </w:tblGrid>
      <w:tr>
        <w:trPr/>
        <w:tc>
          <w:tcPr>
            <w:tcW w:w="75" w:type="dxa"/>
            <w:tcBorders/>
            <w:vAlign w:val="center"/>
          </w:tcPr>
          <w:p>
            <w:pPr>
              <w:pStyle w:val="TableContents"/>
              <w:bidi w:val="0"/>
              <w:spacing w:before="0" w:after="283"/>
              <w:jc w:val="left"/>
              <w:rPr/>
            </w:pPr>
            <w:r>
              <w:rPr/>
              <w:t> </w:t>
            </w:r>
          </w:p>
        </w:tc>
        <w:tc>
          <w:tcPr>
            <w:tcW w:w="3920" w:type="dxa"/>
            <w:tcBorders>
              <w:bottom w:val="single" w:sz="12" w:space="0" w:color="000000"/>
            </w:tcBorders>
            <w:tcMar>
              <w:bottom w:w="28" w:type="dxa"/>
            </w:tcMar>
            <w:vAlign w:val="center"/>
          </w:tcPr>
          <w:p>
            <w:pPr>
              <w:pStyle w:val="TableContents"/>
              <w:bidi w:val="0"/>
              <w:spacing w:before="0" w:after="283"/>
              <w:jc w:val="left"/>
              <w:rPr/>
            </w:pPr>
            <w:r>
              <w:rPr>
                <w:b/>
              </w:rPr>
              <w:t>Aggregate Amount Outstanding</w:t>
              <w:br/>
              <w:t>(Including Principal and Accrued</w:t>
              <w:br/>
              <w:t>Interest) under the 2024 Original Note</w:t>
              <w:br/>
              <w:t>as of the date hereof:</w:t>
              <w:br/>
            </w:r>
            <w:r>
              <w:rPr/>
              <w:t>$475,000</w:t>
            </w:r>
          </w:p>
        </w:tc>
      </w:tr>
    </w:tbl>
    <w:p>
      <w:pPr>
        <w:pStyle w:val="TextBody"/>
        <w:bidi w:val="0"/>
        <w:spacing w:before="0" w:after="283"/>
        <w:jc w:val="left"/>
        <w:rPr/>
      </w:pPr>
      <w:r>
        <w:rPr/>
        <w:t> </w:t>
      </w:r>
    </w:p>
    <w:tbl>
      <w:tblPr>
        <w:tblW w:w="3995" w:type="dxa"/>
        <w:jc w:val="left"/>
        <w:tblInd w:w="0" w:type="dxa"/>
        <w:tblLayout w:type="fixed"/>
        <w:tblCellMar>
          <w:top w:w="0" w:type="dxa"/>
          <w:left w:w="0" w:type="dxa"/>
          <w:bottom w:w="0" w:type="dxa"/>
          <w:right w:w="0" w:type="dxa"/>
        </w:tblCellMar>
      </w:tblPr>
      <w:tblGrid>
        <w:gridCol w:w="75"/>
        <w:gridCol w:w="3920"/>
      </w:tblGrid>
      <w:tr>
        <w:trPr/>
        <w:tc>
          <w:tcPr>
            <w:tcW w:w="75" w:type="dxa"/>
            <w:tcBorders/>
            <w:vAlign w:val="center"/>
          </w:tcPr>
          <w:p>
            <w:pPr>
              <w:pStyle w:val="TableContents"/>
              <w:bidi w:val="0"/>
              <w:spacing w:before="0" w:after="283"/>
              <w:jc w:val="left"/>
              <w:rPr/>
            </w:pPr>
            <w:r>
              <w:rPr/>
              <w:t> </w:t>
            </w:r>
          </w:p>
        </w:tc>
        <w:tc>
          <w:tcPr>
            <w:tcW w:w="3920" w:type="dxa"/>
            <w:tcBorders>
              <w:bottom w:val="single" w:sz="12" w:space="0" w:color="000000"/>
            </w:tcBorders>
            <w:tcMar>
              <w:bottom w:w="28" w:type="dxa"/>
            </w:tcMar>
            <w:vAlign w:val="center"/>
          </w:tcPr>
          <w:p>
            <w:pPr>
              <w:pStyle w:val="TableContents"/>
              <w:bidi w:val="0"/>
              <w:spacing w:before="0" w:after="283"/>
              <w:jc w:val="left"/>
              <w:rPr/>
            </w:pPr>
            <w:r>
              <w:rPr>
                <w:b/>
              </w:rPr>
              <w:t>Aggregate Amount Outstanding</w:t>
              <w:br/>
              <w:t>(Including Principal and Accrued</w:t>
              <w:br/>
              <w:t>Interest) under the 2025 Original Note</w:t>
              <w:br/>
              <w:t>as of the date hereof:</w:t>
              <w:br/>
            </w:r>
            <w:r>
              <w:rPr/>
              <w:t>$3,150,000</w:t>
            </w:r>
          </w:p>
        </w:tc>
      </w:tr>
    </w:tbl>
    <w:p>
      <w:pPr>
        <w:pStyle w:val="TextBody"/>
        <w:bidi w:val="0"/>
        <w:spacing w:before="0" w:after="283"/>
        <w:jc w:val="left"/>
        <w:rPr/>
      </w:pPr>
      <w:r>
        <w:rPr/>
        <w:t> </w:t>
      </w:r>
    </w:p>
    <w:tbl>
      <w:tblPr>
        <w:tblW w:w="4100" w:type="dxa"/>
        <w:jc w:val="left"/>
        <w:tblInd w:w="0" w:type="dxa"/>
        <w:tblLayout w:type="fixed"/>
        <w:tblCellMar>
          <w:top w:w="0" w:type="dxa"/>
          <w:left w:w="0" w:type="dxa"/>
          <w:bottom w:w="0" w:type="dxa"/>
          <w:right w:w="0" w:type="dxa"/>
        </w:tblCellMar>
      </w:tblPr>
      <w:tblGrid>
        <w:gridCol w:w="75"/>
        <w:gridCol w:w="4025"/>
      </w:tblGrid>
      <w:tr>
        <w:trPr/>
        <w:tc>
          <w:tcPr>
            <w:tcW w:w="75" w:type="dxa"/>
            <w:tcBorders/>
            <w:vAlign w:val="center"/>
          </w:tcPr>
          <w:p>
            <w:pPr>
              <w:pStyle w:val="TableContents"/>
              <w:bidi w:val="0"/>
              <w:spacing w:before="0" w:after="283"/>
              <w:jc w:val="left"/>
              <w:rPr/>
            </w:pPr>
            <w:r>
              <w:rPr/>
              <w:t> </w:t>
            </w:r>
          </w:p>
        </w:tc>
        <w:tc>
          <w:tcPr>
            <w:tcW w:w="4025" w:type="dxa"/>
            <w:tcBorders>
              <w:bottom w:val="single" w:sz="12" w:space="0" w:color="000000"/>
            </w:tcBorders>
            <w:tcMar>
              <w:bottom w:w="28" w:type="dxa"/>
            </w:tcMar>
            <w:vAlign w:val="center"/>
          </w:tcPr>
          <w:p>
            <w:pPr>
              <w:pStyle w:val="TableContents"/>
              <w:bidi w:val="0"/>
              <w:spacing w:before="0" w:after="283"/>
              <w:jc w:val="left"/>
              <w:rPr/>
            </w:pPr>
            <w:r>
              <w:rPr>
                <w:b/>
              </w:rPr>
              <w:t>Aggregate Number of Ordinary Shares</w:t>
              <w:br/>
              <w:t>issuable upon exercise of the Original</w:t>
              <w:br/>
              <w:t>Warrants as of the date hereof:</w:t>
            </w:r>
            <w:r>
              <w:rPr/>
              <w:br/>
              <w:t>1,143,208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Installment Schedule</w:t>
      </w:r>
    </w:p>
    <w:p>
      <w:pPr>
        <w:pStyle w:val="TextBody"/>
        <w:bidi w:val="0"/>
        <w:spacing w:before="0" w:after="0"/>
        <w:ind w:left="720" w:right="0" w:hanging="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1940"/>
        <w:gridCol w:w="60"/>
        <w:gridCol w:w="140"/>
        <w:gridCol w:w="2060"/>
        <w:gridCol w:w="60"/>
        <w:gridCol w:w="60"/>
        <w:gridCol w:w="140"/>
        <w:gridCol w:w="1160"/>
        <w:gridCol w:w="60"/>
        <w:gridCol w:w="60"/>
        <w:gridCol w:w="140"/>
        <w:gridCol w:w="1325"/>
        <w:gridCol w:w="60"/>
        <w:gridCol w:w="60"/>
        <w:gridCol w:w="140"/>
        <w:gridCol w:w="1160"/>
        <w:gridCol w:w="75"/>
      </w:tblGrid>
      <w:tr>
        <w:trPr/>
        <w:tc>
          <w:tcPr>
            <w:tcW w:w="1940" w:type="dxa"/>
            <w:tcBorders>
              <w:bottom w:val="single" w:sz="12" w:space="0" w:color="000000"/>
            </w:tcBorders>
            <w:vAlign w:val="center"/>
          </w:tcPr>
          <w:p>
            <w:pPr>
              <w:pStyle w:val="TableContents"/>
              <w:bidi w:val="0"/>
              <w:spacing w:before="0" w:after="283"/>
              <w:jc w:val="left"/>
              <w:rPr>
                <w:b/>
              </w:rPr>
            </w:pPr>
            <w:r>
              <w:rPr>
                <w:b/>
              </w:rPr>
              <w:t>(1)</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2060" w:type="dxa"/>
            <w:tcBorders>
              <w:bottom w:val="single" w:sz="12" w:space="0" w:color="000000"/>
            </w:tcBorders>
            <w:vAlign w:val="center"/>
          </w:tcPr>
          <w:p>
            <w:pPr>
              <w:pStyle w:val="TableContents"/>
              <w:bidi w:val="0"/>
              <w:spacing w:before="0" w:after="283"/>
              <w:jc w:val="center"/>
              <w:rPr>
                <w:b/>
              </w:rPr>
            </w:pPr>
            <w:r>
              <w:rPr>
                <w:b/>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vAlign w:val="center"/>
          </w:tcPr>
          <w:p>
            <w:pPr>
              <w:pStyle w:val="TableContents"/>
              <w:bidi w:val="0"/>
              <w:spacing w:before="0" w:after="283"/>
              <w:jc w:val="center"/>
              <w:rPr/>
            </w:pPr>
            <w:r>
              <w:rPr/>
              <w:t> </w:t>
            </w:r>
          </w:p>
        </w:tc>
        <w:tc>
          <w:tcPr>
            <w:tcW w:w="1160" w:type="dxa"/>
            <w:tcBorders>
              <w:bottom w:val="single" w:sz="12" w:space="0" w:color="000000"/>
            </w:tcBorders>
            <w:vAlign w:val="center"/>
          </w:tcPr>
          <w:p>
            <w:pPr>
              <w:pStyle w:val="TableContents"/>
              <w:bidi w:val="0"/>
              <w:spacing w:before="0" w:after="283"/>
              <w:jc w:val="center"/>
              <w:rPr>
                <w:b/>
              </w:rPr>
            </w:pPr>
            <w:r>
              <w:rPr>
                <w:b/>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b/>
              </w:rPr>
            </w:pPr>
            <w:r>
              <w:rPr>
                <w:b/>
              </w:rPr>
              <w:t>(4)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vAlign w:val="center"/>
          </w:tcPr>
          <w:p>
            <w:pPr>
              <w:pStyle w:val="TableContents"/>
              <w:bidi w:val="0"/>
              <w:spacing w:before="0" w:after="283"/>
              <w:jc w:val="center"/>
              <w:rPr/>
            </w:pPr>
            <w:r>
              <w:rPr/>
              <w:t> </w:t>
            </w:r>
          </w:p>
        </w:tc>
        <w:tc>
          <w:tcPr>
            <w:tcW w:w="1160" w:type="dxa"/>
            <w:tcBorders>
              <w:bottom w:val="single" w:sz="12" w:space="0" w:color="000000"/>
            </w:tcBorders>
            <w:vAlign w:val="center"/>
          </w:tcPr>
          <w:p>
            <w:pPr>
              <w:pStyle w:val="TableContents"/>
              <w:bidi w:val="0"/>
              <w:spacing w:before="0" w:after="283"/>
              <w:jc w:val="center"/>
              <w:rPr>
                <w:b/>
              </w:rPr>
            </w:pPr>
            <w:r>
              <w:rPr>
                <w:b/>
              </w:rPr>
              <w:t>(5)</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12" w:space="0" w:color="000000"/>
            </w:tcBorders>
            <w:shd w:fill="FFFFFF" w:val="clear"/>
            <w:vAlign w:val="center"/>
          </w:tcPr>
          <w:p>
            <w:pPr>
              <w:pStyle w:val="TableContents"/>
              <w:bidi w:val="0"/>
              <w:spacing w:before="0" w:after="283"/>
              <w:jc w:val="left"/>
              <w:rPr>
                <w:b/>
              </w:rPr>
            </w:pPr>
            <w:r>
              <w:rPr>
                <w:b/>
              </w:rPr>
              <w:t>Installment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2060" w:type="dxa"/>
            <w:tcBorders>
              <w:bottom w:val="single" w:sz="12" w:space="0" w:color="000000"/>
            </w:tcBorders>
            <w:shd w:fill="FFFFFF" w:val="clear"/>
            <w:vAlign w:val="center"/>
          </w:tcPr>
          <w:p>
            <w:pPr>
              <w:pStyle w:val="TableContents"/>
              <w:bidi w:val="0"/>
              <w:spacing w:before="0" w:after="283"/>
              <w:jc w:val="center"/>
              <w:rPr>
                <w:b/>
              </w:rPr>
            </w:pPr>
            <w:r>
              <w:rPr>
                <w:b/>
              </w:rPr>
              <w:t>Note</w:t>
              <w:br/>
              <w:t>Installment 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shd w:fill="FFFFFF" w:val="clear"/>
            <w:vAlign w:val="center"/>
          </w:tcPr>
          <w:p>
            <w:pPr>
              <w:pStyle w:val="TableContents"/>
              <w:bidi w:val="0"/>
              <w:spacing w:before="0" w:after="283"/>
              <w:jc w:val="center"/>
              <w:rPr/>
            </w:pPr>
            <w:r>
              <w:rPr/>
              <w:t> </w:t>
            </w:r>
          </w:p>
        </w:tc>
        <w:tc>
          <w:tcPr>
            <w:tcW w:w="1160" w:type="dxa"/>
            <w:tcBorders>
              <w:bottom w:val="single" w:sz="12" w:space="0" w:color="000000"/>
            </w:tcBorders>
            <w:shd w:fill="FFFFFF" w:val="clear"/>
            <w:vAlign w:val="center"/>
          </w:tcPr>
          <w:p>
            <w:pPr>
              <w:pStyle w:val="TableContents"/>
              <w:bidi w:val="0"/>
              <w:spacing w:before="0" w:after="283"/>
              <w:jc w:val="center"/>
              <w:rPr>
                <w:b/>
              </w:rPr>
            </w:pPr>
            <w:r>
              <w:rPr>
                <w:b/>
              </w:rPr>
              <w:t>Warrant</w:t>
              <w:br/>
              <w:t>Installment</w:t>
              <w:br/>
              <w:t>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shd w:fill="FFFFFF" w:val="clear"/>
            <w:vAlign w:val="center"/>
          </w:tcPr>
          <w:p>
            <w:pPr>
              <w:pStyle w:val="TableContents"/>
              <w:bidi w:val="0"/>
              <w:spacing w:before="0" w:after="283"/>
              <w:jc w:val="center"/>
              <w:rPr/>
            </w:pPr>
            <w:r>
              <w:rPr/>
              <w:t> </w:t>
            </w:r>
          </w:p>
        </w:tc>
        <w:tc>
          <w:tcPr>
            <w:tcW w:w="1325" w:type="dxa"/>
            <w:tcBorders>
              <w:bottom w:val="single" w:sz="12" w:space="0" w:color="000000"/>
            </w:tcBorders>
            <w:shd w:fill="FFFFFF" w:val="clear"/>
            <w:vAlign w:val="center"/>
          </w:tcPr>
          <w:p>
            <w:pPr>
              <w:pStyle w:val="TableContents"/>
              <w:bidi w:val="0"/>
              <w:spacing w:before="0" w:after="283"/>
              <w:jc w:val="center"/>
              <w:rPr>
                <w:b/>
              </w:rPr>
            </w:pPr>
            <w:r>
              <w:rPr>
                <w:b/>
              </w:rPr>
              <w:t>Forbearance</w:t>
              <w:br/>
              <w:t>Installment</w:t>
              <w:br/>
              <w:t>Amount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 w:type="dxa"/>
            <w:tcBorders>
              <w:bottom w:val="single" w:sz="12" w:space="0" w:color="000000"/>
            </w:tcBorders>
            <w:shd w:fill="FFFFFF" w:val="clear"/>
            <w:vAlign w:val="center"/>
          </w:tcPr>
          <w:p>
            <w:pPr>
              <w:pStyle w:val="TableContents"/>
              <w:bidi w:val="0"/>
              <w:spacing w:before="0" w:after="283"/>
              <w:jc w:val="center"/>
              <w:rPr/>
            </w:pPr>
            <w:r>
              <w:rPr/>
              <w:t> </w:t>
            </w:r>
          </w:p>
        </w:tc>
        <w:tc>
          <w:tcPr>
            <w:tcW w:w="1160" w:type="dxa"/>
            <w:tcBorders>
              <w:bottom w:val="single" w:sz="12" w:space="0" w:color="000000"/>
            </w:tcBorders>
            <w:shd w:fill="FFFFFF" w:val="clear"/>
            <w:vAlign w:val="center"/>
          </w:tcPr>
          <w:p>
            <w:pPr>
              <w:pStyle w:val="TableContents"/>
              <w:bidi w:val="0"/>
              <w:spacing w:before="0" w:after="283"/>
              <w:jc w:val="center"/>
              <w:rPr>
                <w:b/>
              </w:rPr>
            </w:pPr>
            <w:r>
              <w:rPr>
                <w:b/>
              </w:rPr>
              <w:t>Aggregate</w:t>
              <w:br/>
              <w:t>Installment</w:t>
              <w:br/>
              <w:t>Amount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June 15, 2026</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July 15,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July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August 14,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August 29,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September 13,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September 28,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October 13,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October 28,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December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515,625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515,625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December 15,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515,625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753,125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January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February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March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April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May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June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July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August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September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0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325" w:type="dxa"/>
            <w:tcBorders/>
            <w:shd w:fill="CCEEFF" w:val="clear"/>
            <w:tcMar>
              <w:bottom w:w="0" w:type="dxa"/>
            </w:tcM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October 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0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jc w:val="right"/>
              <w:rPr/>
            </w:pPr>
            <w:r>
              <w:rPr/>
              <w:t>187,500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237,500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November 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2060"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160" w:type="dxa"/>
            <w:tcBorders>
              <w:bottom w:val="single" w:sz="12" w:space="0" w:color="000000"/>
            </w:tcBorders>
            <w:shd w:fill="CCEEFF" w:val="cle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325" w:type="dxa"/>
            <w:tcBorders>
              <w:bottom w:val="single" w:sz="12" w:space="0" w:color="000000"/>
            </w:tcBorders>
            <w:shd w:fill="CCEEFF" w:val="clear"/>
            <w:vAlign w:val="center"/>
          </w:tcPr>
          <w:p>
            <w:pPr>
              <w:pStyle w:val="TableContents"/>
              <w:bidi w:val="0"/>
              <w:spacing w:before="0" w:after="283"/>
              <w:jc w:val="right"/>
              <w:rPr/>
            </w:pPr>
            <w:r>
              <w:rPr/>
              <w:t>187,500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160" w:type="dxa"/>
            <w:tcBorders>
              <w:bottom w:val="single" w:sz="12" w:space="0" w:color="000000"/>
            </w:tcBorders>
            <w:shd w:fill="CCEEFF" w:val="clear"/>
            <w:vAlign w:val="center"/>
          </w:tcPr>
          <w:p>
            <w:pPr>
              <w:pStyle w:val="TableContents"/>
              <w:bidi w:val="0"/>
              <w:spacing w:before="0" w:after="283"/>
              <w:jc w:val="right"/>
              <w:rPr/>
            </w:pPr>
            <w:r>
              <w:rPr/>
              <w:t>237,500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b/>
              </w:rPr>
            </w:pPr>
            <w:r>
              <w:rPr>
                <w:b/>
              </w:rPr>
              <w:t>Totals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2060" w:type="dxa"/>
            <w:tcBorders>
              <w:bottom w:val="double" w:sz="10" w:space="0" w:color="000000"/>
            </w:tcBorders>
            <w:shd w:fill="FFFFFF" w:val="clear"/>
            <w:vAlign w:val="center"/>
          </w:tcPr>
          <w:p>
            <w:pPr>
              <w:pStyle w:val="TableContents"/>
              <w:bidi w:val="0"/>
              <w:spacing w:before="0" w:after="283"/>
              <w:jc w:val="right"/>
              <w:rPr/>
            </w:pPr>
            <w:r>
              <w:rPr/>
              <w:t>4,531,250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160" w:type="dxa"/>
            <w:tcBorders>
              <w:bottom w:val="double" w:sz="10" w:space="0" w:color="000000"/>
            </w:tcBorders>
            <w:shd w:fill="FFFFFF" w:val="clear"/>
            <w:vAlign w:val="center"/>
          </w:tcPr>
          <w:p>
            <w:pPr>
              <w:pStyle w:val="TableContents"/>
              <w:bidi w:val="0"/>
              <w:spacing w:before="0" w:after="283"/>
              <w:jc w:val="right"/>
              <w:rPr/>
            </w:pPr>
            <w:r>
              <w:rPr/>
              <w:t>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325" w:type="dxa"/>
            <w:tcBorders>
              <w:bottom w:val="double" w:sz="10" w:space="0" w:color="000000"/>
            </w:tcBorders>
            <w:shd w:fill="FFFFFF" w:val="clear"/>
            <w:vAlign w:val="center"/>
          </w:tcPr>
          <w:p>
            <w:pPr>
              <w:pStyle w:val="TableContents"/>
              <w:bidi w:val="0"/>
              <w:spacing w:before="0" w:after="283"/>
              <w:jc w:val="right"/>
              <w:rPr/>
            </w:pPr>
            <w:r>
              <w:rPr/>
              <w:t>2,250,000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160" w:type="dxa"/>
            <w:tcBorders>
              <w:bottom w:val="double" w:sz="10" w:space="0" w:color="000000"/>
            </w:tcBorders>
            <w:shd w:fill="FFFFFF" w:val="clear"/>
            <w:vAlign w:val="center"/>
          </w:tcPr>
          <w:p>
            <w:pPr>
              <w:pStyle w:val="TableContents"/>
              <w:bidi w:val="0"/>
              <w:spacing w:before="0" w:after="283"/>
              <w:jc w:val="right"/>
              <w:rPr/>
            </w:pPr>
            <w:r>
              <w:rPr/>
              <w:t>7,381,250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185" w:type="dxa"/>
        <w:jc w:val="left"/>
        <w:tblInd w:w="0" w:type="dxa"/>
        <w:tblLayout w:type="fixed"/>
        <w:tblCellMar>
          <w:top w:w="0" w:type="dxa"/>
          <w:left w:w="0" w:type="dxa"/>
          <w:bottom w:w="0" w:type="dxa"/>
          <w:right w:w="0" w:type="dxa"/>
        </w:tblCellMar>
      </w:tblPr>
      <w:tblGrid>
        <w:gridCol w:w="125"/>
        <w:gridCol w:w="506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060" w:type="dxa"/>
            <w:tcBorders/>
            <w:vAlign w:val="center"/>
          </w:tcPr>
          <w:p>
            <w:pPr>
              <w:pStyle w:val="TableContents"/>
              <w:bidi w:val="0"/>
              <w:spacing w:before="0" w:after="283"/>
              <w:jc w:val="both"/>
              <w:rPr/>
            </w:pPr>
            <w:r>
              <w:rPr/>
              <w:t>Or, if later, at such time that the Agreement is signed.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50" w:name="filename12.htm"/>
      <w:bookmarkStart w:id="51" w:name="ksfilename12"/>
      <w:bookmarkEnd w:id="50"/>
      <w:bookmarkEnd w:id="51"/>
      <w:r>
        <w:rPr>
          <w:rFonts w:ascii="Times New Roman;Times;Serif" w:hAnsi="Times New Roman;Times;Serif"/>
          <w:b/>
          <w:i w:val="false"/>
          <w:caps w:val="false"/>
          <w:smallCaps w:val="false"/>
          <w:sz w:val="20"/>
        </w:rPr>
        <w:t>Exhibit 10.58</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(the “Agreement”), dated as of May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with its address at 21031 Ventura Blvd. Suite 920 Woodland Hills, CA 91364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$166,667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$150,000.00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371"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pPr>
      <w:r>
        <w:rPr>
          <w:caps w:val="false"/>
          <w:smallCaps w:val="false"/>
        </w:rPr>
        <w:t> </w:t>
      </w:r>
      <w:r>
        <w:rPr/>
        <w:t xml:space="preserve">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NEWGENIVF GROUP LIMITED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3600" w:type="dxa"/>
        <w:jc w:val="left"/>
        <w:tblInd w:w="0" w:type="dxa"/>
        <w:tblLayout w:type="fixed"/>
        <w:tblCellMar>
          <w:top w:w="0" w:type="dxa"/>
          <w:left w:w="0" w:type="dxa"/>
          <w:bottom w:w="0" w:type="dxa"/>
          <w:right w:w="0" w:type="dxa"/>
        </w:tblCellMar>
      </w:tblPr>
      <w:tblGrid>
        <w:gridCol w:w="380"/>
        <w:gridCol w:w="650"/>
        <w:gridCol w:w="2495"/>
        <w:gridCol w:w="75"/>
      </w:tblGrid>
      <w:tr>
        <w:trPr/>
        <w:tc>
          <w:tcPr>
            <w:tcW w:w="3525" w:type="dxa"/>
            <w:gridSpan w:val="3"/>
            <w:tcBorders/>
            <w:vAlign w:val="center"/>
          </w:tcPr>
          <w:p>
            <w:pPr>
              <w:pStyle w:val="TableContents"/>
              <w:bidi w:val="0"/>
              <w:spacing w:before="0" w:after="283"/>
              <w:jc w:val="left"/>
              <w:rPr>
                <w:b/>
              </w:rPr>
            </w:pPr>
            <w:r>
              <w:rPr>
                <w:b/>
              </w:rPr>
              <w:t>WHITE LION CAPITAL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pPr>
            <w:r>
              <w:rPr/>
              <w:t>/s/ 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95" w:type="dxa"/>
            <w:tcBorders/>
            <w:vAlign w:val="center"/>
          </w:tcPr>
          <w:p>
            <w:pPr>
              <w:pStyle w:val="TableContents"/>
              <w:bidi w:val="0"/>
              <w:spacing w:before="0" w:after="283"/>
              <w:jc w:val="left"/>
              <w:rPr/>
            </w:pPr>
            <w:r>
              <w:rPr/>
              <w:t>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4202"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309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2" w:name="filename13.htm"/>
      <w:bookmarkStart w:id="53" w:name="ksfilename13"/>
      <w:bookmarkEnd w:id="52"/>
      <w:bookmarkEnd w:id="53"/>
      <w:r>
        <w:rPr>
          <w:b/>
        </w:rPr>
        <w:t>Exhibit 10.59</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3980"/>
        <w:gridCol w:w="2150"/>
      </w:tblGrid>
      <w:tr>
        <w:trPr/>
        <w:tc>
          <w:tcPr>
            <w:tcW w:w="3980" w:type="dxa"/>
            <w:tcBorders/>
            <w:vAlign w:val="center"/>
          </w:tcPr>
          <w:p>
            <w:pPr>
              <w:pStyle w:val="TableContents"/>
              <w:bidi w:val="0"/>
              <w:spacing w:before="0" w:after="283"/>
              <w:jc w:val="left"/>
              <w:rPr>
                <w:b/>
                <w:sz w:val="20"/>
              </w:rPr>
            </w:pPr>
            <w:r>
              <w:rPr>
                <w:b/>
                <w:sz w:val="20"/>
              </w:rPr>
              <w:t>Principal Amount: $166,667.00</w:t>
            </w:r>
          </w:p>
        </w:tc>
        <w:tc>
          <w:tcPr>
            <w:tcW w:w="2150" w:type="dxa"/>
            <w:tcBorders/>
            <w:vAlign w:val="center"/>
          </w:tcPr>
          <w:p>
            <w:pPr>
              <w:pStyle w:val="TableContents"/>
              <w:bidi w:val="0"/>
              <w:spacing w:before="0" w:after="283"/>
              <w:jc w:val="right"/>
              <w:rPr>
                <w:b/>
                <w:sz w:val="20"/>
              </w:rPr>
            </w:pPr>
            <w:r>
              <w:rPr>
                <w:b/>
                <w:sz w:val="20"/>
              </w:rPr>
              <w:t>Issue Date: May 26, 2026</w:t>
            </w:r>
          </w:p>
        </w:tc>
      </w:tr>
      <w:tr>
        <w:trPr/>
        <w:tc>
          <w:tcPr>
            <w:tcW w:w="3980" w:type="dxa"/>
            <w:tcBorders/>
            <w:vAlign w:val="center"/>
          </w:tcPr>
          <w:p>
            <w:pPr>
              <w:pStyle w:val="TableContents"/>
              <w:bidi w:val="0"/>
              <w:spacing w:before="0" w:after="283"/>
              <w:jc w:val="left"/>
              <w:rPr>
                <w:b/>
                <w:sz w:val="20"/>
              </w:rPr>
            </w:pPr>
            <w:r>
              <w:rPr>
                <w:b/>
                <w:sz w:val="20"/>
              </w:rPr>
              <w:t>Actual Amount of Purchase Price: $150,000.00</w:t>
            </w:r>
          </w:p>
        </w:tc>
        <w:tc>
          <w:tcPr>
            <w:tcW w:w="2150" w:type="dxa"/>
            <w:tcBorders/>
            <w:vAlign w:val="center"/>
          </w:tcPr>
          <w:p>
            <w:pPr>
              <w:pStyle w:val="TableContents"/>
              <w:bidi w:val="0"/>
              <w:spacing w:before="0" w:after="283"/>
              <w:jc w:val="left"/>
              <w:rPr/>
            </w:pPr>
            <w:r>
              <w:rPr/>
              <w:t> </w:t>
            </w:r>
          </w:p>
        </w:tc>
      </w:tr>
    </w:tbl>
    <w:p>
      <w:pPr>
        <w:pStyle w:val="TextBody"/>
        <w:bidi w:val="0"/>
        <w:spacing w:before="0" w:after="0"/>
        <w:ind w:left="248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“Holder”), in the form of lawful money of the United States of America, the principal sum of $166,667.00 (the “Principal Amount”) (subject to adjustment herein), which includes the purchase price of $150,000.00 plus an original issue discount in the amount of $16,667.00 (the “OID”), and to pay a one-time interest charge on the Principal Amount hereof at the rate of ten percent (10%) (the “Interest Rate”) (which is equal to $16,667.00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1.2 </w:t>
      </w:r>
      <w:r>
        <w:rPr>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Calculation of Conversion Price.</w:t>
      </w:r>
      <w:r>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(b) </w:t>
      </w:r>
      <w:r>
        <w:rPr>
          <w:u w:val="single"/>
        </w:rPr>
        <w:t>Voluntary Adjustment By Company</w:t>
      </w:r>
      <w:r>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080"/>
        <w:jc w:val="both"/>
        <w:rPr/>
      </w:pPr>
      <w:r>
        <w:rPr/>
        <w:t> </w:t>
      </w:r>
    </w:p>
    <w:p>
      <w:pPr>
        <w:pStyle w:val="TextBody"/>
        <w:bidi w:val="0"/>
        <w:spacing w:before="0" w:after="0"/>
        <w:ind w:left="0" w:right="0" w:firstLine="720"/>
        <w:jc w:val="both"/>
        <w:rPr/>
      </w:pPr>
      <w:r>
        <w:rPr/>
        <w:t>1.3 </w:t>
      </w:r>
      <w:r>
        <w:rPr>
          <w:u w:val="single"/>
        </w:rPr>
        <w:t>Authorized and Reserved Shares.</w:t>
      </w:r>
      <w:r>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u w:val="single"/>
        </w:rPr>
        <w:t>multiplied by</w:t>
      </w:r>
      <w:r>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1.4 </w:t>
      </w:r>
      <w:r>
        <w:rPr>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Surrender of Note Upon Conversion.</w:t>
      </w:r>
      <w:r>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i/>
        </w:rPr>
        <w:t xml:space="preserve">prima facie, </w:t>
      </w:r>
      <w:r>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(b) </w:t>
      </w:r>
      <w:r>
        <w:rPr>
          <w:u w:val="single"/>
        </w:rPr>
        <w:t>Payment of Taxes</w:t>
      </w:r>
      <w:r>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(c) </w:t>
      </w:r>
      <w:r>
        <w:rPr>
          <w:u w:val="single"/>
        </w:rPr>
        <w:t>Delivery of Common Stock Upon Conversion</w:t>
      </w:r>
      <w:r>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(d) </w:t>
      </w:r>
      <w:r>
        <w:rPr>
          <w:u w:val="single"/>
        </w:rPr>
        <w:t>Obligation of Borrower to Deliver Common Stock.</w:t>
      </w:r>
      <w:r>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(e) </w:t>
      </w:r>
      <w:r>
        <w:rPr>
          <w:u w:val="single"/>
        </w:rPr>
        <w:t>Delivery of Conversion Shares by Electronic Transfer</w:t>
      </w:r>
      <w:r>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1.5 </w:t>
      </w:r>
      <w:r>
        <w:rPr>
          <w:u w:val="single"/>
        </w:rPr>
        <w:t>Concerning the Shares</w:t>
      </w:r>
      <w:r>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0" w:type="dxa"/>
          <w:right w:w="60" w:type="dxa"/>
        </w:tblCellMar>
      </w:tblPr>
      <w:tblGrid>
        <w:gridCol w:w="192"/>
        <w:gridCol w:w="8269"/>
        <w:gridCol w:w="1744"/>
      </w:tblGrid>
      <w:tr>
        <w:trPr/>
        <w:tc>
          <w:tcPr>
            <w:tcW w:w="192"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left"/>
              <w:rPr/>
            </w:pPr>
            <w:r>
              <w:rPr/>
              <w:t> </w:t>
            </w:r>
          </w:p>
        </w:tc>
        <w:tc>
          <w:tcPr>
            <w:tcW w:w="8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b/>
              </w:rPr>
            </w:pPr>
            <w:r>
              <w:rPr>
                <w:b/>
              </w:rPr>
              <w:t>Prepayment Period</w:t>
            </w:r>
          </w:p>
        </w:tc>
        <w:tc>
          <w:tcPr>
            <w:tcW w:w="1744"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center"/>
              <w:rPr>
                <w:b/>
                <w:sz w:val="20"/>
              </w:rPr>
            </w:pPr>
            <w:r>
              <w:rPr>
                <w:b/>
                <w:sz w:val="20"/>
              </w:rPr>
              <w:t>Prepayment Percentage</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rPr>
            </w:pPr>
            <w:r>
              <w:rPr>
                <w:b/>
              </w:rPr>
              <w:t>1.</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Issue Date and continuing through the date that is 90 calendar days after the Issue Date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ind w:left="0" w:right="0" w:firstLine="60"/>
              <w:jc w:val="center"/>
              <w:rPr>
                <w:b w:val="false"/>
                <w:i w:val="false"/>
                <w:caps w:val="false"/>
                <w:smallCaps w:val="false"/>
                <w:sz w:val="20"/>
              </w:rPr>
            </w:pPr>
            <w:r>
              <w:rPr>
                <w:b w:val="false"/>
                <w:i w:val="false"/>
                <w:caps w:val="false"/>
                <w:smallCaps w:val="false"/>
                <w:sz w:val="20"/>
              </w:rPr>
              <w:t>120%</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sz w:val="20"/>
              </w:rPr>
            </w:pPr>
            <w:r>
              <w:rPr>
                <w:b/>
                <w:sz w:val="20"/>
              </w:rPr>
              <w:t>2.</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date that is 91 calendar days after the Issue Date and continuing until the date that an Event of Default occurs under this Note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bl>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0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0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May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80" w:type="dxa"/>
            <w:tcBorders/>
            <w:vAlign w:val="center"/>
          </w:tcPr>
          <w:p>
            <w:pPr>
              <w:pStyle w:val="TableContents"/>
              <w:bidi w:val="0"/>
              <w:spacing w:before="0" w:after="283"/>
              <w:jc w:val="left"/>
              <w:rPr/>
            </w:pPr>
            <w:r>
              <w:rPr/>
              <w:t>By:</w:t>
            </w:r>
          </w:p>
        </w:tc>
        <w:tc>
          <w:tcPr>
            <w:tcW w:w="2840" w:type="dxa"/>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sz w:val="20"/>
                <w:u w:val="single"/>
                <w:effect w:val="none"/>
              </w:rPr>
            </w:pPr>
            <w:r>
              <w:rPr>
                <w:caps w:val="false"/>
                <w:smallCaps w:val="false"/>
                <w:strike w:val="false"/>
                <w:dstrike w:val="false"/>
                <w:sz w:val="20"/>
                <w:u w:val="single"/>
                <w:effect w:val="none"/>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sz w:val="20"/>
              </w:rPr>
            </w:pPr>
            <w:r>
              <w:rPr>
                <w:sz w:val="20"/>
              </w:rPr>
              <w:t>Name:Wing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May 26,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Common Stock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hanging="0"/>
        <w:jc w:val="left"/>
        <w:rPr>
          <w:caps w:val="false"/>
          <w:smallCaps w:val="false"/>
        </w:rPr>
      </w:pPr>
      <w:r>
        <w:rPr>
          <w:caps w:val="false"/>
          <w:smallCaps w:val="false"/>
        </w:rPr>
        <w:t> </w:t>
      </w:r>
    </w:p>
    <w:tbl>
      <w:tblPr>
        <w:tblW w:w="8817" w:type="dxa"/>
        <w:jc w:val="left"/>
        <w:tblInd w:w="0" w:type="dxa"/>
        <w:tblLayout w:type="fixed"/>
        <w:tblCellMar>
          <w:top w:w="0" w:type="dxa"/>
          <w:left w:w="0" w:type="dxa"/>
          <w:bottom w:w="0" w:type="dxa"/>
          <w:right w:w="0" w:type="dxa"/>
        </w:tblCellMar>
      </w:tblPr>
      <w:tblGrid>
        <w:gridCol w:w="75"/>
        <w:gridCol w:w="6920"/>
        <w:gridCol w:w="1822"/>
      </w:tblGrid>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Date of Conversion:</w:t>
            </w:r>
          </w:p>
        </w:tc>
        <w:tc>
          <w:tcPr>
            <w:tcW w:w="182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Applicable Conversion Price:</w:t>
            </w:r>
          </w:p>
        </w:tc>
        <w:tc>
          <w:tcPr>
            <w:tcW w:w="1822" w:type="dxa"/>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pBdr/>
              <w:bidi w:val="0"/>
              <w:spacing w:before="0" w:after="283"/>
              <w:ind w:left="0" w:right="0" w:hanging="540"/>
              <w:jc w:val="both"/>
              <w:rPr>
                <w:sz w:val="20"/>
              </w:rPr>
            </w:pPr>
            <w:r>
              <w:rPr>
                <w:sz w:val="20"/>
              </w:rPr>
              <w:t>Number of Shares of Common Stock to be Issued Pursuant to Conversion of the Note:</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filename14.htm"/>
      <w:bookmarkStart w:id="55" w:name="ksfilename14"/>
      <w:bookmarkEnd w:id="54"/>
      <w:bookmarkEnd w:id="55"/>
      <w:r>
        <w:rPr>
          <w:rFonts w:ascii="Times New Roman;Times;Serif" w:hAnsi="Times New Roman;Times;Serif"/>
          <w:b/>
          <w:i w:val="false"/>
          <w:caps w:val="false"/>
          <w:smallCaps w:val="false"/>
          <w:sz w:val="20"/>
        </w:rPr>
        <w:t>Exhibit 10.60</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(the “Agreement”), dated as of June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with its address at 21031 Ventura Blvd. Suite 920 Woodland Hills, CA 91364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$83,334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$75,000.00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371"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pPr>
      <w:r>
        <w:rPr>
          <w:caps w:val="false"/>
          <w:smallCaps w:val="false"/>
        </w:rPr>
        <w:t> </w:t>
      </w:r>
      <w:r>
        <w:rPr/>
        <w:t xml:space="preserve">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NEWGENIVF GROUP LIMITED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3600" w:type="dxa"/>
        <w:jc w:val="left"/>
        <w:tblInd w:w="0" w:type="dxa"/>
        <w:tblLayout w:type="fixed"/>
        <w:tblCellMar>
          <w:top w:w="0" w:type="dxa"/>
          <w:left w:w="0" w:type="dxa"/>
          <w:bottom w:w="0" w:type="dxa"/>
          <w:right w:w="0" w:type="dxa"/>
        </w:tblCellMar>
      </w:tblPr>
      <w:tblGrid>
        <w:gridCol w:w="380"/>
        <w:gridCol w:w="650"/>
        <w:gridCol w:w="2495"/>
        <w:gridCol w:w="75"/>
      </w:tblGrid>
      <w:tr>
        <w:trPr/>
        <w:tc>
          <w:tcPr>
            <w:tcW w:w="3525" w:type="dxa"/>
            <w:gridSpan w:val="3"/>
            <w:tcBorders/>
            <w:vAlign w:val="center"/>
          </w:tcPr>
          <w:p>
            <w:pPr>
              <w:pStyle w:val="TableContents"/>
              <w:bidi w:val="0"/>
              <w:spacing w:before="0" w:after="283"/>
              <w:jc w:val="left"/>
              <w:rPr>
                <w:b/>
              </w:rPr>
            </w:pPr>
            <w:r>
              <w:rPr>
                <w:b/>
              </w:rPr>
              <w:t>WHITE LION CAPITAL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pPr>
            <w:r>
              <w:rPr/>
              <w:t>/s/ 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95" w:type="dxa"/>
            <w:tcBorders/>
            <w:vAlign w:val="center"/>
          </w:tcPr>
          <w:p>
            <w:pPr>
              <w:pStyle w:val="TableContents"/>
              <w:bidi w:val="0"/>
              <w:spacing w:before="0" w:after="283"/>
              <w:jc w:val="left"/>
              <w:rPr/>
            </w:pPr>
            <w:r>
              <w:rPr/>
              <w:t>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4202"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309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6" w:name="filename15.htm"/>
      <w:bookmarkStart w:id="57" w:name="ksfilename15"/>
      <w:bookmarkEnd w:id="56"/>
      <w:bookmarkEnd w:id="57"/>
      <w:r>
        <w:rPr>
          <w:b/>
        </w:rPr>
        <w:t>Exhibit 10.61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3875"/>
        <w:gridCol w:w="2060"/>
      </w:tblGrid>
      <w:tr>
        <w:trPr/>
        <w:tc>
          <w:tcPr>
            <w:tcW w:w="3875" w:type="dxa"/>
            <w:tcBorders/>
            <w:vAlign w:val="center"/>
          </w:tcPr>
          <w:p>
            <w:pPr>
              <w:pStyle w:val="TableContents"/>
              <w:bidi w:val="0"/>
              <w:spacing w:before="0" w:after="283"/>
              <w:jc w:val="left"/>
              <w:rPr>
                <w:b/>
                <w:sz w:val="20"/>
              </w:rPr>
            </w:pPr>
            <w:r>
              <w:rPr>
                <w:b/>
                <w:sz w:val="20"/>
              </w:rPr>
              <w:t>Principal Amount: $83,334.00</w:t>
            </w:r>
          </w:p>
        </w:tc>
        <w:tc>
          <w:tcPr>
            <w:tcW w:w="2060" w:type="dxa"/>
            <w:tcBorders/>
            <w:vAlign w:val="center"/>
          </w:tcPr>
          <w:p>
            <w:pPr>
              <w:pStyle w:val="TableContents"/>
              <w:bidi w:val="0"/>
              <w:spacing w:before="0" w:after="283"/>
              <w:jc w:val="right"/>
              <w:rPr>
                <w:b/>
                <w:sz w:val="20"/>
              </w:rPr>
            </w:pPr>
            <w:r>
              <w:rPr>
                <w:b/>
                <w:sz w:val="20"/>
              </w:rPr>
              <w:t>Issue Date: June 8, 2026</w:t>
            </w:r>
          </w:p>
        </w:tc>
      </w:tr>
      <w:tr>
        <w:trPr/>
        <w:tc>
          <w:tcPr>
            <w:tcW w:w="3875" w:type="dxa"/>
            <w:tcBorders/>
            <w:vAlign w:val="center"/>
          </w:tcPr>
          <w:p>
            <w:pPr>
              <w:pStyle w:val="TableContents"/>
              <w:bidi w:val="0"/>
              <w:spacing w:before="0" w:after="283"/>
              <w:jc w:val="left"/>
              <w:rPr>
                <w:b/>
                <w:sz w:val="20"/>
              </w:rPr>
            </w:pPr>
            <w:r>
              <w:rPr>
                <w:b/>
                <w:sz w:val="20"/>
              </w:rPr>
              <w:t>Actual Amount of Purchase Price: $75,000.00</w:t>
            </w:r>
          </w:p>
        </w:tc>
        <w:tc>
          <w:tcPr>
            <w:tcW w:w="2060" w:type="dxa"/>
            <w:tcBorders/>
            <w:vAlign w:val="center"/>
          </w:tcPr>
          <w:p>
            <w:pPr>
              <w:pStyle w:val="TableContents"/>
              <w:bidi w:val="0"/>
              <w:spacing w:before="0" w:after="283"/>
              <w:jc w:val="left"/>
              <w:rPr/>
            </w:pPr>
            <w:r>
              <w:rPr/>
              <w:t> </w:t>
            </w:r>
          </w:p>
        </w:tc>
      </w:tr>
    </w:tbl>
    <w:p>
      <w:pPr>
        <w:pStyle w:val="TextBody"/>
        <w:bidi w:val="0"/>
        <w:spacing w:before="0" w:after="0"/>
        <w:ind w:left="248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“Holder”), in the form of lawful money of the United States of America, the principal sum of $83,334.00 (the “Principal Amount”) (subject to adjustment herein), which includes the purchase price of $75,000.00 plus an original issue discount in the amount of $8,334.00 (the “OID”), and to pay a one-time interest charge on the Principal Amount hereof at the rate of ten percent (10%) (the “Interest Rate”) (which is equal to $8,334.00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1.2 </w:t>
      </w:r>
      <w:r>
        <w:rPr>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Calculation of Conversion Price.</w:t>
      </w:r>
      <w:r>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(b) </w:t>
      </w:r>
      <w:r>
        <w:rPr>
          <w:u w:val="single"/>
        </w:rPr>
        <w:t>Voluntary Adjustment By Company</w:t>
      </w:r>
      <w:r>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080"/>
        <w:jc w:val="both"/>
        <w:rPr/>
      </w:pPr>
      <w:r>
        <w:rPr/>
        <w:t> </w:t>
      </w:r>
    </w:p>
    <w:p>
      <w:pPr>
        <w:pStyle w:val="TextBody"/>
        <w:bidi w:val="0"/>
        <w:spacing w:before="0" w:after="0"/>
        <w:ind w:left="0" w:right="0" w:firstLine="720"/>
        <w:jc w:val="both"/>
        <w:rPr/>
      </w:pPr>
      <w:r>
        <w:rPr/>
        <w:t>1.3 </w:t>
      </w:r>
      <w:r>
        <w:rPr>
          <w:u w:val="single"/>
        </w:rPr>
        <w:t>Authorized and Reserved Shares.</w:t>
      </w:r>
      <w:r>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u w:val="single"/>
        </w:rPr>
        <w:t>multiplied by</w:t>
      </w:r>
      <w:r>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1.4 </w:t>
      </w:r>
      <w:r>
        <w:rPr>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Surrender of Note Upon Conversion.</w:t>
      </w:r>
      <w:r>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i/>
        </w:rPr>
        <w:t xml:space="preserve">prima facie, </w:t>
      </w:r>
      <w:r>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(b) </w:t>
      </w:r>
      <w:r>
        <w:rPr>
          <w:u w:val="single"/>
        </w:rPr>
        <w:t>Payment of Taxes</w:t>
      </w:r>
      <w:r>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(c) </w:t>
      </w:r>
      <w:r>
        <w:rPr>
          <w:u w:val="single"/>
        </w:rPr>
        <w:t>Delivery of Common Stock Upon Conversion</w:t>
      </w:r>
      <w:r>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(d) </w:t>
      </w:r>
      <w:r>
        <w:rPr>
          <w:u w:val="single"/>
        </w:rPr>
        <w:t>Obligation of Borrower to Deliver Common Stock.</w:t>
      </w:r>
      <w:r>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(e) </w:t>
      </w:r>
      <w:r>
        <w:rPr>
          <w:u w:val="single"/>
        </w:rPr>
        <w:t>Delivery of Conversion Shares by Electronic Transfer</w:t>
      </w:r>
      <w:r>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1.5 </w:t>
      </w:r>
      <w:r>
        <w:rPr>
          <w:u w:val="single"/>
        </w:rPr>
        <w:t>Concerning the Shares</w:t>
      </w:r>
      <w:r>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0" w:type="dxa"/>
          <w:right w:w="60" w:type="dxa"/>
        </w:tblCellMar>
      </w:tblPr>
      <w:tblGrid>
        <w:gridCol w:w="192"/>
        <w:gridCol w:w="8269"/>
        <w:gridCol w:w="1744"/>
      </w:tblGrid>
      <w:tr>
        <w:trPr/>
        <w:tc>
          <w:tcPr>
            <w:tcW w:w="192"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left"/>
              <w:rPr/>
            </w:pPr>
            <w:r>
              <w:rPr/>
              <w:t> </w:t>
            </w:r>
          </w:p>
        </w:tc>
        <w:tc>
          <w:tcPr>
            <w:tcW w:w="8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b/>
              </w:rPr>
            </w:pPr>
            <w:r>
              <w:rPr>
                <w:b/>
              </w:rPr>
              <w:t>Prepayment Period</w:t>
            </w:r>
          </w:p>
        </w:tc>
        <w:tc>
          <w:tcPr>
            <w:tcW w:w="1744"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center"/>
              <w:rPr>
                <w:b/>
                <w:sz w:val="20"/>
              </w:rPr>
            </w:pPr>
            <w:r>
              <w:rPr>
                <w:b/>
                <w:sz w:val="20"/>
              </w:rPr>
              <w:t>Prepayment Percentage</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rPr>
            </w:pPr>
            <w:r>
              <w:rPr>
                <w:b/>
              </w:rPr>
              <w:t>1.</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Issue Date and continuing through the date that is 90 calendar days after the Issue Date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ind w:left="0" w:right="0" w:firstLine="60"/>
              <w:jc w:val="center"/>
              <w:rPr>
                <w:b w:val="false"/>
                <w:i w:val="false"/>
                <w:caps w:val="false"/>
                <w:smallCaps w:val="false"/>
                <w:sz w:val="20"/>
              </w:rPr>
            </w:pPr>
            <w:r>
              <w:rPr>
                <w:b w:val="false"/>
                <w:i w:val="false"/>
                <w:caps w:val="false"/>
                <w:smallCaps w:val="false"/>
                <w:sz w:val="20"/>
              </w:rPr>
              <w:t>120%</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sz w:val="20"/>
              </w:rPr>
            </w:pPr>
            <w:r>
              <w:rPr>
                <w:b/>
                <w:sz w:val="20"/>
              </w:rPr>
              <w:t>2.</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date that is 91 calendar days after the Issue Date and continuing until the date that an Event of Default occurs under this Note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bl>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0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0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80" w:type="dxa"/>
            <w:tcBorders/>
            <w:vAlign w:val="center"/>
          </w:tcPr>
          <w:p>
            <w:pPr>
              <w:pStyle w:val="TableContents"/>
              <w:bidi w:val="0"/>
              <w:spacing w:before="0" w:after="283"/>
              <w:jc w:val="left"/>
              <w:rPr/>
            </w:pPr>
            <w:r>
              <w:rPr/>
              <w:t>By:</w:t>
            </w:r>
          </w:p>
        </w:tc>
        <w:tc>
          <w:tcPr>
            <w:tcW w:w="2840" w:type="dxa"/>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sz w:val="20"/>
                <w:u w:val="single"/>
                <w:effect w:val="none"/>
              </w:rPr>
            </w:pPr>
            <w:r>
              <w:rPr>
                <w:caps w:val="false"/>
                <w:smallCaps w:val="false"/>
                <w:strike w:val="false"/>
                <w:dstrike w:val="false"/>
                <w:sz w:val="20"/>
                <w:u w:val="single"/>
                <w:effect w:val="none"/>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sz w:val="20"/>
              </w:rPr>
            </w:pPr>
            <w:r>
              <w:rPr>
                <w:sz w:val="20"/>
              </w:rPr>
              <w:t>Name:Wing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June 8,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Common Stock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hanging="0"/>
        <w:jc w:val="left"/>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75"/>
        <w:gridCol w:w="8195"/>
        <w:gridCol w:w="195"/>
      </w:tblGrid>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sz w:val="20"/>
              </w:rPr>
            </w:pPr>
            <w:r>
              <w:rPr>
                <w:sz w:val="20"/>
              </w:rPr>
              <w:t>Date of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sz w:val="20"/>
              </w:rPr>
            </w:pPr>
            <w:r>
              <w:rPr>
                <w:sz w:val="20"/>
              </w:rPr>
              <w:t>Applicable Conversion Price:</w:t>
            </w:r>
          </w:p>
        </w:tc>
        <w:tc>
          <w:tcPr>
            <w:tcW w:w="1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Number of Shares of Common Stock to be Issued Pursuant to Conversion of the Note:</w:t>
            </w:r>
          </w:p>
        </w:tc>
        <w:tc>
          <w:tcPr>
            <w:tcW w:w="1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8" w:name="filename16.htm"/>
      <w:bookmarkStart w:id="59" w:name="ksfilename16"/>
      <w:bookmarkEnd w:id="58"/>
      <w:bookmarkEnd w:id="59"/>
      <w:r>
        <w:rPr>
          <w:rFonts w:ascii="Times New Roman;Times;Serif" w:hAnsi="Times New Roman;Times;Serif"/>
          <w:b/>
          <w:i w:val="false"/>
          <w:caps w:val="false"/>
          <w:smallCaps w:val="false"/>
          <w:sz w:val="20"/>
        </w:rPr>
        <w:t>Exhibit 10.63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(the “Agreement”), dated as of June 22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2026, by and between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with headquarters located at 36/39-36/40, 13th Floor, PS Tower, Sukhumvit 21 Road (Asoke), Khlong Toei Nuea Sub-district, Watthana District, Bangkok 10110, Thailand (the “Company”), and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with its address at 21031 Ventura Blvd. Suite 920 Woodland Hills, CA 91364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$111,111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of the Company, no par value per share (the “Common Stock”), upon the terms and subject to the limitations and conditions set forth in such Note;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$100,000.00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$5,000.00 from the Purchase Price to cover the Buyer’s legal fees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provided, however,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and/or Conversion Shares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April 14, 2026, the authorized capital stock of the Company consists of: (i) unlimited authorized shares of Common Stock, of which 568,473 shares were issued and outstanding, (ii) unlimited authorized shares of Class B ordinary shares, of which 69 shares were issued and outstanding, and (iii) unlimited authorized shares of preferred stock, of which 0 shares were issued and outstanding. All of such outstanding shares of capital stock of the Company and the Conversion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upon the conversion of the Note to the Common Stock.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or trading market where such Common Stock is listed or traded, including but not limited to any tier of the OTC Markets, any tier of the NASDAQ Stock Market (including NASDAQ Capital Market), or the NYSE American, or any successor to such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December 31, 2025,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December 31, 2025,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Except in the ordinary course of business,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December 31, 2025,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in violation or contravention of any applicable law, rule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or delayed, sell, divest, acquire, or dispose of all or substantially all of its assets other than in the ordinary course of business, or in the event of a Fundamental Transaction and subject to the conditions set out under Section 4(h)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(including but not limited to the Pink Sheets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 if requested in writing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Fundamental Transaction (as defined in the Note), where the surviving or successor entity in such transaction (i) assumes the Company’s obligations under the Transaction Documents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five (5)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which the Company has been so requested to register by Holder in such Registration Statement, by inclusion of such Conversion Shares in the Registration Statement, to the extent required to permit the resale and disposition (in accordance with the intended methods of disposition, including but not limited to sales at prevailing market prices) of the Conversion Shares by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371" w:right="0" w:firstLine="20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371" w:right="0" w:firstLine="2088"/>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have delivered to the Company all information reasonably necessary and requested by the Company to comply with applicable federal and state securities laws in connection with the Agreement, which shall include, but not be limited to, the Buyer’s principal place of business or domicile for tax and securities law purposes and sufficient information to verify the Buyer’s status as an accredited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in such denominations as the Buyer shall request and in accordance with Section 1(b)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Orange County, California.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1308"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 but shall provide prior notice to the Company of such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or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pPr>
      <w:r>
        <w:rPr>
          <w:caps w:val="false"/>
          <w:smallCaps w:val="false"/>
        </w:rPr>
        <w:t> </w:t>
      </w:r>
      <w:r>
        <w:rPr/>
        <w:t xml:space="preserve">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NEWGENIVF GROUP LIMITED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caps w:val="false"/>
          <w:smallCaps w:val="false"/>
        </w:rPr>
        <w:t> </w:t>
      </w:r>
      <w:r>
        <w:rPr/>
        <w:t xml:space="preserve"> </w:t>
      </w:r>
    </w:p>
    <w:tbl>
      <w:tblPr>
        <w:tblW w:w="3600" w:type="dxa"/>
        <w:jc w:val="left"/>
        <w:tblInd w:w="0" w:type="dxa"/>
        <w:tblLayout w:type="fixed"/>
        <w:tblCellMar>
          <w:top w:w="0" w:type="dxa"/>
          <w:left w:w="0" w:type="dxa"/>
          <w:bottom w:w="0" w:type="dxa"/>
          <w:right w:w="0" w:type="dxa"/>
        </w:tblCellMar>
      </w:tblPr>
      <w:tblGrid>
        <w:gridCol w:w="380"/>
        <w:gridCol w:w="650"/>
        <w:gridCol w:w="2495"/>
        <w:gridCol w:w="75"/>
      </w:tblGrid>
      <w:tr>
        <w:trPr/>
        <w:tc>
          <w:tcPr>
            <w:tcW w:w="3525" w:type="dxa"/>
            <w:gridSpan w:val="3"/>
            <w:tcBorders/>
            <w:vAlign w:val="center"/>
          </w:tcPr>
          <w:p>
            <w:pPr>
              <w:pStyle w:val="TableContents"/>
              <w:bidi w:val="0"/>
              <w:spacing w:before="0" w:after="283"/>
              <w:jc w:val="left"/>
              <w:rPr>
                <w:b/>
              </w:rPr>
            </w:pPr>
            <w:r>
              <w:rPr>
                <w:b/>
              </w:rPr>
              <w:t>WHITE LION CAPITAL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pPr>
            <w:r>
              <w:rPr/>
              <w:t>/s/ 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95" w:type="dxa"/>
            <w:tcBorders/>
            <w:vAlign w:val="center"/>
          </w:tcPr>
          <w:p>
            <w:pPr>
              <w:pStyle w:val="TableContents"/>
              <w:bidi w:val="0"/>
              <w:spacing w:before="0" w:after="283"/>
              <w:jc w:val="left"/>
              <w:rPr/>
            </w:pPr>
            <w:r>
              <w:rPr/>
              <w:t>NATHAN YEE</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95"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4202" w:right="0" w:hanging="1"/>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309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Orange County, California.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Orange County, California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Orange County,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California Arbitration Act, Title 9 §§ 1280-1294.4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California Code of Civil Procedure.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four (4) arbitrators that are designated as “neutrals” or qualified arbitrators by American Arbitration Association (“AAA”) (https://www.adr.org/) or other arbitration service provider agreed upon by the parties (such four (4)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by Buyer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caps w:val="false"/>
          <w:smallCaps w:val="false"/>
          <w:sz w:val="20"/>
        </w:rPr>
        <w:t>Applicability of Certain California Rules</w:t>
      </w:r>
      <w:r>
        <w:rPr>
          <w:rFonts w:ascii="Times New Roman;Times;Serif" w:hAnsi="Times New Roman;Times;Serif"/>
          <w:b w:val="false"/>
          <w:i w:val="false"/>
          <w:caps w:val="false"/>
          <w:smallCaps w:val="false"/>
          <w:sz w:val="20"/>
        </w:rPr>
        <w:t>. The parties agree that the Arbitration shall be conducted generally in accordance with the California Code of Civil Procedure and the California Rules of Evidence. More specifically, the California Code of Civil Procedure shall apply, without limitation, to the filing of any pleadings, motions or memoranda, the conducting of discovery, and the taking of any depositions. The California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California Code of Civil Procedure or the California Rules of Evidence and these Arbitration Provisions, these Arbitration Provisions shall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California Code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in accordance with the Arbitration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Except as otherwise expressly provided for in these Arbitration Provisions, these Arbitration Provisions shall be governed by the laws of the State of Delaware without regard to the conflict of laws principles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0" w:name="filename17.htm"/>
      <w:bookmarkStart w:id="61" w:name="ksfilename17"/>
      <w:bookmarkEnd w:id="60"/>
      <w:bookmarkEnd w:id="61"/>
      <w:r>
        <w:rPr>
          <w:b/>
        </w:rPr>
        <w:t>Exhibit 10.64</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3980"/>
        <w:gridCol w:w="2165"/>
      </w:tblGrid>
      <w:tr>
        <w:trPr/>
        <w:tc>
          <w:tcPr>
            <w:tcW w:w="3980" w:type="dxa"/>
            <w:tcBorders/>
            <w:vAlign w:val="center"/>
          </w:tcPr>
          <w:p>
            <w:pPr>
              <w:pStyle w:val="TableContents"/>
              <w:bidi w:val="0"/>
              <w:spacing w:before="0" w:after="283"/>
              <w:jc w:val="left"/>
              <w:rPr>
                <w:b/>
                <w:sz w:val="20"/>
              </w:rPr>
            </w:pPr>
            <w:r>
              <w:rPr>
                <w:b/>
                <w:sz w:val="20"/>
              </w:rPr>
              <w:t>Principal Amount: $111,111.00</w:t>
            </w:r>
          </w:p>
        </w:tc>
        <w:tc>
          <w:tcPr>
            <w:tcW w:w="2165" w:type="dxa"/>
            <w:tcBorders/>
            <w:vAlign w:val="center"/>
          </w:tcPr>
          <w:p>
            <w:pPr>
              <w:pStyle w:val="TableContents"/>
              <w:bidi w:val="0"/>
              <w:spacing w:before="0" w:after="283"/>
              <w:jc w:val="right"/>
              <w:rPr>
                <w:b/>
                <w:sz w:val="20"/>
              </w:rPr>
            </w:pPr>
            <w:r>
              <w:rPr>
                <w:b/>
                <w:sz w:val="20"/>
              </w:rPr>
              <w:t>Issue Date: June 22, 2026</w:t>
            </w:r>
          </w:p>
        </w:tc>
      </w:tr>
      <w:tr>
        <w:trPr/>
        <w:tc>
          <w:tcPr>
            <w:tcW w:w="3980" w:type="dxa"/>
            <w:tcBorders/>
            <w:vAlign w:val="center"/>
          </w:tcPr>
          <w:p>
            <w:pPr>
              <w:pStyle w:val="TableContents"/>
              <w:bidi w:val="0"/>
              <w:spacing w:before="0" w:after="283"/>
              <w:jc w:val="left"/>
              <w:rPr>
                <w:b/>
                <w:sz w:val="20"/>
              </w:rPr>
            </w:pPr>
            <w:r>
              <w:rPr>
                <w:b/>
                <w:sz w:val="20"/>
              </w:rPr>
              <w:t>Actual Amount of Purchase Price: $100,000.00</w:t>
            </w:r>
          </w:p>
        </w:tc>
        <w:tc>
          <w:tcPr>
            <w:tcW w:w="2165" w:type="dxa"/>
            <w:tcBorders/>
            <w:vAlign w:val="center"/>
          </w:tcPr>
          <w:p>
            <w:pPr>
              <w:pStyle w:val="TableContents"/>
              <w:bidi w:val="0"/>
              <w:spacing w:before="0" w:after="283"/>
              <w:jc w:val="left"/>
              <w:rPr/>
            </w:pPr>
            <w:r>
              <w:rPr/>
              <w:t> </w:t>
            </w:r>
          </w:p>
        </w:tc>
      </w:tr>
    </w:tbl>
    <w:p>
      <w:pPr>
        <w:pStyle w:val="TextBody"/>
        <w:bidi w:val="0"/>
        <w:spacing w:before="0" w:after="0"/>
        <w:ind w:left="248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xml:space="preserve">, a British Virgin Islands company (hereinafter called the “Borrower” or the “Company”), hereby promises to pay to the order of </w:t>
      </w:r>
      <w:r>
        <w:rPr>
          <w:rFonts w:ascii="Times New Roman;Times;Serif" w:hAnsi="Times New Roman;Times;Serif"/>
          <w:b/>
          <w:i w:val="false"/>
          <w:caps w:val="false"/>
          <w:smallCaps w:val="false"/>
          <w:sz w:val="20"/>
        </w:rPr>
        <w:t>WHITE LION CAPITAL LLC</w:t>
      </w:r>
      <w:r>
        <w:rPr>
          <w:rFonts w:ascii="Times New Roman;Times;Serif" w:hAnsi="Times New Roman;Times;Serif"/>
          <w:b w:val="false"/>
          <w:i w:val="false"/>
          <w:caps w:val="false"/>
          <w:smallCaps w:val="false"/>
          <w:sz w:val="20"/>
        </w:rPr>
        <w:t>, a Nevada limited liability company (the “Holder”), in the form of lawful money of the United States of America, the principal sum of $111,111.00 (the “Principal Amount”) (subject to adjustment herein), which includes the purchase price of $100,000.00 plus an original issue discount in the amount of $11,111.00 (the “OID”), and to pay a one-time interest charge on the Principal Amount hereof at the rate of ten percent (10%) (the “Interest Rate”) (which is equal to $11,111.00 and shall be guaranteed and earned in full as of the date hereof (the “Issue Date”)), when such amounts become due and payable, whether at maturity or upon acceleration or by prepayment or otherwise, as further provided herein. The maturity date shall be twelve (12) months from the Issue Date (the “Maturity Date”), and is the date upon which the Principal Amount (which includes the OID) and any accrued and unpaid interest and other fees,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sixteen percent (16%)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of the Borrower, no par value per share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provided, however, that if the Common Stock is not then listed or quoted on any Principal Market, then any calendar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1.1 </w:t>
      </w:r>
      <w:r>
        <w:rPr>
          <w:u w:val="single"/>
        </w:rPr>
        <w:t>Conversion Right.</w:t>
      </w:r>
      <w:r>
        <w:rPr/>
        <w:t xml:space="preserve"> The Holder shall have the right, on any calendar day, at any time on or following the date that is one hundred eighty (180) calendar days after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(the “Affiliates”),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The limitations contained in this paragraph shall apply to a successor holder of this Note. The number of Conversion Shares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by the Holder in accordance with the terms of this Note; provided that the Notice of Conversion is submitted by facsimile or e-mail (or by other means resulting in, or reasonably expected to result in, notice) to the Borrower before 11:59 p.m., New York, New York time on such conversion date (the “Conversion Date”).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1.2 </w:t>
      </w:r>
      <w:r>
        <w:rPr>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Calculation of Conversion Price.</w:t>
      </w:r>
      <w:r>
        <w:rPr/>
        <w:t xml:space="preserve"> The per share conversion price into which Principal Amount and interest (including any Default Interest) under this Note shall be convertible into shares of Common Stock hereunder as further described in this Note (the “Conversion Price”) shall equal the Market Price (as defined in this Note), subject to adjustment as provided in this Note. “Market Price” shall mean 75% of the lowest traded price of the Common Stock on the Principal Market during the ten (10) Trading Day period immediately preceding the respective Conversion Date, provided, however, that at all times on and after the date that an Event of Default (as defined in this Note) occurs under this Note, Market Price shall instead mean 70% of the lowest traded price of the Common Stock on the Principal Market on any Trading Day during the fifteen (15) Trading Days prior to the respective Conversion Date.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$1,200.00 from the conversion amount of not less than $50,000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1080"/>
        <w:jc w:val="both"/>
        <w:rPr/>
      </w:pPr>
      <w:r>
        <w:rPr/>
        <w:t> </w:t>
      </w:r>
    </w:p>
    <w:p>
      <w:pPr>
        <w:pStyle w:val="TextBody"/>
        <w:bidi w:val="0"/>
        <w:spacing w:before="0" w:after="0"/>
        <w:ind w:left="0" w:right="0" w:firstLine="1080"/>
        <w:jc w:val="both"/>
        <w:rPr/>
      </w:pPr>
      <w:r>
        <w:rPr/>
        <w:t>(b) </w:t>
      </w:r>
      <w:r>
        <w:rPr>
          <w:u w:val="single"/>
        </w:rPr>
        <w:t>Voluntary Adjustment By Company</w:t>
      </w:r>
      <w:r>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firstLine="1080"/>
        <w:jc w:val="both"/>
        <w:rPr/>
      </w:pPr>
      <w:r>
        <w:rPr/>
        <w:t> </w:t>
      </w:r>
    </w:p>
    <w:p>
      <w:pPr>
        <w:pStyle w:val="TextBody"/>
        <w:bidi w:val="0"/>
        <w:spacing w:before="0" w:after="0"/>
        <w:ind w:left="0" w:right="0" w:firstLine="720"/>
        <w:jc w:val="both"/>
        <w:rPr/>
      </w:pPr>
      <w:r>
        <w:rPr/>
        <w:t>1.3 </w:t>
      </w:r>
      <w:r>
        <w:rPr>
          <w:u w:val="single"/>
        </w:rPr>
        <w:t>Authorized and Reserved Shares.</w:t>
      </w:r>
      <w:r>
        <w:rPr/>
        <w:t xml:space="preserve"> The Borrower shall use commercially reasonable endeavors to ensure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1,000,000 shares of Common Stock or (b) the sum of (i) the number of Conversion Shares issuable upon the full conversion of this Note at a conversion price equal to the Conversion Price (assuming no payment of Principal Amount or interest) </w:t>
      </w:r>
      <w:r>
        <w:rPr>
          <w:u w:val="single"/>
        </w:rPr>
        <w:t>multiplied by</w:t>
      </w:r>
      <w:r>
        <w:rPr/>
        <w:t xml:space="preserve"> (ii) three (3) (the “Reserved Amount”). For the avoidance of doubt, the Reserved Amount shall be required to be reserved by the Borrower pursuant to this Section even if the Note is not yet convertible into Common Stock by the Holder under Section 1.1 of this Note. The Borrower represents that upon issuance, the Conversion Shares will be duly and validly issued, fully paid, as applicable,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 xml:space="preserve">1.4 </w:t>
      </w:r>
      <w:r>
        <w:rPr>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(a) </w:t>
      </w:r>
      <w:r>
        <w:rPr>
          <w:u w:val="single"/>
        </w:rPr>
        <w:t>Surrender of Note Upon Conversion.</w:t>
      </w:r>
      <w:r>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i/>
        </w:rPr>
        <w:t xml:space="preserve">prima facie, </w:t>
      </w:r>
      <w:r>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(b) </w:t>
      </w:r>
      <w:r>
        <w:rPr>
          <w:u w:val="single"/>
        </w:rPr>
        <w:t>Payment of Taxes</w:t>
      </w:r>
      <w:r>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1080"/>
        <w:jc w:val="both"/>
        <w:rPr/>
      </w:pPr>
      <w:r>
        <w:rPr/>
        <w:t>(c) </w:t>
      </w:r>
      <w:r>
        <w:rPr>
          <w:u w:val="single"/>
        </w:rPr>
        <w:t>Delivery of Common Stock Upon Conversion</w:t>
      </w:r>
      <w:r>
        <w:rPr/>
        <w:t>. Upon receipt by the Borrower from the Holder of an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(d) </w:t>
      </w:r>
      <w:r>
        <w:rPr>
          <w:u w:val="single"/>
        </w:rPr>
        <w:t>Obligation of Borrower to Deliver Common Stock.</w:t>
      </w:r>
      <w:r>
        <w:rPr/>
        <w:t xml:space="preserve"> At the time that the Holder submits the Notice of Conversion to the Borrower,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(e) </w:t>
      </w:r>
      <w:r>
        <w:rPr>
          <w:u w:val="single"/>
        </w:rPr>
        <w:t>Delivery of Conversion Shares by Electronic Transfer</w:t>
      </w:r>
      <w:r>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1.5 </w:t>
      </w:r>
      <w:r>
        <w:rPr>
          <w:u w:val="single"/>
        </w:rPr>
        <w:t>Concerning the Shares</w:t>
      </w:r>
      <w:r>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(which opinion shall be the Legal Counsel Opinion (as defined in the Purchase Agreement))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4(l)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299"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299"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At the option of the Holder, the sale, conveyance or disposition of all or substantially all of the assets of the Borrower, or the consolidation, merger or other business combination of the Borrower with or into any other Person (as defined below) or Persons when the Borrower is not the survivor shall be treated pursuant to Section 1.6(b) hereof. “Person” shall mean any individual, corporation, limited liability company, partnership, association, trust or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If, at any time when this Note is issued and outstanding and prior to conversion of all of this Note,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(each a “Fundamental Transaction”),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(a) it first gives, to the extent practicable, at least twenty (20) days prior written notice (but in any event at least ten (10)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(b) the resulting successor or acquiring entity (if not the Borrower) assumes by written instrument the obligations of this Section 1.6(b), and (c) the resulting successor or acquiring entity (if not the Borrower) is a publicly traded corporation whose common stock is listed for trading or quotation on any tier of the NASDAQ Stock Market, the New York Stock Exchange or the NYSE American. The above provisions shall similarly apply to successive consolidations, mergers, sales, transfers or share exchanges.</w:t>
      </w:r>
    </w:p>
    <w:p>
      <w:pPr>
        <w:pStyle w:val="TextBody"/>
        <w:bidi w:val="0"/>
        <w:spacing w:before="0" w:after="0"/>
        <w:ind w:left="246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prior to the date that an Event of Default occurs under this Note,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pursuant to the terms of this Note, including the amount of this Note to be prepaid by the Borrower in accordance with this Section 1.8, even if the Note is not yet convertible into Common Stock by the Holder under Section 1.1 of this Note.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the prepayment percentage set forth in the table immediately following this paragraph for the applicable prepayment period set forth in the table immediately following this paragraph (“Prepayment Percentage”)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the Prepayment Percentage multiplied by the accrued and unpaid interest on the Principal Amount to the Optional Prepayment Date.</w:t>
      </w:r>
    </w:p>
    <w:p>
      <w:pPr>
        <w:pStyle w:val="TextBody"/>
        <w:bidi w:val="0"/>
        <w:spacing w:before="0" w:after="0"/>
        <w:ind w:left="1739" w:right="0" w:hanging="0"/>
        <w:jc w:val="both"/>
        <w:rPr>
          <w:caps w:val="false"/>
          <w:smallCaps w:val="false"/>
        </w:rPr>
      </w:pPr>
      <w:r>
        <w:rPr>
          <w:caps w:val="false"/>
          <w:smallCaps w:val="false"/>
        </w:rPr>
        <w:t> </w:t>
      </w:r>
    </w:p>
    <w:tbl>
      <w:tblPr>
        <w:tblW w:w="10205" w:type="dxa"/>
        <w:jc w:val="left"/>
        <w:tblInd w:w="-10" w:type="dxa"/>
        <w:tblLayout w:type="fixed"/>
        <w:tblCellMar>
          <w:top w:w="60" w:type="dxa"/>
          <w:left w:w="60" w:type="dxa"/>
          <w:bottom w:w="0" w:type="dxa"/>
          <w:right w:w="60" w:type="dxa"/>
        </w:tblCellMar>
      </w:tblPr>
      <w:tblGrid>
        <w:gridCol w:w="192"/>
        <w:gridCol w:w="8269"/>
        <w:gridCol w:w="1744"/>
      </w:tblGrid>
      <w:tr>
        <w:trPr/>
        <w:tc>
          <w:tcPr>
            <w:tcW w:w="192"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left"/>
              <w:rPr/>
            </w:pPr>
            <w:r>
              <w:rPr/>
              <w:t> </w:t>
            </w:r>
          </w:p>
        </w:tc>
        <w:tc>
          <w:tcPr>
            <w:tcW w:w="8269"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b/>
              </w:rPr>
            </w:pPr>
            <w:r>
              <w:rPr>
                <w:b/>
              </w:rPr>
              <w:t>Prepayment Period</w:t>
            </w:r>
          </w:p>
        </w:tc>
        <w:tc>
          <w:tcPr>
            <w:tcW w:w="1744"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firstLine="60"/>
              <w:jc w:val="center"/>
              <w:rPr>
                <w:b/>
                <w:sz w:val="20"/>
              </w:rPr>
            </w:pPr>
            <w:r>
              <w:rPr>
                <w:b/>
                <w:sz w:val="20"/>
              </w:rPr>
              <w:t>Prepayment Percentage</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rPr>
            </w:pPr>
            <w:r>
              <w:rPr>
                <w:b/>
              </w:rPr>
              <w:t>1.</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Issue Date and continuing through the date that is 90 calendar days after the Issue Date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ind w:left="0" w:right="0" w:firstLine="60"/>
              <w:jc w:val="center"/>
              <w:rPr>
                <w:b w:val="false"/>
                <w:i w:val="false"/>
                <w:caps w:val="false"/>
                <w:smallCaps w:val="false"/>
                <w:sz w:val="20"/>
              </w:rPr>
            </w:pPr>
            <w:r>
              <w:rPr>
                <w:b w:val="false"/>
                <w:i w:val="false"/>
                <w:caps w:val="false"/>
                <w:smallCaps w:val="false"/>
                <w:sz w:val="20"/>
              </w:rPr>
              <w:t>120%</w:t>
            </w:r>
          </w:p>
        </w:tc>
      </w:tr>
      <w:tr>
        <w:trPr/>
        <w:tc>
          <w:tcPr>
            <w:tcW w:w="1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left"/>
              <w:rPr>
                <w:b/>
                <w:sz w:val="20"/>
              </w:rPr>
            </w:pPr>
            <w:r>
              <w:rPr>
                <w:b/>
                <w:sz w:val="20"/>
              </w:rPr>
              <w:t>2.</w:t>
            </w:r>
          </w:p>
        </w:tc>
        <w:tc>
          <w:tcPr>
            <w:tcW w:w="826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ind w:left="0" w:right="0" w:firstLine="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date that is 91 calendar days after the Issue Date and continuing until the date that an Event of Default occurs under this Note</w:t>
            </w:r>
          </w:p>
        </w:tc>
        <w:tc>
          <w:tcPr>
            <w:tcW w:w="1744"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r>
    </w:tbl>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Holder’s prior written consent, which consent shall not be unreasonably withheld or delayed, sell, divest, acquire, or dispose of all or substantially all of its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 subject, in each case (except Section 3.2 under this Note), to a five (5) business day cure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1.10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firstLine="206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actual transmittal, conveyance, or disclosure by the Borrower or its officers, directors, and/or affiliates of, material non-public information concerning the Borrower, to the Holder or its successors and assigns, which is not cured by Borrower’s filing of a Form 6-K pursuant to Regulation FD.</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30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or quoted on a Principal Market.</w:t>
      </w:r>
    </w:p>
    <w:p>
      <w:pPr>
        <w:pStyle w:val="TextBody"/>
        <w:bidi w:val="0"/>
        <w:spacing w:before="0" w:after="0"/>
        <w:ind w:left="173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150% (collectively the “Default Amount”), as well as all costs, including, without limitation, legal fees and expenses, of collection, all without demand, presentment or notice, all of which hereby are expressly waived by the Borrower.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36/39-36/40, 13th Floor, PS Tower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Sukhumvit 21 Road (Asoke)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Khlong Toei Nuea Sub-district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Watthana District, Bangkok 10110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Wing Fung Alfred Siu</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Alfred.Siu@newgenivf.com</w:t>
      </w:r>
    </w:p>
    <w:p>
      <w:pPr>
        <w:pStyle w:val="TextBody"/>
        <w:bidi w:val="0"/>
        <w:spacing w:before="0" w:after="0"/>
        <w:ind w:left="1307"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Woodland Hills, CA 91364</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team@whitelioncapital.com</w:t>
      </w:r>
    </w:p>
    <w:p>
      <w:pPr>
        <w:pStyle w:val="TextBody"/>
        <w:bidi w:val="0"/>
        <w:spacing w:before="0" w:after="0"/>
        <w:ind w:left="587"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360" w:right="0" w:firstLine="135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Orange County, California.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(as defined in the Purchase Agreement)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Orange County, California,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Orange County, California,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Holder to realize on any collateral or any other security, or to enforce a judgment or other court ruling in favor of the Holder,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36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The Company and the Holder shall be bound by the applicable terms of the Purchase Agreement, and the Transaction Documents entered into in connection herewith and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Common Stock Equivalents, or amendment to any Common Stock Equivalents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rate, and original issue discount. Notwithstanding the foregoing, this Section 4.13 of this Note shall not apply to (i) the Borrower’s offering of equity securities pursuant to a registration statement of the Borrower; (ii) in connection with the Borrower’s acquisition of all or part of another entity by stock acquisition, merger, consolidation or other reorganization, or by the purchase of all or part of the assets of such other entity approved by the Board of Directors of the Borrower and provided that such transactions are not for the purpose of raising capital); (iii) pursuant to the issuance, vesting and/or exercise of options, warrants, restricted stock, restricted stock units or other common stock purchase rights issued (or to be issued) to employees, officers, directors, or employees of the Borrower for compensatory purposes pursuant to any stock purchase plan, stock option plan, equity incentive plan or other plan or arrangement approved by the Board of Directors of the Borrower at any time; and (iv) pursuant to the exercise or conversion of Common Stock Equivalents outstanding prior to the Issue Date so long as (a) such Common Stock Equivalents were disclosed in the SEC Documents prior to the Issue Date and (b) the terms or provisions of such Common Stock Equivalents were not altered, amended, or changed on or after the Issue Date.</w:t>
      </w:r>
    </w:p>
    <w:p>
      <w:pPr>
        <w:pStyle w:val="TextBody"/>
        <w:bidi w:val="0"/>
        <w:spacing w:before="0" w:after="0"/>
        <w:ind w:left="30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300" w:right="0" w:firstLine="71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80"/>
        <w:gridCol w:w="2840"/>
        <w:gridCol w:w="75"/>
      </w:tblGrid>
      <w:tr>
        <w:trPr/>
        <w:tc>
          <w:tcPr>
            <w:tcW w:w="380" w:type="dxa"/>
            <w:tcBorders/>
            <w:vAlign w:val="center"/>
          </w:tcPr>
          <w:p>
            <w:pPr>
              <w:pStyle w:val="TableContents"/>
              <w:bidi w:val="0"/>
              <w:spacing w:before="0" w:after="283"/>
              <w:jc w:val="left"/>
              <w:rPr/>
            </w:pPr>
            <w:r>
              <w:rPr/>
              <w:t>By:</w:t>
            </w:r>
          </w:p>
        </w:tc>
        <w:tc>
          <w:tcPr>
            <w:tcW w:w="2840" w:type="dxa"/>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sz w:val="20"/>
                <w:u w:val="single"/>
                <w:effect w:val="none"/>
              </w:rPr>
            </w:pPr>
            <w:r>
              <w:rPr>
                <w:caps w:val="false"/>
                <w:smallCaps w:val="false"/>
                <w:strike w:val="false"/>
                <w:dstrike w:val="false"/>
                <w:sz w:val="20"/>
                <w:u w:val="single"/>
                <w:effect w:val="none"/>
              </w:rPr>
              <w:t>/s/ 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sz w:val="20"/>
              </w:rPr>
            </w:pPr>
            <w:r>
              <w:rPr>
                <w:sz w:val="20"/>
              </w:rPr>
              <w:t>Name:Wing Fung Alfred Siu</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 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NewGenIvf Group Limited</w:t>
      </w:r>
      <w:r>
        <w:rPr>
          <w:rFonts w:ascii="Times New Roman;Times;Serif" w:hAnsi="Times New Roman;Times;Serif"/>
          <w:b w:val="false"/>
          <w:i w:val="false"/>
          <w:caps w:val="false"/>
          <w:smallCaps w:val="false"/>
          <w:sz w:val="20"/>
        </w:rPr>
        <w:t>, a British Virgin Islands company (the “Borrower”), according to the conditions of the promissory note of the Borrower dated as of June 22,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Borrower shall electronically transmit the Common Stock issuable pursuant to this Notice of Conversion to the account of the undersigned or its nominee with DTC through its Deposit Withdrawal Agent Commission system (“DWAC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DTC Prime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p>
      <w:pPr>
        <w:pStyle w:val="TextBody"/>
        <w:bidi w:val="0"/>
        <w:spacing w:before="0" w:after="0"/>
        <w:ind w:left="0" w:right="0" w:hanging="0"/>
        <w:jc w:val="left"/>
        <w:rPr>
          <w:caps w:val="false"/>
          <w:smallCaps w:val="false"/>
        </w:rPr>
      </w:pPr>
      <w:r>
        <w:rPr>
          <w:caps w:val="false"/>
          <w:smallCaps w:val="false"/>
        </w:rPr>
        <w:t> </w:t>
      </w:r>
    </w:p>
    <w:tbl>
      <w:tblPr>
        <w:tblW w:w="8817" w:type="dxa"/>
        <w:jc w:val="left"/>
        <w:tblInd w:w="0" w:type="dxa"/>
        <w:tblLayout w:type="fixed"/>
        <w:tblCellMar>
          <w:top w:w="0" w:type="dxa"/>
          <w:left w:w="0" w:type="dxa"/>
          <w:bottom w:w="0" w:type="dxa"/>
          <w:right w:w="0" w:type="dxa"/>
        </w:tblCellMar>
      </w:tblPr>
      <w:tblGrid>
        <w:gridCol w:w="75"/>
        <w:gridCol w:w="6920"/>
        <w:gridCol w:w="1822"/>
      </w:tblGrid>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Date of Conversion:</w:t>
            </w:r>
          </w:p>
        </w:tc>
        <w:tc>
          <w:tcPr>
            <w:tcW w:w="182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left"/>
              <w:rPr>
                <w:sz w:val="20"/>
              </w:rPr>
            </w:pPr>
            <w:r>
              <w:rPr>
                <w:sz w:val="20"/>
              </w:rPr>
              <w:t>Applicable Conversion Price:</w:t>
            </w:r>
          </w:p>
        </w:tc>
        <w:tc>
          <w:tcPr>
            <w:tcW w:w="1822" w:type="dxa"/>
            <w:tcBorders/>
            <w:vAlign w:val="center"/>
          </w:tcPr>
          <w:p>
            <w:pPr>
              <w:pStyle w:val="TableContents"/>
              <w:bidi w:val="0"/>
              <w:spacing w:before="0" w:after="283"/>
              <w:jc w:val="left"/>
              <w:rPr>
                <w:sz w:val="20"/>
              </w:rPr>
            </w:pPr>
            <w:r>
              <w:rPr>
                <w:sz w:val="20"/>
              </w:rPr>
              <w:t>$</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pBdr/>
              <w:bidi w:val="0"/>
              <w:spacing w:before="0" w:after="283"/>
              <w:ind w:left="0" w:right="0" w:hanging="540"/>
              <w:jc w:val="both"/>
              <w:rPr>
                <w:sz w:val="20"/>
              </w:rPr>
            </w:pPr>
            <w:r>
              <w:rPr>
                <w:sz w:val="20"/>
              </w:rPr>
              <w:t>Number of Shares of Common Stock to be Issued Pursuant to Conversion of the Note:</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283"/>
              <w:jc w:val="both"/>
              <w:rPr>
                <w:sz w:val="20"/>
              </w:rPr>
            </w:pPr>
            <w:r>
              <w:rPr>
                <w:sz w:val="20"/>
              </w:rPr>
              <w:t>Amount of Principal Balance Due remaining Under the Note after this conversion:</w:t>
            </w:r>
          </w:p>
        </w:tc>
        <w:tc>
          <w:tcPr>
            <w:tcW w:w="1822" w:type="dxa"/>
            <w:tcBorders>
              <w:bottom w:val="single" w:sz="1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1747"/>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2" w:name="filename18.htm"/>
      <w:bookmarkStart w:id="63" w:name="ksfilename18"/>
      <w:bookmarkEnd w:id="62"/>
      <w:bookmarkEnd w:id="63"/>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3590"/>
        <w:gridCol w:w="60"/>
        <w:gridCol w:w="194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Subsidiaries</w:t>
            </w:r>
          </w:p>
        </w:tc>
        <w:tc>
          <w:tcPr>
            <w:tcW w:w="60" w:type="dxa"/>
            <w:tcBorders/>
            <w:tcMar>
              <w:bottom w:w="0" w:type="dxa"/>
            </w:tcMar>
            <w:vAlign w:val="center"/>
          </w:tcPr>
          <w:p>
            <w:pPr>
              <w:pStyle w:val="TableContents"/>
              <w:bidi w:val="0"/>
              <w:spacing w:before="0" w:after="283"/>
              <w:jc w:val="center"/>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 incorporation</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NewGenIvf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MicroSort Lab Services LLC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U.S.A.</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NewGenDigital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FFPGS (HK)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NewGenProperty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NewGenBiz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NewGenOman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Artsy Angel Charitable Foundation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Bi Clinic LLC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Kyrgyzstan</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First Fertility PGS Center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Thailand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First Fertility Phnom Penh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Cambodia</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Med Holdings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Thailand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Well Image Limited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r>
        <w:trPr/>
        <w:tc>
          <w:tcPr>
            <w:tcW w:w="35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HyFi Innovations Limited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9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hyperlink" Target="http://www.sec.gov/Archives/edgar/data/1981662/000121390025061753/ea024817101ex3-1_newgen.htm" TargetMode="External"/><Relationship Id="rId20" Type="http://schemas.openxmlformats.org/officeDocument/2006/relationships/hyperlink" Target="http://www.sec.gov/Archives/edgar/data/1981662/000121390024031644/ea020344201ex2-1_newgen.htm" TargetMode="External"/><Relationship Id="rId21" Type="http://schemas.openxmlformats.org/officeDocument/2006/relationships/hyperlink" Target="http://www.sec.gov/Archives/edgar/data/1981662/000121390024031644/ea020344201ex2-2_newgen.htm" TargetMode="External"/><Relationship Id="rId22" Type="http://schemas.openxmlformats.org/officeDocument/2006/relationships/hyperlink" Target="http://www.sec.gov/Archives/edgar/data/1868775/000110465922025006/tm225054d14_ex4-2.htm" TargetMode="External"/><Relationship Id="rId23" Type="http://schemas.openxmlformats.org/officeDocument/2006/relationships/hyperlink" Target="http://www.sec.gov/Archives/edgar/data/1981662/000121390023087023/ff42023a1ex4-7_aspac1.htm" TargetMode="External"/><Relationship Id="rId24" Type="http://schemas.openxmlformats.org/officeDocument/2006/relationships/hyperlink" Target="http://www.sec.gov/Archives/edgar/data/1868775/000121390023012495/ea173753ex2-1_aspac1acq.htm" TargetMode="External"/><Relationship Id="rId25" Type="http://schemas.openxmlformats.org/officeDocument/2006/relationships/hyperlink" Target="http://www.sec.gov/Archives/edgar/data/1868775/000121390023048612/ea180200ex2-1_aspac1acq.htm" TargetMode="External"/><Relationship Id="rId26" Type="http://schemas.openxmlformats.org/officeDocument/2006/relationships/hyperlink" Target="http://www.sec.gov/Archives/edgar/data/1868775/000121390023093702/ea189487ex2-1_aspac1acq.htm" TargetMode="External"/><Relationship Id="rId27" Type="http://schemas.openxmlformats.org/officeDocument/2006/relationships/hyperlink" Target="http://www.sec.gov/Archives/edgar/data/1868775/000121390024020466/ea0201275ex2-1_aspac1.htm" TargetMode="External"/><Relationship Id="rId28" Type="http://schemas.openxmlformats.org/officeDocument/2006/relationships/hyperlink" Target="http://www.sec.gov/Archives/edgar/data/1868775/000110465922025006/tm225054d14_ex10-5.htm" TargetMode="External"/><Relationship Id="rId29" Type="http://schemas.openxmlformats.org/officeDocument/2006/relationships/hyperlink" Target="http://www.sec.gov/Archives/edgar/data/1868775/000121390023012495/ea173753ex10-1_aspac1acq.htm" TargetMode="External"/><Relationship Id="rId30" Type="http://schemas.openxmlformats.org/officeDocument/2006/relationships/hyperlink" Target="http://www.sec.gov/Archives/edgar/data/1868775/000121390023012495/ea173753ex10-2_aspac1acq.htm" TargetMode="External"/><Relationship Id="rId31" Type="http://schemas.openxmlformats.org/officeDocument/2006/relationships/hyperlink" Target="http://www.sec.gov/Archives/edgar/data/1981662/000121390024031644/ea020344201ex4-8_newgen.htm" TargetMode="External"/><Relationship Id="rId32" Type="http://schemas.openxmlformats.org/officeDocument/2006/relationships/hyperlink" Target="http://www.sec.gov/Archives/edgar/data/1868775/000121390024020466/ea0201275ex10-1_aspac1.htm" TargetMode="External"/><Relationship Id="rId33" Type="http://schemas.openxmlformats.org/officeDocument/2006/relationships/hyperlink" Target="http://www.sec.gov/Archives/edgar/data/1868775/000121390024020466/ea0201275ex10-2_aspac1.htm" TargetMode="External"/><Relationship Id="rId34" Type="http://schemas.openxmlformats.org/officeDocument/2006/relationships/hyperlink" Target="http://www.sec.gov/Archives/edgar/data/1868775/000121390024020466/ea0201275ex10-3_aspac1.htm" TargetMode="External"/><Relationship Id="rId35" Type="http://schemas.openxmlformats.org/officeDocument/2006/relationships/hyperlink" Target="http://www.sec.gov/Archives/edgar/data/1981662/000101376223007357/ff42023ex10-19_aspac1.htm" TargetMode="External"/><Relationship Id="rId36" Type="http://schemas.openxmlformats.org/officeDocument/2006/relationships/hyperlink" Target="http://www.sec.gov/Archives/edgar/data/1981662/000101376223007357/ff42023ex10-20_aspac1.htm" TargetMode="External"/><Relationship Id="rId37" Type="http://schemas.openxmlformats.org/officeDocument/2006/relationships/hyperlink" Target="http://www.sec.gov/Archives/edgar/data/1981662/000101376223007357/ff42023ex10-21_aspac1.htm" TargetMode="External"/><Relationship Id="rId38" Type="http://schemas.openxmlformats.org/officeDocument/2006/relationships/hyperlink" Target="http://www.sec.gov/Archives/edgar/data/1981662/000101376223007357/ff42023ex10-22_aspac1.htm" TargetMode="External"/><Relationship Id="rId39" Type="http://schemas.openxmlformats.org/officeDocument/2006/relationships/hyperlink" Target="http://www.sec.gov/Archives/edgar/data/1981662/000101376223007357/ff42023ex10-23_aspac1.htm" TargetMode="External"/><Relationship Id="rId40" Type="http://schemas.openxmlformats.org/officeDocument/2006/relationships/hyperlink" Target="http://www.sec.gov/Archives/edgar/data/1981662/000101376223007357/ff42023ex10-24_aspac1.htm" TargetMode="External"/><Relationship Id="rId41" Type="http://schemas.openxmlformats.org/officeDocument/2006/relationships/hyperlink" Target="http://www.sec.gov/Archives/edgar/data/1981662/000101376223007357/ff42023ex10-25_aspac1.htm" TargetMode="External"/><Relationship Id="rId42" Type="http://schemas.openxmlformats.org/officeDocument/2006/relationships/hyperlink" Target="http://www.sec.gov/Archives/edgar/data/1981662/000101376223007357/ff42023ex10-26_aspac1.htm" TargetMode="External"/><Relationship Id="rId43" Type="http://schemas.openxmlformats.org/officeDocument/2006/relationships/hyperlink" Target="http://www.sec.gov/Archives/edgar/data/1981662/000101376223007357/ff42023ex10-27_aspac1.htm" TargetMode="External"/><Relationship Id="rId44" Type="http://schemas.openxmlformats.org/officeDocument/2006/relationships/hyperlink" Target="http://www.sec.gov/Archives/edgar/data/1981662/000121390024031644/ea020344201ex4-21_newgen.htm" TargetMode="External"/><Relationship Id="rId45" Type="http://schemas.openxmlformats.org/officeDocument/2006/relationships/hyperlink" Target="http://www.sec.gov/Archives/edgar/data/1868775/000121390024020466/ea0201275ex10-1_aspac1.htm" TargetMode="External"/><Relationship Id="rId46" Type="http://schemas.openxmlformats.org/officeDocument/2006/relationships/hyperlink" Target="http://www.sec.gov/Archives/edgar/data/1868775/000121390024020466/ea0201275ex10-2_aspac1.htm" TargetMode="External"/><Relationship Id="rId47" Type="http://schemas.openxmlformats.org/officeDocument/2006/relationships/hyperlink" Target="http://www.sec.gov/Archives/edgar/data/1981662/000121390024069887/ea021151801ex4-1_newgen.htm" TargetMode="External"/><Relationship Id="rId48" Type="http://schemas.openxmlformats.org/officeDocument/2006/relationships/hyperlink" Target="http://www.sec.gov/Archives/edgar/data/1981662/000121390024076330/ea021292701ex10-25_newgen.htm" TargetMode="External"/><Relationship Id="rId49" Type="http://schemas.openxmlformats.org/officeDocument/2006/relationships/hyperlink" Target="http://www.sec.gov/Archives/edgar/data/1981662/000121390024074614/ea021297701ex4-1_newgen.htm" TargetMode="External"/><Relationship Id="rId50" Type="http://schemas.openxmlformats.org/officeDocument/2006/relationships/hyperlink" Target="http://www.sec.gov/Archives/edgar/data/1981662/000121390024101682/ea022147001ex10-27_newgen.htm" TargetMode="External"/><Relationship Id="rId51" Type="http://schemas.openxmlformats.org/officeDocument/2006/relationships/hyperlink" Target="http://www.sec.gov/Archives/edgar/data/1981662/000121390024101682/ea022147001ex10-28_newgen.htm" TargetMode="External"/><Relationship Id="rId52" Type="http://schemas.openxmlformats.org/officeDocument/2006/relationships/hyperlink" Target="http://www.sec.gov/Archives/edgar/data/1981662/000121390024099047/ea022145801ex4-1_newgen.htm" TargetMode="External"/><Relationship Id="rId53" Type="http://schemas.openxmlformats.org/officeDocument/2006/relationships/hyperlink" Target="http://www.sec.gov/Archives/edgar/data/1981662/000121390025021404/ea023310401ex10-30_newgen.htm" TargetMode="External"/><Relationship Id="rId54" Type="http://schemas.openxmlformats.org/officeDocument/2006/relationships/hyperlink" Target="http://www.sec.gov/Archives/edgar/data/1981662/000121390025021404/ea023310401ex10-31_newgen.htm" TargetMode="External"/><Relationship Id="rId55" Type="http://schemas.openxmlformats.org/officeDocument/2006/relationships/hyperlink" Target="http://www.sec.gov/Archives/edgar/data/1981662/000121390025028370/ea023707201ex4-1_newgen.htm" TargetMode="External"/><Relationship Id="rId56" Type="http://schemas.openxmlformats.org/officeDocument/2006/relationships/hyperlink" Target="https://www.sec.gov/Archives/edgar/data/1981662/000121390026061805/ea029230001ex10-1.htm" TargetMode="External"/><Relationship Id="rId57" Type="http://schemas.openxmlformats.org/officeDocument/2006/relationships/hyperlink" Target="https://www.sec.gov/Archives/edgar/data/1981662/000121390026061805/ea029230001ex10-2.htm" TargetMode="External"/><Relationship Id="rId58" Type="http://schemas.openxmlformats.org/officeDocument/2006/relationships/hyperlink" Target="https://www.sec.gov/Archives/edgar/data/1981662/000121390026065035/ea029360601ex10-1.htm" TargetMode="External"/><Relationship Id="rId59" Type="http://schemas.openxmlformats.org/officeDocument/2006/relationships/hyperlink" Target="https://www.sec.gov/Archives/edgar/data/1981662/000121390026069883/ea029516101ex10-1.htm" TargetMode="External"/><Relationship Id="rId60" Type="http://schemas.openxmlformats.org/officeDocument/2006/relationships/hyperlink" Target="http://www.sec.gov/Archives/edgar/data/1981662/000121390024070853/ea021122901ex97-1_newgen.htm"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297158</Words>
  <Characters>1581534</Characters>
  <CharactersWithSpaces>1882756</CharactersWithSpaces>
  <Paragraphs>19480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