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Siu Wing Fung Alfred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1/F, PIER 2, CENTRAL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KONG</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HONG KONG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NewGenIvf Group Ltd</w:t>
              </w:r>
            </w:hyperlink>
            <w:r>
              <w:rPr/>
              <w:t xml:space="preserve"> [ </w:t>
            </w:r>
            <w:r>
              <w:rPr>
                <w:rFonts w:ascii="Times;serif" w:hAnsi="Times;serif"/>
                <w:color w:val="0000FF"/>
                <w:sz w:val="24"/>
                <w:shd w:fill="FFFFFF" w:val="clear"/>
              </w:rPr>
              <w:t>NIVF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2"/>
        <w:gridCol w:w="904"/>
        <w:gridCol w:w="774"/>
        <w:gridCol w:w="600"/>
        <w:gridCol w:w="343"/>
        <w:gridCol w:w="1006"/>
        <w:gridCol w:w="483"/>
        <w:gridCol w:w="836"/>
        <w:gridCol w:w="1171"/>
        <w:gridCol w:w="979"/>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139,811</w:t>
            </w:r>
          </w:p>
        </w:tc>
        <w:tc>
          <w:tcPr>
            <w:tcW w:w="4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146,132</w:t>
            </w:r>
            <w:r>
              <w:rPr>
                <w:rFonts w:ascii="Times;serif" w:hAnsi="Times;serif"/>
                <w:color w:val="008000"/>
                <w:position w:val="7"/>
                <w:sz w:val="16"/>
                <w:sz w:val="20"/>
                <w:shd w:fill="FFFFFF" w:val="clear"/>
              </w:rPr>
              <w:t>(2)</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9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61"/>
        <w:gridCol w:w="801"/>
        <w:gridCol w:w="801"/>
        <w:gridCol w:w="936"/>
        <w:gridCol w:w="831"/>
        <w:gridCol w:w="846"/>
      </w:tblGrid>
      <w:tr>
        <w:trPr>
          <w:tblHeader w:val="true"/>
        </w:trPr>
        <w:tc>
          <w:tcPr>
            <w:tcW w:w="119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49,098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07/08/2033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90,713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08/17/2033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90,713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Class B Ordinary Shares were acquired through the exercise of vested stock options ("Options"). The Options were granted pursuant to the Issuer's 2024 Share Incentive Plan and the employee share option agreement, dated July 8, 2026 and August 17, 2026, between the Issuer and the Reporting Person (the "Option Agreement"). The options were exercised by the Reporting Person on October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 amounts reported herein have been adjusted to reflect two 1-for-3 reverse-stock-splits implemented by the Issuer on July 6, 2026 and September 1, 2026. The amount of securities beneficially owned following the reported transaction reflects: (i) 139,811 Class B Ordinary Shares issued under this exercise, and (ii) 6,321 Class B Ordinary Shares historically held (adjusted from the 56,881 pre-reverse-split shares previously reported).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Wing Fung Alfred Siu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9969" TargetMode="External"/><Relationship Id="rId5" Type="http://schemas.openxmlformats.org/officeDocument/2006/relationships/hyperlink" Target="http://www.sec.gov/cgi-bin/browse-edgar?action=getcompany&amp;CIK=00019816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4019</Characters>
  <CharactersWithSpaces>4664</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