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July 2026</w:t>
      </w:r>
    </w:p>
    <w:p>
      <w:pPr>
        <w:spacing w:after="0" w:line="22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001-42004</w:t>
      </w:r>
    </w:p>
    <w:p>
      <w:pPr>
        <w:spacing w:after="0" w:line="2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May 4, 2026, the Board of Directors of NewGenIvf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approved a reverse stock split of all of the Company’s issued and unissued shares, including the Class A ordinary shares with no par value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Class B ordinary shares with no par value, and preferred shares with no par value, at an exchange ratio of one (1) share for three (3) shares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Pursuant to the BVI Business Companies Act (as amended) and the Company’s M&amp;A, the Company’s Board of Directors is authorized to effect the Reverse Share Split without the approval of the Company’s shareholders. Accordingly, no shareholder vote, consent or approval is required or will be sought in respect of the Reverse Share Split.</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Reverse Stock Split will be effective at 12:01 a.m. (ET) on July 6, 2026 (the “Record Date”) and the Company’s Class A Ordinary Shares will begin trading on the Nasdaq Capital Market (“Nasdaq”) on a split-adjusted basis at the opening of market on July 6, 2026.</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Class A Ordinary Shares will continue to trade on the Nasdaq Capital Market under the trading symbol “NIVF” but will trade under the following new CUSIP number: G0544E501. The Reverse Stock Split will reduce the number of outstanding Class A Ordinary Shares of the Company from 10,259,764 to approximately 3,419,922 Class A Ordinary Shares. Every three (3) outstanding Class A Ordinary Shares will be combined into and automatically become one post-Reverse Stock Split Class A Ordinary Share. No fractional shares will be issued in connection with the Reverse Stock Split. Instead, the Company will issue one full post-Reverse Stock Split Class A Ordinary Share to any shareholder at a participant level who would have been entitled to receive a fractional share as a result of the process.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After the Reverse Stock Split, all options, warrants and other convertible securities of the Company outstanding immediately prior to the Reverse Stock Split will be adjusted by dividing the number of Class A Ordinary Shares into which the options, warrants and other convertible securities are exercisable or convertible by three (3) in accordance with the terms of the plans, agreements or arrangements governing such options, warrants and other convertible securities and subject to rounding to the nearest whole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amendment to the Company’s M&amp;A will be required to be made in relation to the Reverse Share Split, as (i) the Reverse Share Split will have no effect upon the par value of the ordinary shares, which is currently nil and will remain at nil after the Reverse Share Split is effected, and (ii) the number of shares authorized to be issued under the Company’s M&amp;A is unlimited and therefore will not be affected by the Reverse Share Split.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2026-07-01T10:30:59Z</dcterms:created>
  <dcterms:modified xsi:type="dcterms:W3CDTF">2026-07-01T10:30:59Z</dcterms:modified>
</cp:coreProperties>
</file>