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ea0301325-f1_newgenivf.htm"/>
      <w:bookmarkStart w:id="1" w:name="ksea0301325f1_newgenivf"/>
      <w:bookmarkEnd w:id="0"/>
      <w:bookmarkEnd w:id="1"/>
      <w:r>
        <w:rPr>
          <w:rFonts w:ascii="Times New Roman;Times;Serif" w:hAnsi="Times New Roman;Times;Serif"/>
          <w:b/>
          <w:i w:val="false"/>
          <w:caps w:val="false"/>
          <w:smallCaps w:val="false"/>
          <w:sz w:val="20"/>
        </w:rPr>
        <w:t>As publicly filed with the Securities and Exchange Commission on August 20, 2026</w:t>
      </w:r>
    </w:p>
    <w:p>
      <w:pPr>
        <w:pStyle w:val="TextBody"/>
        <w:bidi w:val="0"/>
        <w:spacing w:before="0" w:after="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200" w:type="dxa"/>
        <w:jc w:val="left"/>
        <w:tblInd w:w="0" w:type="dxa"/>
        <w:tblLayout w:type="fixed"/>
        <w:tblCellMar>
          <w:top w:w="0" w:type="dxa"/>
          <w:left w:w="0" w:type="dxa"/>
          <w:bottom w:w="28" w:type="dxa"/>
          <w:right w:w="0" w:type="dxa"/>
        </w:tblCellMar>
      </w:tblPr>
      <w:tblGrid>
        <w:gridCol w:w="2615"/>
        <w:gridCol w:w="90"/>
        <w:gridCol w:w="2435"/>
        <w:gridCol w:w="90"/>
        <w:gridCol w:w="1970"/>
      </w:tblGrid>
      <w:tr>
        <w:trPr/>
        <w:tc>
          <w:tcPr>
            <w:tcW w:w="26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8090</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61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3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(Primary Standard Industrial</w:t>
              <w:br/>
              <w:t>Classification Code Number)</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Fung Alfred Siu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36/39-36/40, 13th Floor, PS Tower</w:t>
        <w:br/>
        <w:t>Sukhumvit 21 Road (Asoke)</w:t>
        <w:br/>
        <w:t>Khlong Toei Nuea Sub-district</w:t>
        <w:br/>
        <w:t>Watthana District, Bangkok 10110</w:t>
        <w:br/>
        <w:t>Thailand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+1 (212) 537-4406</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including zip code, and telephone number,</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Street, 18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947-7200</w:t>
      </w:r>
    </w:p>
    <w:p>
      <w:pPr>
        <w:pStyle w:val="TextBody"/>
        <w:shd w:fill="FFFFFF" w:val="clea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3515"/>
        <w:gridCol w:w="90"/>
        <w:gridCol w:w="2705"/>
      </w:tblGrid>
      <w:tr>
        <w:trPr/>
        <w:tc>
          <w:tcPr>
            <w:tcW w:w="35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 Lin, Esq.</w:t>
              <w:br/>
              <w:t>Han Kun Law Offices LLP</w:t>
              <w:br/>
              <w:t>Rooms 4301-10, 43/F., Gloucester Tower</w:t>
              <w:br/>
              <w:t>The Landmark</w:t>
              <w:br/>
              <w:t>15 Queen’s Road Central</w:t>
              <w:br/>
              <w:t>Hong Kong</w:t>
              <w:br/>
              <w:t>+852 2820 5600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Anthony W. Basch, Esq.</w:t>
              <w:br/>
              <w:t xml:space="preserve">Alexander W. Powell Jr., Esq. </w:t>
              <w:br/>
              <w:t xml:space="preserve">Chunyan Shuai, Esq. </w:t>
              <w:br/>
              <w:t xml:space="preserve">Kaufman &amp; Canoles P.C. </w:t>
              <w:br/>
              <w:t xml:space="preserve">Two James Center, 14th Floor </w:t>
              <w:br/>
              <w:t xml:space="preserve">1021 East Cary Street </w:t>
              <w:br/>
              <w:t xml:space="preserve">Richmond, Virginia 23219 </w:t>
              <w:br/>
              <w:t>Tel: +1 (804) 771-5700</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As soon as practicable after the effective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any of the securities being registered on this form are to be offered on a delayed or continuous basis pursuant to Rule 415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7815" w:type="dxa"/>
        <w:jc w:val="left"/>
        <w:tblInd w:w="0" w:type="dxa"/>
        <w:tblLayout w:type="fixed"/>
        <w:tblCellMar>
          <w:top w:w="0" w:type="dxa"/>
          <w:left w:w="0" w:type="dxa"/>
          <w:bottom w:w="0" w:type="dxa"/>
          <w:right w:w="0" w:type="dxa"/>
        </w:tblCellMar>
      </w:tblPr>
      <w:tblGrid>
        <w:gridCol w:w="2780"/>
        <w:gridCol w:w="2660"/>
        <w:gridCol w:w="2375"/>
      </w:tblGrid>
      <w:tr>
        <w:trPr/>
        <w:tc>
          <w:tcPr>
            <w:tcW w:w="2780"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237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AUGUST 20,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 Class A Ordinary Shares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Pre-Funded Warrants to Purchase Up to [●] Class A Ordinary Shares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 Class A Ordinary Shares Underlying the Pre-Funded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954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457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on a “best efforts” basis, up to [●] Class A Ordinary Shares (the “Class A Ordinary Shares”) at an assumed public offering price of $[●] per share, which was the last reported sale price of our Class A Ordinary Shares on The Nasdaq Capital Market on [●], 2026. We are also offering to each purchaser whose purchase of Class A Ordinary Shares in this offering would otherwise result in the purchaser, together with its affiliates and certain related parties, beneficially owning more than 4.99% (or, at the election of the purchaser, 9.99%) of our outstanding Class A Ordinary Shares immediately following the consummation of this offering, the opportunity to purchase, in lieu of Class A Ordinary Shares, pre-funded warrants to purchase Class A Ordinary Shares (the “Pre-Funded Warrants”). The purchase price of each Pre-Funded Warrant will equal the public offering price per Class A Ordinary Share less the $0.00001 per share exercise price of the Pre-Funded Warrant. The Pre-Funded Warrants will be immediately exercisable, subject to the beneficial ownership limitation described herein, and may be exercised at any time until exercised in full. For each Pre-Funded Warrant we sell, the number of Class A Ordinary Shares we are offering will be decreased on a one-for-one basis. See “Description of Securities We Are Offering.”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statement of which this prospectus forms a part, we are also registering up to [●] Class A Ordinary Shares issuable upon exercise of the Pre-Funded Warrants offered hereby. No units, common warrants or other securities are being offered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The number of Class A Ordinary Shares and Class B Ordinary Shares currently issued and outstanding was 6,367,870 and 37,925 as of August 19, 2026. Each Class A Ordinary Share is entitled to one (1) vote and each Class B Ordinary Share is entitled to one hundred (100) votes. Each Class B Ordinary Share is convertible into one Class A Ordinary Share at any time by the holder thereof, while Class A Ordinary Shares are not convertible into Class B Ordinary Shares under any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for the offered securities will be determined at the time of pricing and may be at a discount to the current market price at the time. Therefore, the assumed public offering price used throughout this prospectus may not be indicative of the final offering price. The final public offering price will be determined through negotiation between us, the placement agent and the investors based upon a number of factors, including our history and our prospects, the industry in which we operate, our past and present operating results, the previous experience of our executive officers and the general condition of the securities markets at the time of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best-efforts offering and the placement agent does not have an obligation to purchase any securities.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 number of securities sufficient to pursue the business goals outlined in this prospectus. Because there is no minimum offering amount, investors could be in a position where they have invested in our company, but we are unable to fulfill our objectives due to a lack of interest in this offering. Also, any proceeds from the sale of securities offered by us will be available for our immediate use despite uncertainty about whether we would be able to use such funds to effectively implement our business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 2026, unless we decide to terminate the offering (which we may do at any time in our discretion) prior to that date. We will have one closing for all the securities purchased in this offering. The public offering price per Class A Ordinary Share and per Pre-Funded Warrant will be fixed for the duration of this offering. The offering will settle delivery versus payment (“DVP”). Accordingly, we and the placement agent have not made any arrangements to place investor funds in an escrow account or trust account since the placement agent will not receive investor funds in connection with the sale of the securities offered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this offering, and assuming that the Pre-Funded Warrants, if any, are exercised in full, our issued and outstanding shares will consist of [●] Class A Ordinary Shares and 37,925 Class 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issuances of Class B Ordinary Shares may be dilutive to holders of our Class A Ordinary Shares. It could have the effect of increasing the overall voting power of Class B Shareholders relative to Class A Shareholders, diluting, and diminishing the influence and control of Class A Shareholders over our company’s affairs.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currently trade on The Nasdaq Capital Market under the symbol “NIVF.” The last reported closing price of our Class A Ordinary Shares August 19, 2026 was $0.56.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 “foreign private issuer,” as defined in Rule 405 under the U.S. Securities Act of 1933, as amended, or the Securities Act, thus we are eligible for reduced public company reporting requirements, and are permitted to rely on certain exemptions from Nasdaq corporate governance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(“NewGenIvf,” “Company,” “our,” “we,” or “us”) is a British Virgin Islands holding company with our operations conducted through our subsidiaries in the Cayman Islands (our wholly-owned subsidiary, NewGenIvf Limited), British Virgin Islands (our wholly-owned subsidiaries, NewGenDigital Limited and NewGenProperty Limited) and the United States of America (our wholly-owned subsidiary, Microsort Lab Services LLC) and in Asia (Hong Kong, Thailand, Kyrgyzstan, and the Kingdom of Cambodia). Under this holding company structure, investors are purchasing equity interests in NewGenIvf, a British Virgin Islands holding company, and obtaining indirect ownership interests in our Cayman Islands, British Virgin Islands, United States of America and Asian operating subsidiaries. Substantially all of NewGenIvf’s operations and assets are based in Thailand, Cambodia and Kyrgyzstan. As a result, its businesses and operations are subject to the changing economic conditions prevailing from time to time in such countries.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received a notice from the Staff of Nasdaq notifying the Company that its securities are subject to delisting due to the MVPHS Deficiency and MLVS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continued listing requirements, subject to meeting specific compliance criteria within designated timeframes. As of the date of this prospectus, in accordance with the Panel’s extension, the Company has already made progress on its compliance plan, including carrying out a 1-for-20 reverse stock split of its issued and unissued shares which was effected on February 11, 2025.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2025, the Company effected a 1-for-10 reverse stock split of its issued and unissued shares. On August 4, 2025, the Company carried out a 1-for-5 reverse stock split of its issued and unissued shares. On December 1, 2025, the Company carried out a 1-for-5 reverse stock split of its issued and unissued shares. On January 26, 2026, the Company effected a 1-for-3 reverse stock split of its issued and unissued shares. On March 16, 2026, the Company effected a 1-for-4 reverse stock split of its issued and unissued shares. On July 6, 2026, the Company effected a 1-for-3 reverse stock split of its issued and unissued shares. On September 1, 2026, the Company will be effecting a 1-for-3 reverse stock split of its issued and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contained or incorporated in this prospectus is accurate only as of the date of this prospectus, regardless of the time of delivery of this prospectus or any sale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being offered pursuant to this prospectus involves a high degree of risk, including the risk of losing your entire investment.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starting on page 32 to read about the factors you should consider before buying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or the SEC, nor any state or other foreign securities commission has approved nor disapproved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21"/>
        <w:gridCol w:w="90"/>
        <w:gridCol w:w="443"/>
        <w:gridCol w:w="1330"/>
        <w:gridCol w:w="90"/>
        <w:gridCol w:w="90"/>
        <w:gridCol w:w="385"/>
        <w:gridCol w:w="1935"/>
        <w:gridCol w:w="90"/>
        <w:gridCol w:w="90"/>
        <w:gridCol w:w="299"/>
        <w:gridCol w:w="1006"/>
        <w:gridCol w:w="136"/>
      </w:tblGrid>
      <w:tr>
        <w:trPr/>
        <w:tc>
          <w:tcPr>
            <w:tcW w:w="422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73"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PER </w:t>
              <w:br/>
              <w:t>CLASS A</w:t>
              <w:br/>
              <w:t>ORDINARY SHARE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2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PER</w:t>
              <w:br/>
              <w:t>PRE-FUNDED WARRANT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TOTAL</w:t>
              <w:br/>
              <w:t>GROSS</w:t>
              <w:br/>
              <w:t>PROCEEDS</w:t>
            </w:r>
            <w:r>
              <w:rPr>
                <w:b/>
                <w:position w:val="7"/>
                <w:sz w:val="16"/>
                <w:sz w:val="20"/>
              </w:rPr>
              <w:t>(4)</w:t>
            </w:r>
          </w:p>
        </w:tc>
        <w:tc>
          <w:tcPr>
            <w:tcW w:w="136" w:type="dxa"/>
            <w:tcBorders/>
            <w:vAlign w:val="center"/>
          </w:tcPr>
          <w:p>
            <w:pPr>
              <w:pStyle w:val="TableContents"/>
              <w:bidi w:val="0"/>
              <w:spacing w:before="0" w:after="283"/>
              <w:jc w:val="center"/>
              <w:rPr/>
            </w:pPr>
            <w:r>
              <w:rPr/>
              <w:t> </w:t>
            </w:r>
          </w:p>
        </w:tc>
      </w:tr>
      <w:tr>
        <w:trPr/>
        <w:tc>
          <w:tcPr>
            <w:tcW w:w="4221" w:type="dxa"/>
            <w:tcBorders/>
            <w:shd w:fill="CCEEFF" w:val="clear"/>
            <w:vAlign w:val="center"/>
          </w:tcPr>
          <w:p>
            <w:pPr>
              <w:pStyle w:val="TableContents"/>
              <w:bidi w:val="0"/>
              <w:spacing w:before="0" w:after="283"/>
              <w:jc w:val="left"/>
              <w:rPr/>
            </w:pPr>
            <w:r>
              <w:rPr/>
              <w:t>Public offering price</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r>
      <w:tr>
        <w:trPr/>
        <w:tc>
          <w:tcPr>
            <w:tcW w:w="4221" w:type="dxa"/>
            <w:tcBorders/>
            <w:shd w:fill="FFFFFF" w:val="clear"/>
            <w:vAlign w:val="center"/>
          </w:tcPr>
          <w:p>
            <w:pPr>
              <w:pStyle w:val="TableContents"/>
              <w:bidi w:val="0"/>
              <w:spacing w:before="0" w:after="283"/>
              <w:jc w:val="left"/>
              <w:rPr/>
            </w:pPr>
            <w:r>
              <w:rPr/>
              <w:t>Placement Agent Fees</w:t>
            </w:r>
            <w:r>
              <w:rPr>
                <w:position w:val="8"/>
                <w:sz w:val="19"/>
              </w:rPr>
              <w:t xml:space="preserve">(2) </w:t>
            </w:r>
          </w:p>
        </w:tc>
        <w:tc>
          <w:tcPr>
            <w:tcW w:w="9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w:t>
            </w:r>
          </w:p>
        </w:tc>
        <w:tc>
          <w:tcPr>
            <w:tcW w:w="13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93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w:t>
            </w:r>
          </w:p>
        </w:tc>
        <w:tc>
          <w:tcPr>
            <w:tcW w:w="1006"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r>
      <w:tr>
        <w:trPr/>
        <w:tc>
          <w:tcPr>
            <w:tcW w:w="4221" w:type="dxa"/>
            <w:tcBorders/>
            <w:shd w:fill="CCEEFF" w:val="clear"/>
            <w:vAlign w:val="center"/>
          </w:tcPr>
          <w:p>
            <w:pPr>
              <w:pStyle w:val="TableContents"/>
              <w:bidi w:val="0"/>
              <w:spacing w:before="0" w:after="283"/>
              <w:jc w:val="left"/>
              <w:rPr/>
            </w:pPr>
            <w:r>
              <w:rPr/>
              <w:t>Proceeds to the Company before expenses</w:t>
            </w:r>
            <w:r>
              <w:rPr>
                <w:position w:val="8"/>
                <w:sz w:val="19"/>
              </w:rPr>
              <w:t>(3)</w:t>
            </w:r>
          </w:p>
        </w:tc>
        <w:tc>
          <w:tcPr>
            <w:tcW w:w="9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3"/>
        <w:gridCol w:w="9854"/>
      </w:tblGrid>
      <w:tr>
        <w:trPr/>
        <w:tc>
          <w:tcPr>
            <w:tcW w:w="6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w:t>
            </w:r>
          </w:p>
        </w:tc>
        <w:tc>
          <w:tcPr>
            <w:tcW w:w="9854" w:type="dxa"/>
            <w:tcBorders/>
            <w:vAlign w:val="center"/>
          </w:tcPr>
          <w:p>
            <w:pPr>
              <w:pStyle w:val="TableContents"/>
              <w:bidi w:val="0"/>
              <w:spacing w:before="0" w:after="283"/>
              <w:jc w:val="both"/>
              <w:rPr/>
            </w:pPr>
            <w:r>
              <w:rPr/>
              <w:t>Offering price per Class A Ordinary Share is assumed to be US$[●], which is the last reported sale price of our Class A Ordinary Share, as reported on the Nasdaq Capital Market on [●],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(2)</w:t>
            </w:r>
          </w:p>
        </w:tc>
        <w:tc>
          <w:tcPr>
            <w:tcW w:w="9874" w:type="dxa"/>
            <w:tcBorders/>
            <w:vAlign w:val="center"/>
          </w:tcPr>
          <w:p>
            <w:pPr>
              <w:pStyle w:val="TableContents"/>
              <w:bidi w:val="0"/>
              <w:spacing w:before="0" w:after="283"/>
              <w:jc w:val="both"/>
              <w:rPr/>
            </w:pPr>
            <w:r>
              <w:rPr/>
              <w:t>The placement agent for this offering is Aegis Capital Corp. We have agreed to pay Aegis Capital Corp. a cash placement fee equal to eight percent (8.0%) of the gross proceeds of this offering. We have also agreed to reimburse the placement agent for certain of its expenses. See “Plan of Distribution” for a description of the compensation payable to the placement agent.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(3)</w:t>
            </w:r>
          </w:p>
        </w:tc>
        <w:tc>
          <w:tcPr>
            <w:tcW w:w="9830" w:type="dxa"/>
            <w:tcBorders/>
            <w:vAlign w:val="center"/>
          </w:tcPr>
          <w:p>
            <w:pPr>
              <w:pStyle w:val="TableContents"/>
              <w:bidi w:val="0"/>
              <w:spacing w:before="0" w:after="283"/>
              <w:jc w:val="both"/>
              <w:rPr/>
            </w:pPr>
            <w:r>
              <w:rPr/>
              <w:t>The total amount of expenses related to this offering is set forth in the section titled “Expenses Relating to This Offering”.</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(4)</w:t>
            </w:r>
          </w:p>
        </w:tc>
        <w:tc>
          <w:tcPr>
            <w:tcW w:w="9870" w:type="dxa"/>
            <w:tcBorders/>
            <w:vAlign w:val="center"/>
          </w:tcPr>
          <w:p>
            <w:pPr>
              <w:pStyle w:val="TableContents"/>
              <w:bidi w:val="0"/>
              <w:spacing w:before="0" w:after="283"/>
              <w:jc w:val="both"/>
              <w:rPr/>
            </w:pPr>
            <w:r>
              <w:rPr/>
              <w:t>Total gross proceeds are calculated assuming the sale of all of the securities being offered in this offering, including any Pre-Funded Warrants sold in lieu of Class A Ordinary Shares. Gross proceeds do not include the nominal exercise price of $0.00001 per share payable upon exercise of the Pre-Funded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complete this offering, net proceeds will be delivered to us on the closing date. We expect to deliver the securities against payment in U.S. dollars in New York, NY to investors on or about [●], 2026, subject to satisfaction of certain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Aegis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325"/>
        <w:gridCol w:w="90"/>
        <w:gridCol w:w="515"/>
      </w:tblGrid>
      <w:tr>
        <w:trPr/>
        <w:tc>
          <w:tcPr>
            <w:tcW w:w="7325"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325" w:type="dxa"/>
            <w:tcBorders/>
            <w:shd w:fill="CCEEFF" w:val="clear"/>
            <w:vAlign w:val="center"/>
          </w:tcPr>
          <w:p>
            <w:pPr>
              <w:pStyle w:val="TableContents"/>
              <w:bidi w:val="0"/>
              <w:spacing w:before="0" w:after="283"/>
              <w:jc w:val="both"/>
              <w:rPr/>
            </w:pPr>
            <w:hyperlink w:anchor="k_001">
              <w:r>
                <w:rPr>
                  <w:rStyle w:val="InternetLink"/>
                  <w:rFonts w:ascii="Times New Roman;Times;Serif" w:hAnsi="Times New Roman;Times;Serif"/>
                  <w:b w:val="false"/>
                  <w:i w:val="false"/>
                  <w:caps w:val="false"/>
                  <w:smallCaps w:val="false"/>
                  <w:sz w:val="20"/>
                </w:rPr>
                <w:t>About this Prospectus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325" w:type="dxa"/>
            <w:tcBorders/>
            <w:shd w:fill="FFFFFF" w:val="clear"/>
            <w:vAlign w:val="center"/>
          </w:tcPr>
          <w:p>
            <w:pPr>
              <w:pStyle w:val="TableContents"/>
              <w:bidi w:val="0"/>
              <w:spacing w:before="0" w:after="283"/>
              <w:jc w:val="both"/>
              <w:rPr/>
            </w:pPr>
            <w:hyperlink w:anchor="k_002">
              <w:r>
                <w:rPr>
                  <w:rStyle w:val="InternetLink"/>
                  <w:rFonts w:ascii="Times New Roman;Times;Serif" w:hAnsi="Times New Roman;Times;Serif"/>
                  <w:b w:val="false"/>
                  <w:i w:val="false"/>
                  <w:caps w:val="false"/>
                  <w:smallCaps w:val="false"/>
                  <w:sz w:val="20"/>
                </w:rPr>
                <w:t>Glossary of Defined Terms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7325" w:type="dxa"/>
            <w:tcBorders/>
            <w:shd w:fill="CCEEFF" w:val="clear"/>
            <w:vAlign w:val="center"/>
          </w:tcPr>
          <w:p>
            <w:pPr>
              <w:pStyle w:val="TableContents"/>
              <w:bidi w:val="0"/>
              <w:spacing w:before="0" w:after="283"/>
              <w:jc w:val="both"/>
              <w:rPr/>
            </w:pPr>
            <w:hyperlink w:anchor="k_003">
              <w:r>
                <w:rPr>
                  <w:rStyle w:val="InternetLink"/>
                  <w:rFonts w:ascii="Times New Roman;Times;Serif" w:hAnsi="Times New Roman;Times;Serif"/>
                  <w:b w:val="false"/>
                  <w:i w:val="false"/>
                  <w:caps w:val="false"/>
                  <w:smallCaps w:val="false"/>
                  <w:sz w:val="20"/>
                </w:rPr>
                <w:t>Prospectus Summary</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325" w:type="dxa"/>
            <w:tcBorders/>
            <w:shd w:fill="FFFFFF" w:val="clear"/>
            <w:vAlign w:val="center"/>
          </w:tcPr>
          <w:p>
            <w:pPr>
              <w:pStyle w:val="TableContents"/>
              <w:bidi w:val="0"/>
              <w:spacing w:before="0" w:after="283"/>
              <w:jc w:val="both"/>
              <w:rPr/>
            </w:pPr>
            <w:hyperlink w:anchor="k_004">
              <w:r>
                <w:rPr>
                  <w:rStyle w:val="InternetLink"/>
                  <w:rFonts w:ascii="Times New Roman;Times;Serif" w:hAnsi="Times New Roman;Times;Serif"/>
                  <w:b w:val="false"/>
                  <w:i w:val="false"/>
                  <w:caps w:val="false"/>
                  <w:smallCaps w:val="false"/>
                  <w:sz w:val="20"/>
                </w:rPr>
                <w:t>Risk Factors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325" w:type="dxa"/>
            <w:tcBorders/>
            <w:shd w:fill="CCEEFF" w:val="clear"/>
            <w:vAlign w:val="center"/>
          </w:tcPr>
          <w:p>
            <w:pPr>
              <w:pStyle w:val="TableContents"/>
              <w:bidi w:val="0"/>
              <w:spacing w:before="0" w:after="283"/>
              <w:jc w:val="both"/>
              <w:rPr/>
            </w:pPr>
            <w:hyperlink w:anchor="k_005">
              <w:r>
                <w:rPr>
                  <w:rStyle w:val="InternetLink"/>
                  <w:rFonts w:ascii="Times New Roman;Times;Serif" w:hAnsi="Times New Roman;Times;Serif"/>
                  <w:b w:val="false"/>
                  <w:i w:val="false"/>
                  <w:caps w:val="false"/>
                  <w:smallCaps w:val="false"/>
                  <w:sz w:val="20"/>
                </w:rPr>
                <w:t>Cautionary Note Regarding Forward-Looking Statements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325" w:type="dxa"/>
            <w:tcBorders/>
            <w:shd w:fill="FFFFFF" w:val="clear"/>
            <w:vAlign w:val="center"/>
          </w:tcPr>
          <w:p>
            <w:pPr>
              <w:pStyle w:val="TableContents"/>
              <w:bidi w:val="0"/>
              <w:spacing w:before="0" w:after="283"/>
              <w:jc w:val="both"/>
              <w:rPr/>
            </w:pPr>
            <w:hyperlink w:anchor="k_006">
              <w:r>
                <w:rPr>
                  <w:rStyle w:val="InternetLink"/>
                  <w:rFonts w:ascii="Times New Roman;Times;Serif" w:hAnsi="Times New Roman;Times;Serif"/>
                  <w:b w:val="false"/>
                  <w:i w:val="false"/>
                  <w:caps w:val="false"/>
                  <w:smallCaps w:val="false"/>
                  <w:sz w:val="20"/>
                </w:rPr>
                <w:t>Management</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325" w:type="dxa"/>
            <w:tcBorders/>
            <w:shd w:fill="CCEEFF" w:val="clear"/>
            <w:vAlign w:val="center"/>
          </w:tcPr>
          <w:p>
            <w:pPr>
              <w:pStyle w:val="TableContents"/>
              <w:bidi w:val="0"/>
              <w:spacing w:before="0" w:after="283"/>
              <w:jc w:val="both"/>
              <w:rPr/>
            </w:pPr>
            <w:hyperlink w:anchor="k_007">
              <w:r>
                <w:rPr>
                  <w:rStyle w:val="InternetLink"/>
                  <w:rFonts w:ascii="Times New Roman;Times;Serif" w:hAnsi="Times New Roman;Times;Serif"/>
                  <w:b w:val="false"/>
                  <w:i w:val="false"/>
                  <w:caps w:val="false"/>
                  <w:smallCaps w:val="false"/>
                  <w:sz w:val="20"/>
                </w:rPr>
                <w:t>Related Party Transactions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7325" w:type="dxa"/>
            <w:tcBorders/>
            <w:shd w:fill="FFFFFF" w:val="clear"/>
            <w:vAlign w:val="center"/>
          </w:tcPr>
          <w:p>
            <w:pPr>
              <w:pStyle w:val="TableContents"/>
              <w:bidi w:val="0"/>
              <w:spacing w:before="0" w:after="283"/>
              <w:jc w:val="both"/>
              <w:rPr/>
            </w:pPr>
            <w:hyperlink w:anchor="k_008">
              <w:r>
                <w:rPr>
                  <w:rStyle w:val="InternetLink"/>
                  <w:rFonts w:ascii="Times New Roman;Times;Serif" w:hAnsi="Times New Roman;Times;Serif"/>
                  <w:b w:val="false"/>
                  <w:i w:val="false"/>
                  <w:caps w:val="false"/>
                  <w:smallCaps w:val="false"/>
                  <w:sz w:val="20"/>
                </w:rPr>
                <w:t>Listing Details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325" w:type="dxa"/>
            <w:tcBorders/>
            <w:shd w:fill="CCEEFF" w:val="clear"/>
            <w:vAlign w:val="center"/>
          </w:tcPr>
          <w:p>
            <w:pPr>
              <w:pStyle w:val="TableContents"/>
              <w:bidi w:val="0"/>
              <w:spacing w:before="0" w:after="283"/>
              <w:jc w:val="both"/>
              <w:rPr/>
            </w:pPr>
            <w:hyperlink w:anchor="k_009">
              <w:r>
                <w:rPr>
                  <w:rStyle w:val="InternetLink"/>
                  <w:rFonts w:ascii="Times New Roman;Times;Serif" w:hAnsi="Times New Roman;Times;Serif"/>
                  <w:b w:val="false"/>
                  <w:i w:val="false"/>
                  <w:caps w:val="false"/>
                  <w:smallCaps w:val="false"/>
                  <w:sz w:val="20"/>
                </w:rPr>
                <w:t>Use of Proceeds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325" w:type="dxa"/>
            <w:tcBorders/>
            <w:shd w:fill="FFFFFF" w:val="clear"/>
            <w:vAlign w:val="center"/>
          </w:tcPr>
          <w:p>
            <w:pPr>
              <w:pStyle w:val="TableContents"/>
              <w:bidi w:val="0"/>
              <w:spacing w:before="0" w:after="283"/>
              <w:jc w:val="both"/>
              <w:rPr/>
            </w:pPr>
            <w:hyperlink w:anchor="k_010">
              <w:r>
                <w:rPr>
                  <w:rStyle w:val="InternetLink"/>
                  <w:rFonts w:ascii="Times New Roman;Times;Serif" w:hAnsi="Times New Roman;Times;Serif"/>
                  <w:b w:val="false"/>
                  <w:i w:val="false"/>
                  <w:caps w:val="false"/>
                  <w:smallCaps w:val="false"/>
                  <w:sz w:val="20"/>
                </w:rPr>
                <w:t>Dividend Policy</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325" w:type="dxa"/>
            <w:tcBorders/>
            <w:shd w:fill="CCEEFF" w:val="clear"/>
            <w:vAlign w:val="center"/>
          </w:tcPr>
          <w:p>
            <w:pPr>
              <w:pStyle w:val="TableContents"/>
              <w:bidi w:val="0"/>
              <w:spacing w:before="0" w:after="283"/>
              <w:jc w:val="both"/>
              <w:rPr/>
            </w:pPr>
            <w:hyperlink w:anchor="k_011">
              <w:r>
                <w:rPr>
                  <w:rStyle w:val="InternetLink"/>
                  <w:rFonts w:ascii="Times New Roman;Times;Serif" w:hAnsi="Times New Roman;Times;Serif"/>
                  <w:b w:val="false"/>
                  <w:i w:val="false"/>
                  <w:caps w:val="false"/>
                  <w:smallCaps w:val="false"/>
                  <w:sz w:val="20"/>
                </w:rPr>
                <w:t>Capitalization and Indebtedness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325" w:type="dxa"/>
            <w:tcBorders/>
            <w:shd w:fill="FFFFFF" w:val="clear"/>
            <w:vAlign w:val="center"/>
          </w:tcPr>
          <w:p>
            <w:pPr>
              <w:pStyle w:val="TableContents"/>
              <w:bidi w:val="0"/>
              <w:spacing w:before="0" w:after="283"/>
              <w:jc w:val="both"/>
              <w:rPr/>
            </w:pPr>
            <w:hyperlink w:anchor="k_01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7325" w:type="dxa"/>
            <w:tcBorders/>
            <w:shd w:fill="CCEEFF" w:val="clear"/>
            <w:vAlign w:val="center"/>
          </w:tcPr>
          <w:p>
            <w:pPr>
              <w:pStyle w:val="TableContents"/>
              <w:bidi w:val="0"/>
              <w:spacing w:before="0" w:after="283"/>
              <w:jc w:val="both"/>
              <w:rPr/>
            </w:pPr>
            <w:hyperlink w:anchor="k_013">
              <w:r>
                <w:rPr>
                  <w:rStyle w:val="InternetLink"/>
                  <w:rFonts w:ascii="Times New Roman;Times;Serif" w:hAnsi="Times New Roman;Times;Serif"/>
                  <w:b w:val="false"/>
                  <w:i w:val="false"/>
                  <w:caps w:val="false"/>
                  <w:smallCaps w:val="false"/>
                  <w:sz w:val="20"/>
                </w:rPr>
                <w:t>Business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7325" w:type="dxa"/>
            <w:tcBorders/>
            <w:shd w:fill="FFFFFF" w:val="clear"/>
            <w:vAlign w:val="center"/>
          </w:tcPr>
          <w:p>
            <w:pPr>
              <w:pStyle w:val="TableContents"/>
              <w:bidi w:val="0"/>
              <w:spacing w:before="0" w:after="283"/>
              <w:jc w:val="both"/>
              <w:rPr/>
            </w:pPr>
            <w:hyperlink w:anchor="k_014">
              <w:r>
                <w:rPr>
                  <w:rStyle w:val="InternetLink"/>
                  <w:rFonts w:ascii="Times New Roman;Times;Serif" w:hAnsi="Times New Roman;Times;Serif"/>
                  <w:b w:val="false"/>
                  <w:i w:val="false"/>
                  <w:caps w:val="false"/>
                  <w:smallCaps w:val="false"/>
                  <w:sz w:val="20"/>
                </w:rPr>
                <w:t>Principal Shareholders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7325" w:type="dxa"/>
            <w:tcBorders/>
            <w:shd w:fill="CCEEFF" w:val="clear"/>
            <w:vAlign w:val="center"/>
          </w:tcPr>
          <w:p>
            <w:pPr>
              <w:pStyle w:val="TableContents"/>
              <w:bidi w:val="0"/>
              <w:spacing w:before="0" w:after="283"/>
              <w:jc w:val="both"/>
              <w:rPr/>
            </w:pPr>
            <w:hyperlink w:anchor="k_015">
              <w:r>
                <w:rPr>
                  <w:rStyle w:val="InternetLink"/>
                  <w:rFonts w:ascii="Times New Roman;Times;Serif" w:hAnsi="Times New Roman;Times;Serif"/>
                  <w:b w:val="false"/>
                  <w:i w:val="false"/>
                  <w:caps w:val="false"/>
                  <w:smallCaps w:val="false"/>
                  <w:sz w:val="20"/>
                </w:rPr>
                <w:t>Plan of Distribution</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7325" w:type="dxa"/>
            <w:tcBorders/>
            <w:shd w:fill="FFFFFF" w:val="clear"/>
            <w:vAlign w:val="center"/>
          </w:tcPr>
          <w:p>
            <w:pPr>
              <w:pStyle w:val="TableContents"/>
              <w:bidi w:val="0"/>
              <w:spacing w:before="0" w:after="283"/>
              <w:jc w:val="both"/>
              <w:rPr/>
            </w:pPr>
            <w:hyperlink w:anchor="k_016">
              <w:r>
                <w:rPr>
                  <w:rStyle w:val="InternetLink"/>
                  <w:rFonts w:ascii="Times New Roman;Times;Serif" w:hAnsi="Times New Roman;Times;Serif"/>
                  <w:b w:val="false"/>
                  <w:i w:val="false"/>
                  <w:caps w:val="false"/>
                  <w:smallCaps w:val="false"/>
                  <w:sz w:val="20"/>
                </w:rPr>
                <w:t>Description of Share Capital</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7325" w:type="dxa"/>
            <w:tcBorders/>
            <w:shd w:fill="CCEEFF" w:val="clear"/>
            <w:vAlign w:val="center"/>
          </w:tcPr>
          <w:p>
            <w:pPr>
              <w:pStyle w:val="TableContents"/>
              <w:bidi w:val="0"/>
              <w:spacing w:before="0" w:after="283"/>
              <w:jc w:val="both"/>
              <w:rPr/>
            </w:pPr>
            <w:hyperlink w:anchor="k_017">
              <w:r>
                <w:rPr>
                  <w:rStyle w:val="InternetLink"/>
                  <w:rFonts w:ascii="Times New Roman;Times;Serif" w:hAnsi="Times New Roman;Times;Serif"/>
                  <w:b w:val="false"/>
                  <w:i w:val="false"/>
                  <w:caps w:val="false"/>
                  <w:smallCaps w:val="false"/>
                  <w:sz w:val="20"/>
                </w:rPr>
                <w:t>Taxation</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7325" w:type="dxa"/>
            <w:tcBorders/>
            <w:shd w:fill="FFFFFF" w:val="clear"/>
            <w:vAlign w:val="center"/>
          </w:tcPr>
          <w:p>
            <w:pPr>
              <w:pStyle w:val="TableContents"/>
              <w:bidi w:val="0"/>
              <w:spacing w:before="0" w:after="283"/>
              <w:jc w:val="both"/>
              <w:rPr/>
            </w:pPr>
            <w:hyperlink w:anchor="k_018">
              <w:r>
                <w:rPr>
                  <w:rStyle w:val="InternetLink"/>
                  <w:rFonts w:ascii="Times New Roman;Times;Serif" w:hAnsi="Times New Roman;Times;Serif"/>
                  <w:b w:val="false"/>
                  <w:i w:val="false"/>
                  <w:caps w:val="false"/>
                  <w:smallCaps w:val="false"/>
                  <w:sz w:val="20"/>
                </w:rPr>
                <w:t>Legal Matters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7325" w:type="dxa"/>
            <w:tcBorders/>
            <w:shd w:fill="CCEEFF" w:val="clear"/>
            <w:vAlign w:val="center"/>
          </w:tcPr>
          <w:p>
            <w:pPr>
              <w:pStyle w:val="TableContents"/>
              <w:bidi w:val="0"/>
              <w:spacing w:before="0" w:after="283"/>
              <w:jc w:val="both"/>
              <w:rPr/>
            </w:pPr>
            <w:hyperlink w:anchor="k_019">
              <w:r>
                <w:rPr>
                  <w:rStyle w:val="InternetLink"/>
                  <w:rFonts w:ascii="Times New Roman;Times;Serif" w:hAnsi="Times New Roman;Times;Serif"/>
                  <w:b w:val="false"/>
                  <w:i w:val="false"/>
                  <w:caps w:val="false"/>
                  <w:smallCaps w:val="false"/>
                  <w:sz w:val="20"/>
                </w:rPr>
                <w:t>Experts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7325" w:type="dxa"/>
            <w:tcBorders/>
            <w:shd w:fill="FFFFFF" w:val="clear"/>
            <w:vAlign w:val="center"/>
          </w:tcPr>
          <w:p>
            <w:pPr>
              <w:pStyle w:val="TableContents"/>
              <w:bidi w:val="0"/>
              <w:spacing w:before="0" w:after="283"/>
              <w:jc w:val="both"/>
              <w:rPr/>
            </w:pPr>
            <w:hyperlink w:anchor="k_020">
              <w:r>
                <w:rPr>
                  <w:rStyle w:val="InternetLink"/>
                  <w:rFonts w:ascii="Times New Roman;Times;Serif" w:hAnsi="Times New Roman;Times;Serif"/>
                  <w:b w:val="false"/>
                  <w:i w:val="false"/>
                  <w:caps w:val="false"/>
                  <w:smallCaps w:val="false"/>
                  <w:sz w:val="20"/>
                </w:rPr>
                <w:t>Expenses Relating to This Offering</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7325" w:type="dxa"/>
            <w:tcBorders/>
            <w:shd w:fill="CCEEFF" w:val="clear"/>
            <w:vAlign w:val="center"/>
          </w:tcPr>
          <w:p>
            <w:pPr>
              <w:pStyle w:val="TableContents"/>
              <w:bidi w:val="0"/>
              <w:spacing w:before="0" w:after="283"/>
              <w:jc w:val="both"/>
              <w:rPr/>
            </w:pPr>
            <w:hyperlink w:anchor="k_021">
              <w:r>
                <w:rPr>
                  <w:rStyle w:val="InternetLink"/>
                  <w:rFonts w:ascii="Times New Roman;Times;Serif" w:hAnsi="Times New Roman;Times;Serif"/>
                  <w:b w:val="false"/>
                  <w:i w:val="false"/>
                  <w:caps w:val="false"/>
                  <w:smallCaps w:val="false"/>
                  <w:sz w:val="20"/>
                </w:rPr>
                <w:t>Enforceability of Civil Liabilities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7325" w:type="dxa"/>
            <w:tcBorders/>
            <w:shd w:fill="FFFFFF" w:val="clear"/>
            <w:vAlign w:val="center"/>
          </w:tcPr>
          <w:p>
            <w:pPr>
              <w:pStyle w:val="TableContents"/>
              <w:bidi w:val="0"/>
              <w:spacing w:before="0" w:after="283"/>
              <w:jc w:val="both"/>
              <w:rPr/>
            </w:pPr>
            <w:hyperlink w:anchor="k_022">
              <w:r>
                <w:rPr>
                  <w:rStyle w:val="InternetLink"/>
                  <w:rFonts w:ascii="Times New Roman;Times;Serif" w:hAnsi="Times New Roman;Times;Serif"/>
                  <w:b w:val="false"/>
                  <w:i w:val="false"/>
                  <w:caps w:val="false"/>
                  <w:smallCaps w:val="false"/>
                  <w:sz w:val="20"/>
                </w:rPr>
                <w:t>Where You Can Find Additional Information</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k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and any free writing prospectus prepared by or on behalf of us or to which we have referred you. Neither we nor the placement agent have authorized anyone to provide you with different information. Neither we nor the placement agent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our business, financial condition, results of operations and prospects may have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an offer to sell only the ordinary shares offered hereby, but only under circumstances and in jurisdictions where it is lawful to do so. We are not making an offer to sell these securities in any jurisdiction where the offer or sale is not permitted or where the person making the offer or sale is not qualified to do so or to any person to whom it is not permitted to make such offer or sale. For the avoidance of doubt, no offer or invitation to subscribe for ordinary shares is made to the public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Neither we nor the placement agent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“us,” “our” and the “Company” refer to NewGenIvf Group Limited and its subsidiaries including but not limited to, NewGenIvf Limited, a Cayman Islands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the U.S. dollar. Unless otherwise expressly stated or the context otherwise requires, references in this prospectus to “dollars” or “$” are to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and presented in accordance with accounting principles generally accepted in the United States of America,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Class A Ordinary Shares and Class B Ordinary Shares currently issued and outstanding was 6,367,870 and 37,925 as of August 19,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k_002"/>
      <w:bookmarkEnd w:id="3"/>
      <w:r>
        <w:rPr>
          <w:rFonts w:ascii="Times New Roman;Times;Serif" w:hAnsi="Times New Roman;Times;Serif"/>
          <w:b/>
          <w:i w:val="false"/>
          <w:caps w:val="false"/>
          <w:smallCaps w:val="false"/>
          <w:sz w:val="20"/>
        </w:rPr>
        <w:t>GLOSSARY OF DEFINED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the context otherwise requires, references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ASCA” means A SPAC I Acquisition Corp., a British Virgin Islands business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SPAC I Mini Acquisition Corp.” means A SPAC I Mini Acquisition Corp., a British Virgin Islands business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means the transactions contemplated by the Merger Agreement, pursuant to which (i) ASCA reincorporated to the British Virgin Islands by merging with and into the Company; and (ii) Merger Sub merged with and into Legacy NewGenIvf, resulting in Legacy NewGenIvf being a wholly-owned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BVI” means 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BVI Act” means BVI Business Companies Act (As Revised).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 means Class A ordinary shares of the Company, no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 means (x) the Company’s Class B ordinary shares with no par value per share, and (y) any shares into which such ordinary shares shall have been changed or any shares resulting from a reclassification of such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consummation of the Business Combination, which occurred on April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means NewGenIvf Group Limited, a British Virgin Islands business company, the surviving entity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First Reverse Stock Split” means the 1-for-20 reverse stock split effected by the Company on February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Fourth Reverse Stock Split” means the 1-for-5 reverse stock split effected by the Company on December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Fifth Reverse Stock Split” means the 1-for-3 reverse stock split effected by the Company on January 26,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Legacy NewGenIvf” means NewGenIvf Limited, a Cayman Islands exempted company, which became a wholly owned subsidiary of ASCA upon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the Merger Agreement entered into on February 15, 2023, and as amended on June 12, 2023 and December 6, 2023, between ASCA, A SPAC I Mini Acquisition Corp., Merger Sub, Legacy NewGenIvf, and certain shareholders of Legacy NewGenIvf, pursuant to which the Reincorporation Merger and Acquisition Merger were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Sub” means A SPAC I Mini Sub Acquisition Corp., a Cayman Islands exempted company and former wholly-owned subsidiary of A SPAC I Mini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Memorandum and Articles of Association” means the Company’s Amended and Restated Memorandum and Articles of Association, as and restated on July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NewGenIvf” means NewGenIvf Group Limited, a British Virgin Islands business company, the surviving entity of the Business Combination, unless the context so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the Class A Ordinary Shares and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Preferred Shares” means preferred shares of the Company, no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Reincorporation Merger” means the first step of the Business Combination which occurred pursuant to the Merger Agreement, in which ASCA reincorporated to the British Virgin Islands by merging with and into A SPAC I Mini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Reverse Stock Splits” means the First Reverse Stock Split, the Second Reverse Stock Split, the Third Reverse Stock Split, the Fourth Reverse Stock Split, the Fifth Reverse Stock Split, the Sixth Reverse Stock Split, and the Seventh Reverse Stock Split. In this registration statement, where we state historical share and per-share numbers, we have, where appropriate, reflected a retroactive adjustment due to the Reverse Stock Splits in parentheses.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Second Reverse Stock Split” means the 1-for-10 reverse stock split effected by the Company on May 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Seventh Reverse Stock Split” means the 1-for-3 reverse stock split effected by the Company on July 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Sixth Reverse Stock Split” means the 1-for-4 reverse stock split effected by the Company on March 16,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Third Reverse Stock Split” means the 1-for-5 reverse stock split effected by the Company on August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4" w:name="k_003"/>
      <w:bookmarkEnd w:id="4"/>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the context otherwise requires, all references in this Prospectus Summary to “NewGenIvf,” “we,” “our,” and “us” refer to Legacy NewGenIvf and its subsidiaries including those that existed prior to the Closing if described in relation to a date prior to April 3, 2024. Any references to “NewGenIvf,” “we,” “our,” and “us” with respect to the present time, a future time, or a date after April 3, 2024 refers to NewGenIvf, a British Virgin Islands company, and its subsidiaries, whose existence continued after the Closing.</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assisted reproductive services (“ARS”) provider in Asia-Pacific. Since the opening of our first clinic in Thailand in 2014, we have established ourselves as a long-standing ARS provider in this region. Our strategic presence in Thailand, Cambodia, and Kyrgyzstan positions us to take advantage of opportunities across Asia-Pacific. According to China Insights Consultancy (“CIC”), from 2014 to 2022, there was a rising number of women in the key ARS-targeted age group (ages 15 to 49) in Asia Pacific and a growing trend towards later maternal age. The number of married women of reproductive age in Asia Pacific has risen from 816.4 million in 2014 to 833.2 million in 2022. Additionally, according to CIC, there was increasing social acceptance of ARS use in Asia Pacific countries such as China, India, and Thailand during the same period. For example, the number of ARS users in China has risen from 136.8 thousand in 2017 to 184.9 thousand in 2022 approximately and that in Japan has risen from 98.0 thousand in 2017 to 128.5 thousand in 2022.</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According to CIC, the prevalence of infertility in Asia-Pacific developing countries is substantial. For example, the infertility rate in Thailand, India and China was about 15.4%, 13.8% and 17.8%, respectively, in 2022. In India, the infertility rate in 2020 was approximately 13.1%, representing an annual growth of 2.6%. The infertility rate in China was around 17.6% in 2020, representing an annual growth of 0.6%. Infertility is increasingly gaining society’s attention as individuals are more openly discussing their struggles. Despite the prevalence of infertility, access to treatment is often limited in the Asia Pacific region. According to CIC, financial challenges, costs of treatment, and limited availability or capacity of fertility medical care are some of the main challenges in the fertility marketplace in Asia-Pacific region. Religious, social and cultural roadblocks can also prevent hopeful couples from realizing their dream to have children. We believe that we can help address some of these key challenges of Asia-Pacific fertility industry.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History and Development of the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Business Combination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NewGenIvf, ASCA agreed to waive its termination rights and the right to receive any break-up fee due to Legacy NewGenIvf’s failure to deliver audited financial statements by no later than February 28, 2023.</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3, 2024, the Business Combination was consummated with the Company as the surviving entity.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NewGenIvf’s Business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 focus on providing fertility treatments to fulfil the dreams of building families, NewGenIvf mainly offers two services, namely: (i) in vitro fertilization (“IVF”) treatment service, comprising traditional IVF and egg donation; and (ii) surrogacy and ancillary caring services. Currently, we have three clinics: one clinic in Thailand, one clinic in Cambodia, and one clinic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IVF treatment service: </w:t>
            </w:r>
            <w:r>
              <w:rPr>
                <w:rFonts w:ascii="Times New Roman;Times;Serif" w:hAnsi="Times New Roman;Times;Serif"/>
                <w:sz w:val="20"/>
              </w:rPr>
              <w:t>For the years ended December 31, 2025 and 2024, we generated approximately 82.6% and 100% respectively of our revenue from IVF treatments. We primarily provide our clients with conventional IVF/intracytoplasmic sperm injection (“ICSI”) and embryo transfer services. As technology has progressively advanced, we have been able to, through technologies and facilities provided by MicroSort technology, help fulfill the family-balancing dreams of its clients and avoiding certain gender-related hereditary diseases. IVF treatment involves the performance of a series of medical treatment and procedures that are not separately distinct and only brings benefits to clients when embryo is successfully implanted, therefore revenue from IVF treatment is recognized at a point in time when it is completed in clinic. The completion of this treatment is evidenced by a written IVF report indicating successful embryo implantation.</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Fertility referral services: </w:t>
            </w:r>
            <w:r>
              <w:rPr>
                <w:rFonts w:ascii="Times New Roman;Times;Serif" w:hAnsi="Times New Roman;Times;Serif"/>
                <w:sz w:val="20"/>
              </w:rPr>
              <w:t>We also generate revenue from fertility referral services in Kyrgyzstan. For the years ended December 31, 2025 and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NewGenIvf’s revenue was US$5,433,375 and US$4,726,433, and its net income/(loss) was US$(474,101) and US$9,728,723, respectively.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Competitive Strengths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the following competitive strengths have positioned it to meet growing opportunities in the fertility market across Asia-Pacific, and have differentiated it from its competitors: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Broad-range Assisted Reproductive Service (“ARS”) Provider Offering Comprehensive Fertility Treatment Services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almost a decade of experience in the fertility market, NewGenIvf has built a reputation in the IVF industry in Asia-Pacific. NewGenIvf has reinforced its long-standing position through expanding its service offerings and locations to address the evolving clients’ needs or requests.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comprehensive fertility treatment offerings in Thailand, Cambodia, and Kyrgyzstan, primarily including IVF, egg donation (in Cambodia) and surrogacy services (in Kyrgyzstan), make it convenient for clients in Asia-Pacific market to have access to various fertility services but with a relatively low cost, as compared with the US market. Meanwhile, the average cost per IVF cycle by NewGenIvf is around US$7,000 (excluding medication). Each of NewGenIvf’s clinics in Thailand, Cambodia, and Kyrgyzstan has its own specialty, and together, NewGenIvf is able to provide more flexibility and options to its patients. For example, NewGenIvf’s Thailand clinic focuses on IVF and related ancillary services including HIV sperm washing, egg freezing, and chromosome screening. The clinic in Cambodia specializes in providing both IVF services and egg donation services. NewGenIvf opened the clinic in Kyrgyzstan in 2019, which broadened NewGenIvf’s services by being legally qualified/received approval letter from The Ministry of Health of Kyrgyzstan to offer surrogacy services.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attributes its track record of success to its experienced physicians and its ability to provide comprehensive ARS services, allowing it to meet patients’ increasing demand for advanced, high-end, and sophisticated ARS, a higher standard and a wider range of advanced services.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extensive experience serving Asia-Pacific patients and a deep understanding of their general profiles. In particular, NewGenIvf has personnel speaking multiple languages, including nurses, facilitators, and translators, who are familiar with the health condition and culture of Asia-Pacific patients from different countries in the region. NewGenIvf believes that it is therefore well-positioned to benefit from market growth driven by Asia-Pacific patients travelling to its clinics for treatment.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Attractive Market with Significant Demand and Fast Growth</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operates in the ARS market in Asia Pacific, positioning it to leverage on an attractive market with compelling underlying growth potential.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Built on years of experience, NewGenIvf has established a strong reputation in its industry, which in turn attracted potential business partners to approach NewGenIvf to negotiate cooperations and referrals. Over the years, NewGenIvf sends representatives to medical expos mostly held in the PRC to approach potential business partners and establish new partnerships by entering into agency agreements with each agent. NewGenIvf has become a significant partner with agents and sub-agents throughout China and India. Normally, each agency agreement has a maximum term of one year, which is renewable upon mutual agreement. Agents typically market and promote NewGenIvf’s services by word-to-mouth referrals and other measures and NewGenIvf pays the agents commission at a range of 10% to 25% of the treatment fees upon the completion of client’s treatment. Normally, agents provide potential clients’ contact information to the sales team of NewGenIvf, who then approach potential clients and provide consultation on services. With its partnerships in various countries, NewGenIvf believes it is able to better benefit from the growing market opportunities.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Exclusively Owned and Licensed Technology for Family Planning and Access to Mature Fertility Technologies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MicroSort Technology:</w:t>
            </w:r>
            <w:r>
              <w:rPr>
                <w:rFonts w:ascii="Times New Roman;Times;Serif" w:hAnsi="Times New Roman;Times;Serif"/>
                <w:b w:val="false"/>
                <w:i w:val="false"/>
                <w:caps w:val="false"/>
                <w:smallCaps w:val="false"/>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Preimplantation Genetic Screening (“PGS”)</w:t>
            </w:r>
            <w:r>
              <w:rPr>
                <w:rFonts w:ascii="Times New Roman;Times;Serif" w:hAnsi="Times New Roman;Times;Serif"/>
                <w:b w:val="false"/>
                <w:i w:val="false"/>
                <w:caps w:val="false"/>
                <w:smallCaps w:val="false"/>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Next-Generation Sequencing (“NGS”)</w:t>
            </w:r>
            <w:r>
              <w:rPr>
                <w:rFonts w:ascii="Times New Roman;Times;Serif" w:hAnsi="Times New Roman;Times;Serif"/>
                <w:b w:val="false"/>
                <w:i w:val="false"/>
                <w:caps w:val="false"/>
                <w:smallCaps w:val="false"/>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Preimplantation Genetic Diagnosis (“PGD”)</w:t>
            </w:r>
            <w:r>
              <w:rPr>
                <w:rFonts w:ascii="Times New Roman;Times;Serif" w:hAnsi="Times New Roman;Times;Serif"/>
                <w:b w:val="false"/>
                <w:i w:val="false"/>
                <w:caps w:val="false"/>
                <w:smallCaps w:val="false"/>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Well Established Brand with Reliable Reputation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founders of NewGenIvf entered the fertility market as agents in 2011 by introducing patients in need to a Thailand clinic for fertility treatments. The founders of NewGenIvf started to operate their own clinic in Thailand in 2014 and subsequently added clinics in Cambodia and Kyrgyzstan. Since then, NewGenIvf has attracted clients from countries throughout Asia-Pacific, including Mainland China, Hong Kong, India, Thailand, Australia and Taiwan.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benefits from the favourable geographic locations of its clinics, especially its clinic in Thailand. Located in central Bangkok and situated in one of the biggest shopping malls of the city, the clinic is located in close proximity to various transportation facilities and popular tourist attractions, such as the Erawan Shrine. In this regard, NewGenIvf believes that its business has benefited from, and will continue to benefit from, the convenience of its locations.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developed a relatively replicable and scalable operating model that supports high productivity at its assisted reproductive medical facilities in Asia. Under this model, NewGenIvf’s medical facilities have established standardized operating procedures to select the treatment process according to each patient’s profile. NewGenIvf’s medical and operational personnel are organized into specialized teams according to the different stages of the treatment process and different patient profiles. When patients are initially admitted or would like to seek additional medical services later on, they are assigned to one of the optimal medical teams, which NewGenIvf believes is better suited after taking into account the patient’s diagnosis and preferences. NewGenIvf believes that this model allows each team to improve its efficiency and arrange suitable physicians for patients.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physicians of NewGenIvf have also developed and employed an operating model that seeks to increase the effectiveness of physicians by utilizing standardized workflows and operating procedures with teams of supporting nurses and medical assistants. This helps to increase the number of IVF treatment cycles that physicians can perform while providing treatment customized based on patient conditions.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its established client service history, accumulated experience as well as its continuous upgrades and development of treatment models, NewGenIvf believes that it will be able to better monetize its brands through its business.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Experienced Management Team</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NewGenIvf management team has considerable experience in the ARS market and the broader healthcare industry. A considerable number of NewGenIvf’s management are physicians or laboratory technicians who possess extensive experience in the ARS industry and are experts in their respective fields. NewGenIvf’s Chief Executive Officer, Mr. Alfred Siu, has more than 13 years of experience in the fertility service market. Dr. Wiphawee Luangtangvarodom had over 8 years of experience as an obstetrician and gynecologist. NewGenIvf’s two lab supervisors, Ms. Anussara Phinyong, and Ms. Araya Boonchaisitthipong, each had over eight years of experience in the embryologist field. These individuals have extensive experience in managing assisted reproductive medical facilities. NewGenIvf is also led by other members of the professional management team, who are intimately involved in the operational and financial management of NewGenIvf’s Group. Leveraging their experience, NewGenIvf believes that it is well positioned to expand its network and aims to become a leader in the Asia Pacific ARS market.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Strategies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vision is to provide tailored ARS solutions to fulfil patients’ dreams of becoming a parent. To realize this vision, NewGenIvf plans to adopt the following strategies: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Offer Broad Fertility Services for Fertility Tourists across Asia Pacific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provide broad fertility services for fertility tourists seeking high quality, cost effective and comprehensive fertility solutions. According to CIC, the demand for fertility tourism is driven by a variety of factors including the prevalence of infertility, the introduction of the Three-Child policy in China, the improved understanding of assisted reproductive technology and increased affordability of ARS. To address these needs, NewGenIvf plans to offer its customers a “hassle-free”, seamless and integrated ARS and hospitality arrangement experience. To complement its fertility services, NewGenIvf intends to integrate its offerings with additional services for traveling patients, most of whom are first-time fertility tourists, such as translation service, hotel arrangement and airport pickup services. NewGenIvf plans to enhance its customers’ experience by entering into exclusive cooperation arrangements with local premium hospitality providers.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Continue to Invest in Laboratories and 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laboratories and treatment facilities are critical to supporting its future research, development and clients experience. NewGenIvf currently operates two laboratories that offer IVF services, one in Thailand and one in Cambodia, and plans to continue to scale up its existing laboratories. NewGenIvf plans to continue to invest in upgrading its laboratories and facilities to complement its growth and expansion, which it believes will help NewGenIvf maintain an edge over its competitors with regard to technology, operational efficiency, scalability, and client experience.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develop advanced facilities for its existing laboratories, which will be conducting research on ARS related basic science and experiments relating to emerging technologies to improve ARS success rates and lower costs. NewGenIvf also plans to correlate its data on patient treatment protocols to the embryo physiologic data and the pregnancy success rate-related data to identify better treatment protocols to increase ARS success rates. NewGenIvf intends to continue to actively promote technological cooperation with tertiary institutions to discover ways to improve its IVF success rates. Furthermore, NewGenIvf seeks to actively deploy the technology that it possesses to expand the services it provides.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accumulated experience in treating patients over 40 years old with premature ovarian failure and patients who have had recurrent ARS implementation failure, by, for the example, injecting platelet rich plasma into the ovaries to stimulate and support growth of the follicles. NewGenIvf is also implementing certain technological advancements relevant to the ARS industry, including microfluidics, automated sperm analysers, time lapsed incubators, non-invasive preimplantation genetic testing (“PGT”) of cell-free DNA in spent media, automated systems for oocyte/embryo vitrification to reduce reagent consumption and decrease labor intensity, mitochondria replacement therapy to reconstruct oocytes by nuclear transfer of polar body genome from an MII oocyte into an enucleated donor MII cytoplasm, to increase the number of oocytes available for the treatment of infertile women, preimplantation methylome screening. There are also breakthrough developments in science including organ culture systems, induced pluripotent stem cells, embryonic stem cells, spermatogonial stem cells for creation of functional gametes, but these techniques are not yet ready for human clinical trials.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intends to develop clinically customised interior design concepts for its medical facilities, including improved service rooms, consultation rooms, reception areas, nutrition food areas, and traditional Chinese medicine (such as acupuncture) facilities.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Increase Brand Awareness and Market Share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maintain and strengthen its brand awareness and market share in Asia Pacific. In order to expand its reach and increase patient numbers, NewGenIvf plans to collaborate with local hospitals, companies, premium hospitality providers and other key players in the ARS industry in Asia Pacific. Additionally, NewGenIvf intends to increase brand awareness through social media promotions and marketing initiatives, and is establishing its business development team with the goal of attracting new patients and partners across Asia Pacific. Meanwhile, NewGenIvf intends to provide innovative treatment services to attract more clients. For example, NewGenIvf plans to introduce IVF mental health services, which allows clients who fail in IVF treatments to access online consultation for further treatment plans such as egg donation and surrogacy. These new treatments services aim to enable NewGenIvf to attract potential clients. By adopting a comprehensive strategy to expand its market share, NewGenIvf aims to strengthen its reputation as a long-standing ARS provider and capture additional market share of the growing ARS market in Asia-Pacific.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Expand Service Reach Through Acquisitions and Partnerships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Leveraging its reputation and footprint in its current markets, NewGenIvf intends to expand its reach, services offering and client base through strategic acquisitions and/or partnerships in Asia Pacific. Acquisitions of or by companies offering similar services could not only allow NewGenIvf to diversify its client base but also allow it to benefit from potential economies of scale and increasing efficiency through consolidation. NewGenIvf could also leverage the acquired or acquiring company’s customer base, reputation and expertise to further improve its offerings and operations. NewGenIvf intends to focus on ARS providers in Asia Pacific which possess all conventional licenses and locally recognized brands. For the global market beyond Asia Pacific, NewGenIvf intends to expand its footprint through partnerships with other IVF clinics.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NewGenIvf plans to explore expanding its client base by offering its fertility services as part of corporate benefit programs in Asia. NewGenIvf believes that there is potential in Asia in offering fertility treatments as a benefit for employees, particularly in companies with a large number of female employees of childbearing age. By partnering with corporate clients to provide fertility benefits, NewGenIvf can increase its market reach, enhance its brand reputation, and drive client growth. NewGenIvf’s broad range of fertility services, including IVF and egg freezing, can help corporate partners differentiate their employee benefits in the competitive employment landscape, which could make them more attractive to potential employees. Additionally, by offering these services, companies can help address the growing concern of delayed childbearing, which is becoming more common among women according to CIC. NewGenIvf plans to collaborate with potential corporate clients to develop customized fertility benefit programs that cater to their specific needs, and to provide comprehensive support and counselling throughout the process.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Meanwhile, NewGenIvf also intends to attract more clients by establishing its “home country gynecologist partnership program”. Under the program, NewGenIvf may, subject to its discretion and screening process, offer treatment services to clients with reduced time requirements to be spent overseas. Depending on local laws, the potential clients may be able to complete their treatments with gynecologists NewGenIvf partners with, in their home countries.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28, 2025, NewGenIvf completed its acquisition of the MicroSort Business from Genetics &amp; IVF Institute, Inc. (“GIVF”). Pursuant to a Purchase Agreement dated January 21, 2025 between NewGenIvf and GIVF (“Purchase Agreement”), NewGenIvf purchased all of the Assets (as defined in the Purchase Agreement) and IP Licenses (as defined in the Purchase Agreement) relating to the MicroSort Business (as defined in the Purchase Agreement) from GIVF for a cash consideration of $750,000 and a share consideration of 125,000 Class A Ordinary Shares (equivalent to 14 Class A Ordinary Shares adjusted for the Reverse Stock Splits) (“MicroSort Acquisition”).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24, 2025, NewGenIvf signed a Purchase Agreement to acquire certain tangible assets, company domain and six patents from Nodexus Inc.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15, 2026, NewGenIvf signed a strategic investment agreement (“PredicXion Agreement”) with PredicXion Group Limited (“PredicXion”) and Kong Yiu Cheung, PredicXion’s sole shareholder (the “Seller”)for the acquisition of up to a 10% equity interest in PredicXion (the “PredicXion Acquisition”) at a pre-money valuation of US$100,000,000. On May 28, 2026, the Company entered into a share purchase agreement with PredicXion, and the Seller (“First PredicXion SPA”) for the acquisition of a 2% equity interest in PredicXion (“PredicXion Initial Acquisition”). The consideration payable for the PredicXion Initial Acquisition was a combination of: (i) cash consideration of US$1,000,000 or an equivalent amount in stablecoin, or Solana; and (ii) 666,667 newly issued class A ordinary shares of the Company (equivalent to 222,222 Class A Ordinary Shares adjusted for Reverse Stock Split) at a share price of US$1.50 per share (equivalent to US$4.5 per Class A Ordinary Shares adjusted for Reverse Stock Split). Pursuant to the First PredicXion SPA, the Company shall have an option exercisable at any time within three months after signing the First PredicXion SPA, to acquire an additional 8% of PredicXion’s fully diluted equity at the same pre-money valuation of US$100,000,000 (“Top-up Option”). On June 2, 2026, NewGenIvf exercised its Top-up Option to acquire an additional 4% equity interest in PredicXion (“Top-Up Acquisition”). Pursuant to the share purchase agreement (“First PredicXion Top-Up SPA”) among NewGenIvf, PredicXion, and the Seller for the Top-Up Acquisition, the Company shall acquire a 4% equity interest for an aggregate consideration of US$4,000,000, consisting of (i) US$2,000,000 payable in cash or in digital assets, and (ii) 1,500,000 Class A ordinary shares of the Company (equivalent to 500,000 Class A Ordinary Shares adjusted for Reverse Stock Split). The Company paid a cash deposit of US$300,000 upon signing of the Top-Up SPA, and shall pay the balance of $1,700,000 by August 30, 2026. On June 18, 2026, NewGenIvf exercised its Top-up Option to acquire an additional 4% equity interest in PredicXion (“Second Top-Up Acquisition”). Pursuant to the share purchase agreement (“Second PredicXion Top-Up SPA”) among NewGenIvf, PredicXion, and the Seller for the Second Top-Up Acquisition, the Company shall acquire a 4% equity interest for an aggregate consideration of US$4,000,000, consisting of (i) US$2,000,000 payable in cash or in digital assets, and (ii) 1,500,000 Class A ordinary shares of the Company (equivalent to 500,000 Class A Ordinary Shares adjusted for Reverse Stock Split). The parties agreed that the aggregate cash deposit to be paid pursuant to the First PredicXion Top-Up SPA and the Second PredicXion Top-Up SPA shall be US$800,000, payable upon the signing of the Second PredicXion Top-Up SPA, and the balance of $1,000,000 of First PredicXion Top-Up SPA and the balance of $1,900,000 of the Second PredicXion Top-Up SPA shall be paid by the Company to the Seller by August 31, 2026 and September 30, 2026 respectively. On July 27, 2026, NewGenIvf entered into a definitive agreement to acquire an additional 3% equity interest in PredicXion at a US$250 million equity valuation. The aggregate consideration of US$7,500,000 consists of (i) US$3,750,000 payable in cash or in digital assets, and (ii) 2,500,000 Class A ordinary shares of the Company at a share price of US$1.50 per share. As of the date of this prospectus, the acquisition of 2% of the equity interest in PredicXion has been completed, and the total committed but not yet paid consideration for the acquisition of 11% of the equity interest in PredicXion is US$6,462,500.</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20" w:right="2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White Lion Transaction</w:t>
      </w:r>
    </w:p>
    <w:p>
      <w:pPr>
        <w:pStyle w:val="TextBody"/>
        <w:bidi w:val="0"/>
        <w:spacing w:before="0" w:after="0"/>
        <w:ind w:left="7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from time to time, up to One Hundred Million Dollars ($100,000,000) in aggregate gross purchase price of newly issued Class A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Subject to the satisfaction of certain customary conditions including, without limitation, the effectiveness of the registration statement registering the resale of the shares issuable pursuant to the White Lion Purchase Agreement, the Company’s right to sell shares to White Lion commenced on the date of the execution of White Lion Purchase Agreement and extends until (i) 36 months from the date of execution of the White Lion Purchase Agreement, or (ii) at the Company’s option, until 65 months from the date of the execution of the White Lion Purchase Agreement in the event that $100,000,000 of purchases under the White Lion Purchase Agreement have been completed prior to the 36 month anniversary of the Execution Date (the “Commitment Period”).</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During the Commitment Period, subject to the terms and conditions of the White Lion Purchase Agreement, the Company may exercise its right to sell its Class A Ordinary Shares to White Lion. The Company may deliver a Regular Purchase Notice (as such term is defined in the White Lion Purchase Agreement), pursuant to which the Company can require White Lion to purchase up to a number of Ordinary Shares equal to the lesser of (i) $3,000,000 divided by the highest closing price of the Ordinary Shares over the most recent five (5) Business Days immediately preceding the Purchase Notice, or (ii) 40% of Average Daily Trading Volume (as such term is defined in the White Lion Purchase Agreement), subject to a maximum Investment Limit of $3,000,000.</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may also deliver a Rapid Purchase Notice (as such term is defined in the White Lion Purchase Agreement), pursuant to which the Company may require White Lion to purchase up to a number of Ordinary Shares equal to $3,000,000 divided by the highest closing price of the Ordinary Shares over the most recent five business days immediately prior to the receipt of the notice. White Lion may waive such limits under any notice at its discretion and purchase additional shares.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price to be paid by White Lion for any shares that the Company requires White Lion to purchase will depend on the type of purchase notice that the Company delivers. For shares being issued pursuant to a Regular Purchase Notice, the purchase price per share will be the lower of (i) the closing price of Ordinary Shares prior to the receipt of the applicable Purchase Notice, or (ii) the product of (a) the lowest daily VWAP of the Ordinary Shares during the Regular Purchase Valuation Period (as defined in the White Lion Purchase Agreement), and (b) 98%.</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shares being issued pursuant to a Rapid Purchase Notice, the Company may opt for the purchase price per share to be (i) equal to the lowest traded price of the Ordinary Shares on the date that the notice is delivered, or (ii) 97% of the lowest traded price of the Ordinary Shares one hour following White Lion’s written confirmation of the acceptance of the Rapid Purchase Notice.</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No purchase notice shall result in White Lion beneficially owning (as calculated pursuant to Section 13(d) of the Securities Exchange Act of 1934, as amended, and Rule 13d-3 thereunder) more than 4.99% (subject to increase, in the sole discretion of White Lion, to 9.99%) of the number of Class A Ordinary Shares outstanding immediately prior to the issuance of Class A Ordinary Shares issuable pursuant to a purchase notice.</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has the right to terminate the White Lion Purchase Agreement in the event of a material breach of the White Lion Purchase Agreement by White Lion. The White Lion Purchase Agreement also automatically terminates upon the earlier of (i) the end of the Commitment Period and (ii) the date that the Company commences a voluntary bankruptcy proceeding, a custodian is appointed for the Company or for all or substantially all of its property, or the Company makes a general assignment for the benefit of its creditors.</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consideration for the commitments of White Lion, as described above, the Company agreed to issue to White Lion 700,000 Class A Ordinary Shares (“Commitment Shares” and equivalent to 4 Class A Ordinary Shares adjusted for the Reverse Stock Splits). Additional Class A Ordinary Shares may be issued to White Lion under certain conditions, including in connection with material transactions or upon achieving specified investment thresholds. The Commitment Shares will be fully earned by White Lion regardless of termination of the White Lion Purchase Agreement.</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White Lion Purchase Agreement and the RRA contain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31, 2025, the Company entered into a binding term sheet (“Term Sheet”) with White Lion setting out the principal terms and conditions for a Digital Assets Purchase Agreement. Pursuant to the Term Sheet, NewGen will have the option, but not the obligation, to sell to White Lion shares of common stock of the Company up to a total amount equivalent to the value of 600,000 Solana tokens over an initial period of 24 months. Upon a sale of shares, the Company will be compensated by White Lion in Solana tokens rather than cash. There can be no assurance that any sales of the Company’s common stock to White Lion will occur under the Term Sheet or any definitive agreement that may be entered into. The Company is not obligated to sell any shares, and White Lion is not obligated to purchase shares until and unless a definitive Digital Assets Purchase Agreement is executed and all conditions thereunder are satisfied. In addition, any compensation to the Company would be in the form of Solana tokens rather than cash, and the value, availability, and transferability of such digital assets are subject to significant market volatility and regulatory uncertainty. Accordingly, there is no guarantee that the Company will receive any proceeds or Solana tokens pursuant to the contemplated arrangement.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Business Model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 focus on providing fertility treatments to fulfil couples and individuals’ dreams of raising children, NewGenIvf offers mainly two services, namely: (i) IVF treatment service, comprising traditional IVF and egg donation; and (ii) surrogacy and ancillary caring services. The following table sets forth NewGenIvf’s revenue by service offerings and as a percentage of total revenue for the periods indicated: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8430" w:type="dxa"/>
        <w:jc w:val="left"/>
        <w:tblInd w:w="0" w:type="dxa"/>
        <w:tblLayout w:type="fixed"/>
        <w:tblCellMar>
          <w:top w:w="0" w:type="dxa"/>
          <w:left w:w="0" w:type="dxa"/>
          <w:bottom w:w="0" w:type="dxa"/>
          <w:right w:w="0" w:type="dxa"/>
        </w:tblCellMar>
      </w:tblPr>
      <w:tblGrid>
        <w:gridCol w:w="3950"/>
        <w:gridCol w:w="90"/>
        <w:gridCol w:w="90"/>
        <w:gridCol w:w="1010"/>
        <w:gridCol w:w="90"/>
        <w:gridCol w:w="90"/>
        <w:gridCol w:w="90"/>
        <w:gridCol w:w="590"/>
        <w:gridCol w:w="245"/>
        <w:gridCol w:w="90"/>
        <w:gridCol w:w="90"/>
        <w:gridCol w:w="1010"/>
        <w:gridCol w:w="90"/>
        <w:gridCol w:w="90"/>
        <w:gridCol w:w="90"/>
        <w:gridCol w:w="590"/>
        <w:gridCol w:w="135"/>
      </w:tblGrid>
      <w:tr>
        <w:trPr/>
        <w:tc>
          <w:tcPr>
            <w:tcW w:w="3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5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ind w:left="0" w:right="0" w:hanging="200"/>
              <w:jc w:val="left"/>
              <w:rPr/>
            </w:pPr>
            <w:r>
              <w:rPr/>
              <w:t> </w:t>
            </w:r>
          </w:p>
        </w:tc>
      </w:tr>
      <w:tr>
        <w:trPr/>
        <w:tc>
          <w:tcPr>
            <w:tcW w:w="3950" w:type="dxa"/>
            <w:tcBorders/>
            <w:shd w:fill="CCEEFF" w:val="clear"/>
            <w:vAlign w:val="center"/>
          </w:tcPr>
          <w:p>
            <w:pPr>
              <w:pStyle w:val="TableContents"/>
              <w:bidi w:val="0"/>
              <w:spacing w:before="0" w:after="283"/>
              <w:jc w:val="left"/>
              <w:rPr/>
            </w:pPr>
            <w:r>
              <w:rPr/>
              <w:t>IVF Treatment Service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3,905,863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82.6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5,433,375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100.0</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3950" w:type="dxa"/>
            <w:tcBorders/>
            <w:shd w:fill="FFFFFF" w:val="clear"/>
            <w:vAlign w:val="center"/>
          </w:tcPr>
          <w:p>
            <w:pPr>
              <w:pStyle w:val="TableContents"/>
              <w:bidi w:val="0"/>
              <w:spacing w:before="0" w:after="283"/>
              <w:jc w:val="left"/>
              <w:rPr/>
            </w:pPr>
            <w:r>
              <w:rPr/>
              <w:t>Surrogacy and Ancillary Caring Services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200"/>
              <w:jc w:val="left"/>
              <w:rPr/>
            </w:pPr>
            <w:r>
              <w:rPr/>
              <w:t> </w:t>
            </w:r>
          </w:p>
        </w:tc>
      </w:tr>
      <w:tr>
        <w:trPr/>
        <w:tc>
          <w:tcPr>
            <w:tcW w:w="3950" w:type="dxa"/>
            <w:tcBorders/>
            <w:shd w:fill="CCEEFF" w:val="clear"/>
            <w:vAlign w:val="center"/>
          </w:tcPr>
          <w:p>
            <w:pPr>
              <w:pStyle w:val="TableContents"/>
              <w:bidi w:val="0"/>
              <w:spacing w:before="0" w:after="283"/>
              <w:jc w:val="left"/>
              <w:rPr/>
            </w:pPr>
            <w:r>
              <w:rPr/>
              <w:t>Fertility referral services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820,570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17.4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3950" w:type="dxa"/>
            <w:tcBorders/>
            <w:shd w:fill="FFFFFF" w:val="clear"/>
            <w:vAlign w:val="center"/>
          </w:tcPr>
          <w:p>
            <w:pPr>
              <w:pStyle w:val="TableContents"/>
              <w:bidi w:val="0"/>
              <w:spacing w:before="0" w:after="283"/>
              <w:jc w:val="left"/>
              <w:rPr>
                <w:b/>
              </w:rPr>
            </w:pPr>
            <w:r>
              <w:rPr>
                <w:b/>
              </w:rPr>
              <w:t>Total Revenue</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4,726,433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IVF Treatment Service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primarily provides its clients with conventional IVF/ICSI and embryo transfer services. NewGenIvf is also able to, through MicroSort technology, help fulfill the family-balancing dreams of its clients and avoiding certain gender-related hereditary diseases.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IVF treatments that NewGenIvf provides address tubal factor, ovulatory dysfunction, diminished ovarian reserve, endometriosis, uterine factor, male factor, unexplained infertility and other causes. IVF bypasses the function of the fallopian tube by achieving fertilization within a laboratory environment. Ovarian hyper-stimulation is common with IVF treatments to recruit numerous follicles to increase the chances for success. Follicles are retrieved trans-vaginally using a vaginal probe and ultrasound guidance. Anaesthesia is frequently used due to the number of follicles retrieved and the resulting discomfort experienced by the patient. The eggs are identified in the follicular fluid and combined with sperm and culture medium in culture dishes, which are placed in an incubator with a temperature and gas environment designed to mimic the condition of the fallopian tubes. Once the embryos develop, typically over a 3-to-5-day period, they are transferred to the uterine cavity.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the revenue from NewGenIvf’s IVF treatments was US$5,433,375 and US$3,905,863, respectively, representing 100% and 82.6% of its total revenue in the corresponding periods.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IVF Treatments Process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typical IVF treatment process mainly includes two stages, the pre-IVF treatment stage and the IVF treatment stage. During the IVF treatment process, NewGenIvf also provides support services such as nutrition guidance and psychological counselling. The flow chart below shows the stages involved in a typical IVF treatment process:</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drawing>
          <wp:inline distT="0" distB="0" distL="0" distR="0">
            <wp:extent cx="5943600" cy="2371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23717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At the pre-IVF treatment stage, clients attend an initial consultation, undergo pre-IVF tests, and undergo treatment for gynaecological and andrological diseases, if needed. At the initial consultation, a physician reviews the clients’ detailed medical history to collect more information relating to the potential cause of their infertility. The client then undergoes various pre-IVF tests, which may include, among other things, blood pressure, hormone level, ultrasound, infectious disease screening, uterine evaluation and male fertility test. The physician will then design treatment plans based on the client’s medical history and results of the tests. If the client is satisfied with treatment plan and the test results are acceptable to the physician, the physician will prescribe medications and start stimulation treatment.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first step of the cycle is to boost egg production through injecting synthetic hormones. Over about one week of ovarian stimulation, clients are monitored on a regular basis with blood test and transvaginal ultrasound. If follicles have reached at least 10 mm in size, an additional antagonist drug will be added into the daily injection schedule. This is used to prevent ovulation before ovum pickup time. After another few days of ovarian simulation, if follicle growth is consistent and majority of follicles are around 16 mm to 17 mm, the final injection of a human chorionic gonadotropin will be administered. The trigger injection is the final step of the stimulation process and is for the maturation of the eggs in the follicles before they are collected. The next major step is to retrieve the eggs with a minor surgical procedure called Trans Vaginal Follicle Aspiration conducted under anaesthesia. At the same time the male partner collects the sperms for fertilizing the eggs in the laboratory by a process known as intracytoplasmic sperm injection. The fertilized embryos are cultured in the laboratory for two to six days. Embryos that grow well are biopsied and tested by PGT to detect potential genetic diseases.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final step is to transfer the embryos into the uterus using a catheter. Within eight days after the embryo transfer, a blood test can be conducted to detect whether the implantation was successful.</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MicroSort Technology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MicroSort technology is a preconception process developed by the Genetics &amp; IVF Institute, Inc (“GIVF”). that aims to improve the chances that the baby to be conceived will be of the desired gender and prevents certain gender-related hereditary diseases.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Semen samples usually contain equal amounts of sperm carrying the Y chromosome (which will produce a boy), and sperm carrying the X chromosome (which will produce a girl). During the MicroSort process, the sperm sample is washed to remove seminal liquid and nonmotile cells. After the washing, the sample is stained with a special fluorescent material that attaches to the DNA contained in the sperm. The stained sperm cells are analyzed one by one by a flow cytometer, in which cells pass through a laser to make the stain attach to the DNA fluoresce. The sperm containing the X chromosome (which have more DNA and therefore more stain) will shine brighter than the sperm containing the Y chromosome. The flow cytometer uses a special software to identify X and Y chromosome sperm based on their fluorescence signature. The sperm carrying the chromosome that will produce the desired gender are separated from the rest of the sample -resulting in an enriched sperm sample ready for use.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held an exclusive license granted by a division of GIVF, MicroSort International, to use the MicroSort technology in Thailand and Cambodia. MicroSort’s licenses for NewGenIvf’s operation in Thailand and Cambodia were each provided under a lease and service agreement. In April 2019, First Fertility PGS entered into a Lease and Services Agreement with MicroSort International to use MicroSort equipment in Thailand and in March 2019, Phnom Penh Center entered into a Lease and Services Agreement with MicroSort International to use MicroSort equipment in Cambodia (together, the “Lease and Services Agreements”). Pursuant to the Lease and Services Agreements, First Fertility PGS and Phnom Penh Center each had the exclusive right to utilize the MicroSort equipment and to market and sell MicroSort sperm sorting services in Thailand and Cambodia, respectively. MicroSort International was responsible for the maintenance of MicroSort equipment and technical and engineering support. The term of each Lease and Service Agreements was initially from 2019 to 2024, which shall be automatically renewed for one year unless a written notice of at least 180 days prior to the intended termination date is provided. The consideration under each of the Lease and Services Agreements was US$9,000 per month after six months. On February 28, 2025, NewGenIvf completed its acquisition of the MicroSort technology from Genetics &amp; IVF Institute, Inc. (“GIVF”).</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January 21, 2025, the Company entered into a Purchase Agreement with Genetics &amp; IVF Institute, Inc. (“Purchase Agreement”), pursuant to which the Company purchased all of the Assets (as defined in the Purchase Agreement) and IP Licenses (as defined in the Purchase Agreement) relating to the MicroSort Business (as defined in the Purchase Agreement) from Genetics &amp; IVF Institute, Inc. for a cash consideration of $750,000 and a share consideration of 125,000 Class A Ordinary Shares (“Share Consideration” and equivalent to 14 Class A Ordinary Shares adjusted by the Reverse Stock Splits). The Purchase Agreement is filed as Exhibit 10.30 in this registration statement. MicroSort Lab Services, LLC (“MicroSort”) was incorporated by Genetics &amp; IVF Institute, Inc. in January 2025 to hold all of the Assets (as defined in the Purchase Agreement) to be transferred to the Company at closing. The Company’s acquisition of MicroSort was completed on February 28, 2025, and the Share Consideration was issued to GIVF in May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flow chart below shows the process involved in MicroSort:</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029200" cy="2562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029200" cy="25622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Nodexus Technology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438775" cy="3105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38775" cy="3105150"/>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943600" cy="3114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11467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Preimplantation Genetic Screening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Next-Generation Sequencing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NGS is a high-throughput technology for determining the sequence of deoxyribonucleic acid DNA or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Preimplantation Genetic Diagnosis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Similar to PGS, PGD is also used in parallel with an IVF treatment cycle. But PGD is a more enhanced process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achieve a healthy pregnancy. Individuals who suspect or know they carry genes for serious medical conditions may opt to screen for healthy embryos ahead of time.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Egg Freezing Service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provides egg freezing services which is a fertility preservation service that allows individuals to freeze and store their eggs for future use. The process begins with hormonal stimulation to encourage multiple egg production, followed by a minor surgical procedure to retrieve the eggs under sedation. The eggs are then rapidly frozen using vitrification, a technique that prevents ice crystal formation, and stored in liquid nitrogen at ultra-low temperatures. This service is ideal for those delaying childbearing due to career, medical reasons (like cancer treatment), or personal choice. When ready to conceive, the eggs can be thawed, fertilized with sperm, and transferred as embryos. While success rates vary by age and clinic, egg freezing offers a proactive option for preserving fertility.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Fertility Referral Services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generated revenue from fertility referral services in Kyrgyzstan. For the year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Network of 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had one accounting and general administrative support office located in Hong Kong and four clinics located in Thailand, in Cambodia, and in Kyrgyzstan, respectively. In the United States, we have not had office yet but acquired MicroSort Lab Services LLC from Genetic IVF Institute during 2025. The integration of the medical facilities in Thailand help NewGenIvf provide a more seamless one-stop experience to its clients. Set out below is an illustration of the locations of NewGenIvf’s clinics and accounting/general administrative office:</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drawing>
          <wp:inline distT="0" distB="0" distL="0" distR="0">
            <wp:extent cx="5762625" cy="2905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62625" cy="2905125"/>
                    </a:xfrm>
                    <a:prstGeom prst="rect">
                      <a:avLst/>
                    </a:prstGeom>
                  </pic:spPr>
                </pic:pic>
              </a:graphicData>
            </a:graphic>
          </wp:inline>
        </w:drawing>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table sets forth the approximate aggregate average gross floor area (“</w:t>
      </w:r>
      <w:r>
        <w:rPr>
          <w:rFonts w:ascii="Times New Roman;Times;Serif" w:hAnsi="Times New Roman;Times;Serif"/>
          <w:b/>
          <w:i w:val="false"/>
          <w:caps w:val="false"/>
          <w:smallCaps w:val="false"/>
          <w:sz w:val="20"/>
          <w:bdr w:val="single" w:sz="12" w:space="5" w:color="000000"/>
        </w:rPr>
        <w:t>G.F.A.</w:t>
      </w:r>
      <w:r>
        <w:rPr>
          <w:rFonts w:ascii="Times New Roman;Times;Serif" w:hAnsi="Times New Roman;Times;Serif"/>
          <w:b w:val="false"/>
          <w:i w:val="false"/>
          <w:caps w:val="false"/>
          <w:smallCaps w:val="false"/>
          <w:sz w:val="20"/>
          <w:bdr w:val="single" w:sz="12" w:space="5" w:color="000000"/>
        </w:rPr>
        <w:t>”) of each of NewGenIvf’s clinics that were under lease and actively used for client service as of December 31,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8514" w:type="dxa"/>
        <w:jc w:val="left"/>
        <w:tblInd w:w="0" w:type="dxa"/>
        <w:tblLayout w:type="fixed"/>
        <w:tblCellMar>
          <w:top w:w="0" w:type="dxa"/>
          <w:left w:w="0" w:type="dxa"/>
          <w:bottom w:w="0" w:type="dxa"/>
          <w:right w:w="0" w:type="dxa"/>
        </w:tblCellMar>
      </w:tblPr>
      <w:tblGrid>
        <w:gridCol w:w="6785"/>
        <w:gridCol w:w="90"/>
        <w:gridCol w:w="169"/>
        <w:gridCol w:w="1335"/>
        <w:gridCol w:w="135"/>
      </w:tblGrid>
      <w:tr>
        <w:trPr/>
        <w:tc>
          <w:tcPr>
            <w:tcW w:w="6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135" w:type="dxa"/>
            <w:tcBorders/>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(Square Feet)</w:t>
            </w:r>
          </w:p>
        </w:tc>
        <w:tc>
          <w:tcPr>
            <w:tcW w:w="135" w:type="dxa"/>
            <w:tcBorders/>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b/>
                <w:i/>
              </w:rPr>
            </w:pPr>
            <w:r>
              <w:rPr>
                <w:b/>
                <w:i/>
              </w:rPr>
              <w:t>Thailand</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6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Fertility PGS Center Co., Ltd. – PS Tower</w:t>
              <w:br/>
              <w:t>(“</w:t>
            </w:r>
            <w:r>
              <w:rPr>
                <w:rFonts w:ascii="Times New Roman;Times;Serif" w:hAnsi="Times New Roman;Times;Serif"/>
                <w:b/>
                <w:sz w:val="20"/>
              </w:rPr>
              <w:t>First Fertility PGS Center</w:t>
            </w: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14,750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7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Fertility PGS Center Co., Ltd – Erawan Hotel</w:t>
            </w:r>
            <w:r>
              <w:rPr>
                <w:rFonts w:ascii="Times New Roman;Times;Serif" w:hAnsi="Times New Roman;Times;Serif"/>
                <w:b/>
                <w:sz w:val="20"/>
              </w:rPr>
              <w:br/>
              <w:t>(“First Fertility PGS Center”) * closed upon expiration of lease on April 1, 2026</w:t>
            </w:r>
          </w:p>
        </w:tc>
        <w:tc>
          <w:tcPr>
            <w:tcW w:w="9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2,615</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7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785" w:type="dxa"/>
            <w:tcBorders/>
            <w:shd w:fill="FFFFFF" w:val="clear"/>
            <w:vAlign w:val="center"/>
          </w:tcPr>
          <w:p>
            <w:pPr>
              <w:pStyle w:val="TableContents"/>
              <w:bidi w:val="0"/>
              <w:spacing w:before="0" w:after="283"/>
              <w:jc w:val="left"/>
              <w:rPr>
                <w:b/>
                <w:i/>
              </w:rPr>
            </w:pPr>
            <w:r>
              <w:rPr>
                <w:b/>
                <w:i/>
              </w:rPr>
              <w:t>Cambodia</w:t>
            </w:r>
          </w:p>
        </w:tc>
        <w:tc>
          <w:tcPr>
            <w:tcW w:w="9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First Fertility Phnom Penh Center </w:t>
              <w:br/>
              <w:t>(“</w:t>
            </w:r>
            <w:r>
              <w:rPr>
                <w:rFonts w:ascii="Times New Roman;Times;Serif" w:hAnsi="Times New Roman;Times;Serif"/>
                <w:b/>
                <w:sz w:val="20"/>
              </w:rPr>
              <w:t>Phnom Penh Center</w:t>
            </w: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18,567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7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785" w:type="dxa"/>
            <w:tcBorders/>
            <w:shd w:fill="CCEEFF" w:val="clear"/>
            <w:vAlign w:val="center"/>
          </w:tcPr>
          <w:p>
            <w:pPr>
              <w:pStyle w:val="TableContents"/>
              <w:bidi w:val="0"/>
              <w:spacing w:before="0" w:after="283"/>
              <w:jc w:val="left"/>
              <w:rPr>
                <w:b/>
                <w:i/>
              </w:rPr>
            </w:pPr>
            <w:r>
              <w:rPr>
                <w:b/>
                <w:i/>
              </w:rPr>
              <w:t>Kyrgyzstan</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785" w:type="dxa"/>
            <w:tcBorders/>
            <w:shd w:fill="FFFFFF" w:val="clear"/>
            <w:vAlign w:val="center"/>
          </w:tcPr>
          <w:p>
            <w:pPr>
              <w:pStyle w:val="TableContents"/>
              <w:bidi w:val="0"/>
              <w:spacing w:before="0" w:after="283"/>
              <w:jc w:val="left"/>
              <w:rPr/>
            </w:pPr>
            <w:r>
              <w:rPr/>
              <w:t xml:space="preserve">Bi Clinic Limited Liability Company </w:t>
              <w:br/>
              <w:t>(“Bi Clinic”)</w:t>
            </w:r>
          </w:p>
        </w:tc>
        <w:tc>
          <w:tcPr>
            <w:tcW w:w="9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2,164</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7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785" w:type="dxa"/>
            <w:tcBorders/>
            <w:shd w:fill="FFFFFF" w:val="clear"/>
            <w:vAlign w:val="center"/>
          </w:tcPr>
          <w:p>
            <w:pPr>
              <w:pStyle w:val="TableContents"/>
              <w:bidi w:val="0"/>
              <w:spacing w:before="0" w:after="283"/>
              <w:jc w:val="left"/>
              <w:rPr>
                <w:b/>
              </w:rPr>
            </w:pPr>
            <w:r>
              <w:rPr>
                <w:b/>
              </w:rPr>
              <w:t>Aggregate G.F.A</w:t>
            </w:r>
          </w:p>
        </w:tc>
        <w:tc>
          <w:tcPr>
            <w:tcW w:w="9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38,096</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Currently, IVF treatments are performed in its Thailand and Cambodia clinics, egg donation services are provided in its Cambodia clinic, and surrogacy services are provided in its Kyrgyzstan clinic. The following table summarises the services available at NewGenIvf’s clinics: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4425" w:type="dxa"/>
        <w:jc w:val="left"/>
        <w:tblInd w:w="0" w:type="dxa"/>
        <w:tblLayout w:type="fixed"/>
        <w:tblCellMar>
          <w:top w:w="0" w:type="dxa"/>
          <w:left w:w="0" w:type="dxa"/>
          <w:bottom w:w="0" w:type="dxa"/>
          <w:right w:w="0" w:type="dxa"/>
        </w:tblCellMar>
      </w:tblPr>
      <w:tblGrid>
        <w:gridCol w:w="2180"/>
        <w:gridCol w:w="90"/>
        <w:gridCol w:w="1025"/>
        <w:gridCol w:w="90"/>
        <w:gridCol w:w="1040"/>
      </w:tblGrid>
      <w:tr>
        <w:trPr/>
        <w:tc>
          <w:tcPr>
            <w:tcW w:w="2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IVF </w:t>
              <w:br/>
              <w:t>Treatments</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Surrogacy </w:t>
              <w:br/>
              <w:t>Services</w:t>
            </w:r>
          </w:p>
        </w:tc>
      </w:tr>
      <w:tr>
        <w:trPr/>
        <w:tc>
          <w:tcPr>
            <w:tcW w:w="218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w:t>
            </w:r>
          </w:p>
        </w:tc>
        <w:tc>
          <w:tcPr>
            <w:tcW w:w="9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Fertility PGS Centers</w:t>
            </w:r>
          </w:p>
        </w:tc>
        <w:tc>
          <w:tcPr>
            <w:tcW w:w="9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9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EEEFE"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Cambodia</w:t>
            </w:r>
          </w:p>
        </w:tc>
        <w:tc>
          <w:tcPr>
            <w:tcW w:w="9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Phnom Penh Center</w:t>
            </w:r>
          </w:p>
        </w:tc>
        <w:tc>
          <w:tcPr>
            <w:tcW w:w="9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9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EEEFE"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Kyrgyzstan</w:t>
            </w:r>
          </w:p>
        </w:tc>
        <w:tc>
          <w:tcPr>
            <w:tcW w:w="9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 Clinic </w:t>
            </w:r>
          </w:p>
        </w:tc>
        <w:tc>
          <w:tcPr>
            <w:tcW w:w="9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9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885" w:type="dxa"/>
        <w:jc w:val="left"/>
        <w:tblInd w:w="0" w:type="dxa"/>
        <w:tblLayout w:type="fixed"/>
        <w:tblCellMar>
          <w:top w:w="0" w:type="dxa"/>
          <w:left w:w="0" w:type="dxa"/>
          <w:bottom w:w="0" w:type="dxa"/>
          <w:right w:w="0" w:type="dxa"/>
        </w:tblCellMar>
      </w:tblPr>
      <w:tblGrid>
        <w:gridCol w:w="200"/>
        <w:gridCol w:w="290"/>
        <w:gridCol w:w="395"/>
      </w:tblGrid>
      <w:tr>
        <w:trPr/>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290" w:type="dxa"/>
            <w:tcBorders/>
            <w:vAlign w:val="center"/>
          </w:tcPr>
          <w:p>
            <w:pPr>
              <w:pStyle w:val="TableContents"/>
              <w:bidi w:val="0"/>
              <w:spacing w:before="0" w:after="283"/>
              <w:jc w:val="left"/>
              <w:rPr>
                <w:caps w:val="false"/>
                <w:smallCaps w:val="false"/>
              </w:rPr>
            </w:pPr>
            <w:r>
              <w:rPr>
                <w:caps w:val="false"/>
                <w:smallCaps w:val="false"/>
              </w:rPr>
              <w:t>—</w:t>
            </w:r>
          </w:p>
        </w:tc>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795" w:type="dxa"/>
        <w:jc w:val="left"/>
        <w:tblInd w:w="0" w:type="dxa"/>
        <w:tblLayout w:type="fixed"/>
        <w:tblCellMar>
          <w:top w:w="0" w:type="dxa"/>
          <w:left w:w="0" w:type="dxa"/>
          <w:bottom w:w="0" w:type="dxa"/>
          <w:right w:w="0" w:type="dxa"/>
        </w:tblCellMar>
      </w:tblPr>
      <w:tblGrid>
        <w:gridCol w:w="170"/>
        <w:gridCol w:w="290"/>
        <w:gridCol w:w="335"/>
      </w:tblGrid>
      <w:tr>
        <w:trPr/>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0" w:type="dxa"/>
            <w:tcBorders/>
            <w:vAlign w:val="center"/>
          </w:tcPr>
          <w:p>
            <w:pPr>
              <w:pStyle w:val="TableContents"/>
              <w:bidi w:val="0"/>
              <w:spacing w:before="0" w:after="283"/>
              <w:jc w:val="left"/>
              <w:rPr>
                <w:caps w:val="false"/>
                <w:smallCaps w:val="false"/>
              </w:rPr>
            </w:pPr>
            <w:r>
              <w:rPr>
                <w:caps w:val="false"/>
                <w:smallCaps w:val="false"/>
              </w:rPr>
              <w:t>—</w:t>
            </w:r>
          </w:p>
        </w:tc>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table sets forth a breakdown of revenue from services performed at NewGenIvf’s medical centers for the years indicated: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6625" w:type="dxa"/>
        <w:jc w:val="left"/>
        <w:tblInd w:w="0" w:type="dxa"/>
        <w:tblLayout w:type="fixed"/>
        <w:tblCellMar>
          <w:top w:w="0" w:type="dxa"/>
          <w:left w:w="0" w:type="dxa"/>
          <w:bottom w:w="0" w:type="dxa"/>
          <w:right w:w="0" w:type="dxa"/>
        </w:tblCellMar>
      </w:tblPr>
      <w:tblGrid>
        <w:gridCol w:w="2300"/>
        <w:gridCol w:w="90"/>
        <w:gridCol w:w="90"/>
        <w:gridCol w:w="1010"/>
        <w:gridCol w:w="90"/>
        <w:gridCol w:w="90"/>
        <w:gridCol w:w="90"/>
        <w:gridCol w:w="590"/>
        <w:gridCol w:w="90"/>
        <w:gridCol w:w="90"/>
        <w:gridCol w:w="90"/>
        <w:gridCol w:w="1010"/>
        <w:gridCol w:w="90"/>
        <w:gridCol w:w="90"/>
        <w:gridCol w:w="90"/>
        <w:gridCol w:w="590"/>
        <w:gridCol w:w="135"/>
      </w:tblGrid>
      <w:tr>
        <w:trPr/>
        <w:tc>
          <w:tcPr>
            <w:tcW w:w="23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1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HK SAR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Thailand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2,175,253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40.0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1,691,862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43.3</w:t>
            </w:r>
          </w:p>
        </w:tc>
        <w:tc>
          <w:tcPr>
            <w:tcW w:w="135"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Cambodia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601,526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676,743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17.4</w:t>
            </w:r>
          </w:p>
        </w:tc>
        <w:tc>
          <w:tcPr>
            <w:tcW w:w="13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Kyrgyzstan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2,656,596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48.9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1,491,778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38.2</w:t>
            </w:r>
          </w:p>
        </w:tc>
        <w:tc>
          <w:tcPr>
            <w:tcW w:w="135"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Other third party clinics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45,480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3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b/>
              </w:rPr>
            </w:pPr>
            <w:r>
              <w:rPr>
                <w:b/>
              </w:rPr>
              <w:t>Total Revenue</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3,905,863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Thailand Clinic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had two clinics in Thailand. At the clinic in Thailand, NewGenIvf offers its clients customized fertility treatment solutions including IVF/ICSI, embryo culture, hormonal blood tests, infectious diseases tests, chromosome screening by PGT, hysteroscopy, sperm analysis, sorting, washing and freezing, and egg freezing. Its medical and operational personnel are organized into specialized teams according to the different stages of the IVF treatment process and different patient profiles. When clients are admitted, they are assigned to a team which NewGenIvf believes is better suited the clients after taking into account the clients’ diagnosis and preferences. Furthermore, NewGenIvf also provides related value-added services such as nutrition guidance, psychological counselling, acupuncture, and translation interpreters to supplement the IVF treatment. NewGenIvf prides itself on providing quality and customized treatment to its clients on a day-to-day basis.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the clinic in Thailand had 8 nurses, 8 full time lab physicians and embryologists, 22 administrative staff, totaling 38 staff members.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Cambodia Clinic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one clinic, Phnom Penh Center, in Cambodia. Phnom Penh Center is staffed with 3 Cambodian physician, 2 embryologists, 8 nurses and 12 other staff, and offers similar IVF treatments as in Thailand and egg donation services. Phnom Penh Center operates under a license issued by Cambodia MOH for the Cambodian physician, who has entered into an agreement with Phnom Penh Center for the exclusive use of such license.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After more than ten years of development since its opening in 2015, Phnom Penh Center has become one of the long-standing ARS providers in Cambodia. Phnom Penh Center’s IVF philosophy concentrates on three key points in the treatment process: the mother’s wellbeing, the technology used to assist mothers deliver a strong and healthy baby and the medical science used to ensure every chance of success for women in various age spectrums.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Clinic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Through Bi Clinic, NewGenIvf also provide fertility referral services by referring customers who are interested in surrogacy services which are legal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Although Physician at Bi Clinic has expertise in sourcing surrogate mothers, techniques of embryo transfers, prenatal care, baby delivery, and postnatal care, NewGenIvf refers customers to independent agents for fertility service like surrogacy so as to reduce the operation risks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Bi Clinic had 1 full-time physician, 1 embryologist, 1 nurse, and 7 other staff.</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Professionals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Licensed Physicians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employed five licensed physicians, among which one was based in Cambodia, one was based in Kyrgyzstan and the other three were based in Thailand. Most of NewGenIvf’s physicians had over 10 years of experience or above. The following table summarizes the number and types of such licensed physicians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28" w:type="dxa"/>
          <w:right w:w="0" w:type="dxa"/>
        </w:tblCellMar>
      </w:tblPr>
      <w:tblGrid>
        <w:gridCol w:w="995"/>
        <w:gridCol w:w="90"/>
        <w:gridCol w:w="2015"/>
        <w:gridCol w:w="90"/>
        <w:gridCol w:w="2163"/>
        <w:gridCol w:w="90"/>
        <w:gridCol w:w="2035"/>
        <w:gridCol w:w="90"/>
        <w:gridCol w:w="2637"/>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Licensed physician</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6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Licenses and</w:t>
              <w:br/>
              <w:t>Approvals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Period</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37"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Issuing</w:t>
              <w:br/>
              <w:t>Authority</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Cambodia</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Keut Serey</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 on permission for beauty treatment operation</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14, 2022 – December 14, 2026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Ministry of Health of Cambodia</w:t>
            </w:r>
          </w:p>
        </w:tc>
      </w:tr>
      <w:tr>
        <w:trPr/>
        <w:tc>
          <w:tcPr>
            <w:tcW w:w="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Keatthisak Boonsimma</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31801 Medical Practitioner License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2005 – Indefinite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 Thai College of Obstetricians and Gynaecologists of Thailand</w:t>
            </w:r>
          </w:p>
        </w:tc>
      </w:tr>
      <w:tr>
        <w:trPr/>
        <w:tc>
          <w:tcPr>
            <w:tcW w:w="9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22624/2554</w:t>
              <w:br/>
              <w:t>OB-Gyn License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2014 – Indefinite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40962/2563 Reproductive Medicine Diploma</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2020 – Indefinite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Anurach Kulvanitchaiyanunt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Practice License No. 11755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 2025 – Indefinite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Wiphawee Luangtangvarodom</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38347/2562</w:t>
              <w:br/>
              <w:t>OB-Gyn License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2019 – Indefinite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43217/2564 Reproductive Medicine License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2021 – Indefinite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48510 Medical Practitioner License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2014 – Indefinite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Kyrgyzstan</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Myrzalymbekova A.B.</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&amp; numero; CO170001836 Medical Certificate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23. 2017 - Indefinite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Medical Council of Kyrgyzstan </w:t>
            </w:r>
          </w:p>
        </w:tc>
      </w:tr>
      <w:tr>
        <w:trPr/>
        <w:tc>
          <w:tcPr>
            <w:tcW w:w="9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&amp;numero;0002953 Medical Practitioner</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April 2018 - Indefinite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r>
        <w:trPr/>
        <w:tc>
          <w:tcPr>
            <w:tcW w:w="9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&amp;numero;11373\2565 Medical Certificate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August 2024 - Indefinite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r>
        <w:trPr/>
        <w:tc>
          <w:tcPr>
            <w:tcW w:w="9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&amp;numero;0003447 Medical Certificate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April 2023 - Indefinite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Customers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the majority of NewGenIvf’s clients were from China (including mainland China and Hong Kong). NewGenIvf enters into a verbal contract with each of its customers that outline, among other things, the scope of services, service fees, payment terms and rights, responsibilities and obligations of each party. Consent is obtained from the patients prior to the provision of the various treatments. Customers are not entitled to enjoy the relevant services until outstanding amounts have been settled pursuant to the relevant contract. Sales to individual consumers did not vary significantly and none of the customers contribute more than 10% of NewGenIvf’s revenue for the years ended December 31, 2024 and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to significant customers using NewGenIvf’s IVF treatment services and ancillary caring services, NewGenIvf also has customers who utilize the access to the freezing and storage facility and other relatively insignificant services, such as check-ups services, blood test services and other minor services (the latter category of customers are referred to as “consultation customers”). NewGenIvf also refers customers to other IVF and/or Surrogacy agents who will provide fertility referral income for NewGenIvf.</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Sales and Marketing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NewGenIvf promoted brand awareness through its sales teams and, in many cases, through cooperating with third-party agencies and partners.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sales teams have broad experience in fertility services and are responsible for identifying potential clients and managing the overall sales process. NewGenIvf’s sales team primarily relies on social media marketing, word-of-mouth referrals, recognition of its brand, printed advertisements and marketing events. NewGenIvf spends marketing expenses on placing advertisements through popular social media platforms, maintaining the official website of NewGenIvf and sending information through its official accounts on social media platforms.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Supply and Procurement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procurement is mainly for medications, laboratory media and reagents, laboratory consumables, and blood test reagents. As of December 31, 2024 and 2025, there was no single supplier individually contributed more than 10% of the Group’s trade payable respectively. For both the years ended December 31, 2024 and 2025, no vendor contributed more than 10% of total direct cost of the Group. NewGenIvf’s procurement team is experienced in selecting cost-effective supplies as well as selecting reliable suppliers. NewGenIvf’s major suppliers are pharmaceutical companies.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Competition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it is a long-standing provider of ARS in Asia Pacific that competes primarily based on the following competitive factors: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4480" w:type="dxa"/>
        <w:jc w:val="left"/>
        <w:tblInd w:w="0" w:type="dxa"/>
        <w:tblLayout w:type="fixed"/>
        <w:tblCellMar>
          <w:top w:w="0" w:type="dxa"/>
          <w:left w:w="0" w:type="dxa"/>
          <w:bottom w:w="0" w:type="dxa"/>
          <w:right w:w="0" w:type="dxa"/>
        </w:tblCellMar>
      </w:tblPr>
      <w:tblGrid>
        <w:gridCol w:w="105"/>
        <w:gridCol w:w="200"/>
        <w:gridCol w:w="41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and comprehensiveness of the solutions;</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5065" w:type="dxa"/>
        <w:jc w:val="left"/>
        <w:tblInd w:w="0" w:type="dxa"/>
        <w:tblLayout w:type="fixed"/>
        <w:tblCellMar>
          <w:top w:w="0" w:type="dxa"/>
          <w:left w:w="0" w:type="dxa"/>
          <w:bottom w:w="0" w:type="dxa"/>
          <w:right w:w="0" w:type="dxa"/>
        </w:tblCellMar>
      </w:tblPr>
      <w:tblGrid>
        <w:gridCol w:w="105"/>
        <w:gridCol w:w="200"/>
        <w:gridCol w:w="47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that is effective and achieves desired outcomes;</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8905" w:type="dxa"/>
        <w:jc w:val="left"/>
        <w:tblInd w:w="0" w:type="dxa"/>
        <w:tblLayout w:type="fixed"/>
        <w:tblCellMar>
          <w:top w:w="0" w:type="dxa"/>
          <w:left w:w="0" w:type="dxa"/>
          <w:bottom w:w="0" w:type="dxa"/>
          <w:right w:w="0" w:type="dxa"/>
        </w:tblCellMar>
      </w:tblPr>
      <w:tblGrid>
        <w:gridCol w:w="105"/>
        <w:gridCol w:w="200"/>
        <w:gridCol w:w="86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clients’ experience, including dedicated patient education, clinical guidance and emotional support; and</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4825" w:type="dxa"/>
        <w:jc w:val="left"/>
        <w:tblInd w:w="0" w:type="dxa"/>
        <w:tblLayout w:type="fixed"/>
        <w:tblCellMar>
          <w:top w:w="0" w:type="dxa"/>
          <w:left w:w="0" w:type="dxa"/>
          <w:bottom w:w="0" w:type="dxa"/>
          <w:right w:w="0" w:type="dxa"/>
        </w:tblCellMar>
      </w:tblPr>
      <w:tblGrid>
        <w:gridCol w:w="105"/>
        <w:gridCol w:w="200"/>
        <w:gridCol w:w="45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a network of high-quality fertility specialists.</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competes primarily with other regional fertility service providers. While NewGenIvf does not believe any single competitor offers a comparably robust and integrated fertility solution package as NewGenIvf in the regions that it operates, NewGenIvf’s competitors may compete in a variety of ways, including by providing better services, having established local connections, fulfilling evolving client needs, as well as conducting brand promotions and other marketing activities.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NewGenIvf may introduce new ancillary services and other companies may introduce similar fertility services as NewGenIvf’s, NewGenIvf may become subject to additional competition.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in addition to its clinics, NewGenIvf leased one property in Hong Kong with an aggregate square footage of approximately 8,000 for its administration support offices. NewGenIvf also operates its medical facilities as described above in “Network of Facilities” above. NewGenIvf believes that its existing facilities are suitable and adequate to meet its current needs.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Organizational Structure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is a list of our principal subsidiaries and consolidated affiliated entities as of the date of this Report: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28" w:type="dxa"/>
          <w:right w:w="0" w:type="dxa"/>
        </w:tblCellMar>
      </w:tblPr>
      <w:tblGrid>
        <w:gridCol w:w="5875"/>
        <w:gridCol w:w="90"/>
        <w:gridCol w:w="1363"/>
        <w:gridCol w:w="90"/>
        <w:gridCol w:w="2787"/>
      </w:tblGrid>
      <w:tr>
        <w:trPr/>
        <w:tc>
          <w:tcPr>
            <w:tcW w:w="5875"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Formation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w:t>
            </w:r>
          </w:p>
        </w:tc>
      </w:tr>
      <w:tr>
        <w:trPr/>
        <w:tc>
          <w:tcPr>
            <w:tcW w:w="5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Limited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16, 2019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MicroSort Lab Services LLC</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on February 28, 2025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NewGenDigital Limited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June 16, 2025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FFPGS (HK) Ltd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December 19, 2019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NewGenProperty Limited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June 16, 2025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NewGenBiz Limited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13, 2026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NewGenOman Limited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February 2, 2026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3"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87"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Nodexus Limited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Hong Kong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8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Wholly-owned subsidiary</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July 16,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87" w:type="dxa"/>
            <w:tcBorders/>
            <w:shd w:fill="CCEEFF" w:val="clear"/>
            <w:tcMar>
              <w:bottom w:w="0" w:type="dxa"/>
            </w:tcMar>
            <w:vAlign w:val="center"/>
          </w:tcPr>
          <w:p>
            <w:pPr>
              <w:pStyle w:val="TableContents"/>
              <w:bidi w:val="0"/>
              <w:spacing w:before="0" w:after="283"/>
              <w:ind w:left="0" w:right="0" w:hanging="180"/>
              <w:jc w:val="center"/>
              <w:rPr/>
            </w:pPr>
            <w:r>
              <w:rPr/>
              <w:t> </w:t>
            </w:r>
          </w:p>
        </w:tc>
      </w:tr>
      <w:tr>
        <w:trPr/>
        <w:tc>
          <w:tcPr>
            <w:tcW w:w="58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875" w:type="dxa"/>
            <w:tcBorders/>
            <w:shd w:fill="CCEEFF" w:val="clear"/>
            <w:tcMar>
              <w:bottom w:w="0" w:type="dxa"/>
            </w:tcMar>
            <w:vAlign w:val="center"/>
          </w:tcPr>
          <w:p>
            <w:pPr>
              <w:pStyle w:val="TableContents"/>
              <w:bidi w:val="0"/>
              <w:spacing w:before="0" w:after="283"/>
              <w:jc w:val="left"/>
              <w:rPr>
                <w:caps w:val="false"/>
                <w:smallCaps w:val="false"/>
              </w:rPr>
            </w:pPr>
            <w:r>
              <w:rPr>
                <w:rFonts w:ascii="Times New Roman;Times;Serif" w:hAnsi="Times New Roman;Times;Serif"/>
                <w:b/>
                <w:i w:val="false"/>
                <w:caps w:val="false"/>
                <w:smallCaps w:val="false"/>
                <w:sz w:val="20"/>
              </w:rPr>
              <w:t xml:space="preserve">Artsy Angel Charitable Foundation Limited </w:t>
            </w:r>
            <w:r>
              <w:rPr>
                <w:rFonts w:eastAsia="Times New Roman;Times;Serif"/>
                <w:b/>
                <w:i w:val="false"/>
                <w:caps w:val="false"/>
                <w:smallCaps w:val="false"/>
                <w:sz w:val="20"/>
              </w:rPr>
              <w:t xml:space="preserve">藝術天使慈善基金有限公司 </w:t>
            </w:r>
            <w:r>
              <w:rPr>
                <w:rFonts w:ascii="Times New Roman;Times;Serif" w:hAnsi="Times New Roman;Times;Serif"/>
                <w:b/>
                <w:i w:val="false"/>
                <w:caps w:val="false"/>
                <w:smallCaps w:val="false"/>
                <w:sz w:val="20"/>
              </w:rPr>
              <w:t>(formally known as Alfred Siu Charitable Foundation Limited)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February 27, 2026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7"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975"/>
        <w:gridCol w:w="90"/>
        <w:gridCol w:w="1925"/>
        <w:gridCol w:w="90"/>
        <w:gridCol w:w="5125"/>
      </w:tblGrid>
      <w:tr>
        <w:trPr/>
        <w:tc>
          <w:tcPr>
            <w:tcW w:w="2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 Clinic LLC</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Kyrgyzstan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on December 17, 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Fertility PGS Center Limited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Indirect subsidiary, 74% owned by Well Image Limited HK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March 6, 2014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directly and indirectly</w:t>
            </w:r>
          </w:p>
        </w:tc>
      </w:tr>
      <w:tr>
        <w:trPr/>
        <w:tc>
          <w:tcPr>
            <w:tcW w:w="29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Fertility Phnom Penh Ltd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Kingdom of Cambodia</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August 10, 2015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 Holdings Limited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CCEEFF" w:val="cle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48.99% owned by Well Image Limited HK</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21, 2015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Well Image Limited HK</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July 11, 2008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7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HyFi Innovations Limited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CCEEFF" w:val="cle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NewGenDigital Limited</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October 20, 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subsidiaries were disposed of:</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5181"/>
        <w:gridCol w:w="90"/>
        <w:gridCol w:w="560"/>
        <w:gridCol w:w="90"/>
        <w:gridCol w:w="4284"/>
      </w:tblGrid>
      <w:tr>
        <w:trPr/>
        <w:tc>
          <w:tcPr>
            <w:tcW w:w="5181" w:type="dxa"/>
            <w:tcBorders/>
            <w:vAlign w:val="center"/>
          </w:tcPr>
          <w:p>
            <w:pPr>
              <w:pStyle w:val="TableContents"/>
              <w:bidi w:val="0"/>
              <w:spacing w:before="0" w:after="0"/>
              <w:ind w:left="0" w:right="0" w:hanging="0"/>
              <w:jc w:val="left"/>
              <w:rPr>
                <w:caps w:val="false"/>
                <w:smallCaps w:val="false"/>
              </w:rPr>
            </w:pPr>
            <w:r>
              <w:rPr>
                <w:rFonts w:eastAsia="Times New Roman;Times;Serif"/>
                <w:b/>
                <w:i w:val="false"/>
                <w:caps w:val="false"/>
                <w:smallCaps w:val="false"/>
                <w:sz w:val="20"/>
              </w:rPr>
              <w:t>深圳前海豐泰仁匯健康科技有限公司</w:t>
            </w:r>
            <w:r>
              <w:rPr>
                <w:rFonts w:ascii="Times New Roman;Times;Serif" w:hAnsi="Times New Roman;Times;Serif"/>
                <w:b/>
                <w:i w:val="false"/>
                <w:caps w:val="false"/>
                <w:smallCaps w:val="false"/>
                <w:sz w:val="20"/>
              </w:rPr>
              <w:br/>
              <w:t>(Shenzhen Qianhai Fengtai Renhui Health Technology Co., Ltd)</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Disposed of on July 29, 2025</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b/>
                <w:sz w:val="20"/>
              </w:rPr>
            </w:pPr>
            <w:r>
              <w:rPr>
                <w:b/>
                <w:sz w:val="20"/>
              </w:rPr>
              <w:t>China</w:t>
            </w:r>
          </w:p>
        </w:tc>
        <w:tc>
          <w:tcPr>
            <w:tcW w:w="90" w:type="dxa"/>
            <w:tcBorders/>
            <w:vAlign w:val="center"/>
          </w:tcPr>
          <w:p>
            <w:pPr>
              <w:pStyle w:val="TableContents"/>
              <w:bidi w:val="0"/>
              <w:spacing w:before="0" w:after="283"/>
              <w:jc w:val="left"/>
              <w:rPr/>
            </w:pPr>
            <w:r>
              <w:rPr/>
              <w:t> </w:t>
            </w:r>
          </w:p>
        </w:tc>
        <w:tc>
          <w:tcPr>
            <w:tcW w:w="4284" w:type="dxa"/>
            <w:tcBorders/>
            <w:vAlign w:val="center"/>
          </w:tcPr>
          <w:p>
            <w:pPr>
              <w:pStyle w:val="TableContents"/>
              <w:bidi w:val="0"/>
              <w:spacing w:before="0" w:after="283"/>
              <w:jc w:val="center"/>
              <w:rPr>
                <w:b/>
                <w:sz w:val="20"/>
              </w:rPr>
            </w:pPr>
            <w:r>
              <w:rPr>
                <w:b/>
                <w:sz w:val="20"/>
              </w:rPr>
              <w:t>Indirect subsidiary, wholly owned by FFPGS (HK) Ltd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Property, Plants and Equipment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leases the premises for its principal executive office located at 36/39-36/40, 13</w:t>
      </w:r>
      <w:r>
        <w:rPr>
          <w:rFonts w:ascii="Times New Roman;Times;Serif" w:hAnsi="Times New Roman;Times;Serif"/>
          <w:b w:val="false"/>
          <w:i w:val="false"/>
          <w:caps w:val="false"/>
          <w:smallCaps w:val="false"/>
          <w:position w:val="7"/>
          <w:sz w:val="16"/>
          <w:sz w:val="20"/>
          <w:bdr w:val="single" w:sz="12" w:space="5" w:color="000000"/>
        </w:rPr>
        <w:t>th</w:t>
      </w:r>
      <w:r>
        <w:rPr>
          <w:rFonts w:ascii="Times New Roman;Times;Serif" w:hAnsi="Times New Roman;Times;Serif"/>
          <w:b w:val="false"/>
          <w:i w:val="false"/>
          <w:caps w:val="false"/>
          <w:smallCaps w:val="false"/>
          <w:sz w:val="20"/>
          <w:bdr w:val="single" w:sz="12" w:space="5" w:color="000000"/>
        </w:rPr>
        <w:t xml:space="preserve"> Floor, PS Tower, Sukhumvit 21 Road (Asoke) Khlong Toei Nuea Sub-district, Watthana District, Bangkok 10110, Thailand. The Company leases one property in Hong Kong with an aggregate square footage of approximately 8,000 for its administration support offices.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also leases several premises to operate its clinics in various countries. The Company operates the Bi Clinic Limited Liability Company starting from December 17, 2024 in Kyrgyzstan, which premises have an aggregate area of 2,164 square feet. In Cambodia, the Company operates the First Fertility Phnom Penh Center, which premises have an aggregate area of 18,567 square feet. In Thailand, the Company operates a clinic named First Fertility PGS Center Co., Ltd., which premises have an aggregate area of 14,750 square feet.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also leases premises located in Thailand for its Erawan Consultation Clinic clinic, with an aggregate area of approximately 2,615 square feet. This property has been used as the Company’s second clinic in Thailand since early 2025 but will stop operating in March 2026 as the landlord has decided to lease it to other parties.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Nasdaq Deficiency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8, 2024, the Company received a deficiency letter (“Bid Price Deficiency Letter”) from the Listing Qualifications Department (the “Staff”) of Nasdaq notifying the Company that it is currently not in compliance with the closing bid price requirement under Nasdaq Listing Rule 5450(a)(1) (the “Minimum Bid Price Rule”). The Bid Price Deficiency Letter stated that, for the preceding 30 consecutive business days, the Company’s Class A Ordinary Shares did not meet the minimum closing bid price of $1 per share pursuant to the Minimum Bid Price Rule. The Company has an initial compliance period of 180 calendar days, or until April 7, 2025 to regain compliance with the Minimum Bid Price Rule. The Deficiency letter stated that if at any time the closing bid price of the Company’s Class A Ordinary Shares is at least $1 for a minimum of ten consecutive business days, Nasdaq will provide the Company written confirmation of compliance with this requirement, as applicable. On February 11, 2025, the Company effected a 1-for-20 reverse stock split of its issued and unissued shares. The effect of the reverse stock split was to consolidate every 20 issued and unissued shares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24, 2024, the Company received a deficiency letter (“MVLS Deficiency Letter”) from the Staff of Nasdaq notifying the Company that, for the preceding 35 consecutive business days, the Class A Shares did not meet the minimum $50,000,000 Market Value of Listed Securities requirement (“MVLS Requirement”) for continued listing on Nasdaq pursuant to Nasdaq Listing Rules 5450(b)(2)(A) (the “MVLS Requirement,” and the Company’s non-compliance with this requirement, the “MVLS Deficiency”). In accordance with Nasdaq Rule 5810(c)(3)(C), the Company has been provided an initial period of 180 calendar days, or until November 20, 2024 (the “Compliance Date”), to regain compliance with the MVLS Requirement. If, at any time before the Compliance Date, the MVLS for the Class A Shares is at least $50,000,000 for a minimum of ten consecutive business days, the Staff will provide the Company written confirmation of compliance with the MVLS Requirement. In the event the Company does not regain compliance with the above requirement prior to the expiration of the compliance period, it will receive written notification that its securities are subject to delisting. </w:t>
      </w:r>
    </w:p>
    <w:p>
      <w:pPr>
        <w:pStyle w:val="TextBody"/>
        <w:bidi w:val="0"/>
        <w:spacing w:before="0" w:after="0"/>
        <w:ind w:left="72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24, 2024, the Company received a deficiency letter (“MVPHS Deficiency Letter”) from the Staff of Nasdaq notifying the Company that, for the preceding 35 consecutive business days, the Company’s Class A Ordinary Shares did not meet the minimum $15,000,000 Market Value of Publicly Held Shares (“MVPHS”) requirement for continued listing on Nasdaq pursuant to Nasdaq Listing Rules 5450(b)(2)(C) (the “MVPHS Requirement,” and the Company’s non-compliance with this requirement, the “MVPHS Deficiency”). In accordance with Nasdaq Rule 5810(c)(3)(D), the Company has until the Compliance Date to regain compliance with the MVPHS Requirement. If, at any time before the Compliance Date, the MVPHS for the Class A Shares is at least $15,000,000 for a minimum of ten consecutive business days, the Staff will provide the Company written confirmation of compliance with the MVPHS Requirement. In the event the Company does not regain compliance with the above requirement prior to the expiration of the compliance period, it will receive written notification that its securities are subject to delisting. Alternatively, the Company may apply to transfer the Company’s securities to The Nasdaq Capital Market.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21, 2024, the Company received a notice from the Staff of Nasdaq notifying the Company that its securities are subject to delisting due to the MVPHS Deficiency and MLVS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(“Nasdaq” or the “Exchange”) continued listing requirements, subject to meeting specific compliance criteria within designated timeframes. On February 11, 2025, the Company carried out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the Company has effected a number of reverse stock splits of its issued and unissued shares. On May 5, 2025, the Company effected a 1-for-10 reverse stock split of its issued and unissued shares. On August 4, 2025, the Company carried out a 1-for-5 reverse stock split of its issued and unissued shares. On December 1, 2025, the Company carried out a 1-for-5 reverse stock split of its issued and unissued shares. On January 26, 2026, the Company effected a 1-for-3 reverse stock split of its issued and unissued shares. On March 16, 2026, the Company effected a 1-for-4 reverse stock split of its issued and unissued shares. On July 6, 2026, the Company effected a 1-for-3 reverse stock split of its issued and unissued shares. The Company announced on August 18, 2026, that it will effect a 1-for-3 reverse stock split of its issued and unissued shares on September 1, 2026.</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Capitalization and Indebtedness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Below is the Company’s capitalization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150" w:type="dxa"/>
        <w:jc w:val="left"/>
        <w:tblInd w:w="0" w:type="dxa"/>
        <w:tblLayout w:type="fixed"/>
        <w:tblCellMar>
          <w:top w:w="0" w:type="dxa"/>
          <w:left w:w="0" w:type="dxa"/>
          <w:bottom w:w="0" w:type="dxa"/>
          <w:right w:w="0" w:type="dxa"/>
        </w:tblCellMar>
      </w:tblPr>
      <w:tblGrid>
        <w:gridCol w:w="4670"/>
        <w:gridCol w:w="90"/>
        <w:gridCol w:w="90"/>
        <w:gridCol w:w="1130"/>
        <w:gridCol w:w="170"/>
      </w:tblGrid>
      <w:tr>
        <w:trPr/>
        <w:tc>
          <w:tcPr>
            <w:tcW w:w="4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758,621</w:t>
            </w:r>
          </w:p>
        </w:tc>
        <w:tc>
          <w:tcPr>
            <w:tcW w:w="17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EQUITY</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Share capital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Additional paid-in capital</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17,881,176</w:t>
            </w:r>
          </w:p>
        </w:tc>
        <w:tc>
          <w:tcPr>
            <w:tcW w:w="17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Retained Earnings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8,893,414</w:t>
            </w:r>
          </w:p>
        </w:tc>
        <w:tc>
          <w:tcPr>
            <w:tcW w:w="17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Accumulated other comprehensive (loss) income</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170" w:type="dxa"/>
            <w:tcBorders/>
            <w:shd w:fill="FFFFFF" w:val="clear"/>
            <w:vAlign w:val="center"/>
          </w:tcPr>
          <w:p>
            <w:pPr>
              <w:pStyle w:val="TableContents"/>
              <w:bidi w:val="0"/>
              <w:spacing w:before="0" w:after="283"/>
              <w:jc w:val="left"/>
              <w:rPr/>
            </w:pPr>
            <w:r>
              <w:rPr/>
              <w:t>)</w:t>
            </w:r>
          </w:p>
        </w:tc>
      </w:tr>
      <w:tr>
        <w:trPr/>
        <w:tc>
          <w:tcPr>
            <w:tcW w:w="4670" w:type="dxa"/>
            <w:tcBorders/>
            <w:shd w:fill="CCEEFF" w:val="clear"/>
            <w:vAlign w:val="center"/>
          </w:tcPr>
          <w:p>
            <w:pPr>
              <w:pStyle w:val="TableContents"/>
              <w:bidi w:val="0"/>
              <w:spacing w:before="0" w:after="283"/>
              <w:jc w:val="left"/>
              <w:rPr/>
            </w:pPr>
            <w:r>
              <w:rPr/>
              <w:t>Total capitalization</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26,631,519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4224" w:type="dxa"/>
        <w:jc w:val="left"/>
        <w:tblInd w:w="0" w:type="dxa"/>
        <w:tblLayout w:type="fixed"/>
        <w:tblCellMar>
          <w:top w:w="0" w:type="dxa"/>
          <w:left w:w="0" w:type="dxa"/>
          <w:bottom w:w="0" w:type="dxa"/>
          <w:right w:w="0" w:type="dxa"/>
        </w:tblCellMar>
      </w:tblPr>
      <w:tblGrid>
        <w:gridCol w:w="2495"/>
        <w:gridCol w:w="90"/>
        <w:gridCol w:w="110"/>
        <w:gridCol w:w="1394"/>
        <w:gridCol w:w="135"/>
      </w:tblGrid>
      <w:tr>
        <w:trPr/>
        <w:tc>
          <w:tcPr>
            <w:tcW w:w="24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13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US$</w:t>
            </w:r>
          </w:p>
        </w:tc>
        <w:tc>
          <w:tcPr>
            <w:tcW w:w="13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Total Net Book Value</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25,986,693</w:t>
            </w:r>
          </w:p>
        </w:tc>
        <w:tc>
          <w:tcPr>
            <w:tcW w:w="13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Total Share Outstanding*</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80,208</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in March 2026 of 1 share for every 4 shares issued, and in July 2026 of 1 share for every 3 shares issued respectively.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Statements of indebtedness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4930" w:type="dxa"/>
        <w:jc w:val="left"/>
        <w:tblInd w:w="0" w:type="dxa"/>
        <w:tblLayout w:type="fixed"/>
        <w:tblCellMar>
          <w:top w:w="0" w:type="dxa"/>
          <w:left w:w="0" w:type="dxa"/>
          <w:bottom w:w="0" w:type="dxa"/>
          <w:right w:w="0" w:type="dxa"/>
        </w:tblCellMar>
      </w:tblPr>
      <w:tblGrid>
        <w:gridCol w:w="3605"/>
        <w:gridCol w:w="90"/>
        <w:gridCol w:w="90"/>
        <w:gridCol w:w="1010"/>
        <w:gridCol w:w="135"/>
      </w:tblGrid>
      <w:tr>
        <w:trPr/>
        <w:tc>
          <w:tcPr>
            <w:tcW w:w="3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3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Account payable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779,280</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Accrued liabilities and other payables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711,892</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111,981</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Operating lease liabilities, current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238,105</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    </w:t>
            </w:r>
            <w:r>
              <w:rPr/>
              <w:t>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256,056</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    </w:t>
            </w:r>
            <w:r>
              <w:rPr/>
              <w:t>Embedded derivative liability</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262,616</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2,359,930</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Non-current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Lease liabilities, operating leases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272,359</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4,097,366</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Total non-current liabilities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4,369,725</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Total Indebtedness</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pPr>
            <w:r>
              <w:rPr/>
              <w:t>6,729,655</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Comprehensive Income and Earnings Per Share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information is presented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9639" w:type="dxa"/>
        <w:jc w:val="left"/>
        <w:tblInd w:w="0" w:type="dxa"/>
        <w:tblLayout w:type="fixed"/>
        <w:tblCellMar>
          <w:top w:w="0" w:type="dxa"/>
          <w:left w:w="0" w:type="dxa"/>
          <w:bottom w:w="0" w:type="dxa"/>
          <w:right w:w="0" w:type="dxa"/>
        </w:tblCellMar>
      </w:tblPr>
      <w:tblGrid>
        <w:gridCol w:w="7265"/>
        <w:gridCol w:w="90"/>
        <w:gridCol w:w="309"/>
        <w:gridCol w:w="1840"/>
        <w:gridCol w:w="135"/>
      </w:tblGrid>
      <w:tr>
        <w:trPr/>
        <w:tc>
          <w:tcPr>
            <w:tcW w:w="7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center"/>
              <w:rPr>
                <w:b/>
              </w:rPr>
            </w:pPr>
            <w:r>
              <w:rPr>
                <w:b/>
              </w:rPr>
              <w:t>Existing shareholder</w:t>
            </w:r>
          </w:p>
        </w:tc>
        <w:tc>
          <w:tcPr>
            <w:tcW w:w="135" w:type="dxa"/>
            <w:tcBorders/>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31/12/2025</w:t>
            </w:r>
          </w:p>
        </w:tc>
        <w:tc>
          <w:tcPr>
            <w:tcW w:w="135" w:type="dxa"/>
            <w:tcBorders/>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Total comprehensive income attributable to the shareholders of the company</w:t>
            </w:r>
          </w:p>
        </w:tc>
        <w:tc>
          <w:tcPr>
            <w:tcW w:w="9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1840" w:type="dxa"/>
            <w:tcBorders/>
            <w:shd w:fill="CCEEFF" w:val="clear"/>
            <w:vAlign w:val="center"/>
          </w:tcPr>
          <w:p>
            <w:pPr>
              <w:pStyle w:val="TableContents"/>
              <w:bidi w:val="0"/>
              <w:spacing w:before="0" w:after="283"/>
              <w:jc w:val="right"/>
              <w:rPr/>
            </w:pPr>
            <w:r>
              <w:rPr/>
              <w:t>9,717,462</w:t>
            </w:r>
          </w:p>
        </w:tc>
        <w:tc>
          <w:tcPr>
            <w:tcW w:w="135"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283"/>
              <w:jc w:val="left"/>
              <w:rPr/>
            </w:pPr>
            <w:r>
              <w:rPr/>
              <w:t>Earnings per share – basic</w:t>
            </w:r>
          </w:p>
        </w:tc>
        <w:tc>
          <w:tcPr>
            <w:tcW w:w="9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644.20</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7265" w:type="dxa"/>
            <w:tcBorders/>
            <w:shd w:fill="CCEEFF" w:val="clear"/>
            <w:vAlign w:val="center"/>
          </w:tcPr>
          <w:p>
            <w:pPr>
              <w:pStyle w:val="TableContents"/>
              <w:bidi w:val="0"/>
              <w:spacing w:before="0" w:after="283"/>
              <w:jc w:val="left"/>
              <w:rPr/>
            </w:pPr>
            <w:r>
              <w:rPr/>
              <w:t>- diluted</w:t>
            </w:r>
          </w:p>
        </w:tc>
        <w:tc>
          <w:tcPr>
            <w:tcW w:w="9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9.12</w:t>
            </w:r>
          </w:p>
        </w:tc>
        <w:tc>
          <w:tcPr>
            <w:tcW w:w="135"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283"/>
              <w:jc w:val="left"/>
              <w:rPr/>
            </w:pPr>
            <w:r>
              <w:rPr/>
              <w:t>Weighted average shares outstanding – Basic</w:t>
            </w:r>
          </w:p>
        </w:tc>
        <w:tc>
          <w:tcPr>
            <w:tcW w:w="9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15,336</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7265" w:type="dxa"/>
            <w:tcBorders/>
            <w:shd w:fill="CCEEFF" w:val="clear"/>
            <w:vAlign w:val="center"/>
          </w:tcPr>
          <w:p>
            <w:pPr>
              <w:pStyle w:val="TableContents"/>
              <w:bidi w:val="0"/>
              <w:spacing w:before="0" w:after="283"/>
              <w:jc w:val="left"/>
              <w:rPr/>
            </w:pPr>
            <w:r>
              <w:rPr/>
              <w:t>- diluted</w:t>
            </w:r>
          </w:p>
        </w:tc>
        <w:tc>
          <w:tcPr>
            <w:tcW w:w="9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1,083,340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in March 2026 of 1 share for every 4 shares issued, and in July 2026 of 1 share for every 3 shares issued respectively.</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 “Foreign Private Issuer”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subject to the information reporting requirements of the Exchange Act that are applicable to “foreign private issuers,” and under those requirements, we file reports with the SEC. As a foreign private issuer, we are not subject to the same requirements that are imposed upon U.S. domestic issuers by the SEC. Under the Exchange Act, we are subject to reporting obligations that, in certain respects, are less detailed and less frequent than those of U.S. domestic reporting companies. For example, we are not required to issue quarterly reports, proxy statements that comply with the requirements applicable to U.S. domestic reporting companies or individual executive compensation information that is as detailed as that required of U.S. domestic reporting companies. We also have four months after the end of each fiscal year to file our annual report with the SEC and are not required to file current reports as frequently or promptly as U.S. domestic reporting companies. Our officers, directors and principal shareholders are exempt from the requirements to report transactions in our equity securities and from the short-swing profit liability provisions contained in Section 16 of the Exchange Act. As a foreign private issuer, we are not subject to the requirements of Regulation FD (Fair Disclosure) promulgated under the Exchange Act. In addition, as a foreign private issuer, we are permitted to follow certain home country corporate governance practices instead of those otherwise required under the rules of Nasdaq for domestic U.S. issuers and are not required to be compliant with all Nasdaq rules as of the date of our initial listing on Nasdaq as would domestic U.S. issuers. These exemptions and leniencies will reduce the frequency and scope of information and protections available to you in comparison to those applicable to a U.S. domestic reporting company. We intend to take advantage of the exemptions available to us as a foreign private issuer.</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Summary of Risk Factors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Investing in our Class A Ordinary Shares involves significant risks. You should carefully consider all of the information in this prospectus before making an investment in our shares. Below please find a summary of the principal risks we face, organized under relevant headings. These risks are discussed more fully in the section titled “</w:t>
      </w:r>
      <w:r>
        <w:rPr>
          <w:rFonts w:ascii="Times New Roman;Times;Serif" w:hAnsi="Times New Roman;Times;Serif"/>
          <w:b w:val="false"/>
          <w:i/>
          <w:caps w:val="false"/>
          <w:smallCaps w:val="false"/>
          <w:sz w:val="20"/>
          <w:bdr w:val="single" w:sz="12" w:space="5" w:color="000000"/>
        </w:rPr>
        <w:t>Risk Factors</w:t>
      </w:r>
      <w:r>
        <w:rPr>
          <w:rFonts w:ascii="Times New Roman;Times;Serif" w:hAnsi="Times New Roman;Times;Serif"/>
          <w:b w:val="false"/>
          <w:i w:val="false"/>
          <w:caps w:val="false"/>
          <w:smallCaps w:val="false"/>
          <w:sz w:val="20"/>
          <w:bdr w:val="single" w:sz="12" w:space="5" w:color="000000"/>
        </w:rPr>
        <w:t>” and in Part I, Item 3, D. Risk Factors in our most recent Annual Report on Form 20-F.</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NewGenIvf’s Business and Industry</w:t>
      </w:r>
      <w:r>
        <w:rPr>
          <w:rFonts w:ascii="Times New Roman;Times;Serif" w:hAnsi="Times New Roman;Times;Serif"/>
          <w:b w:val="false"/>
          <w:i w:val="false"/>
          <w:caps w:val="false"/>
          <w:smallCaps w:val="false"/>
          <w:sz w:val="20"/>
          <w:bdr w:val="single" w:sz="12" w:space="5" w:color="000000"/>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continue operating as a going concern.</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fertility market in which NewGenIvf participates is competitive, and if NewGenIvf does not continue to compete effectively, its results of operations could be materially and adversely affected.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 limited operating history with its current platform of solutions, which makes it difficult to predict its future prospects, financial performance and results of operations.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undergoing a significant and rapid business transformation, including expansion into real estate development in the UAE, which involves substantial risks and may not be successful.</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new strategic initiatives may place significant strain on the Company’s management, and operational resources.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real estate development projects are subject to numerous risks that could prevent the Company from realizing the projected returns.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acquired assets, such as intellectual property, is complex and subjective, and may not be realized.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marketing efforts depend significantly on its ability to receive positive references from its existing clients.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is unable to attract new clients, its business, financial condition and results of operations would be adversely affected.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depends on its ability to maintain its existing client demographics. Any failure to do so would harm its business, financial condition and results of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445" w:type="dxa"/>
        <w:jc w:val="left"/>
        <w:tblInd w:w="0" w:type="dxa"/>
        <w:tblLayout w:type="fixed"/>
        <w:tblCellMar>
          <w:top w:w="0" w:type="dxa"/>
          <w:left w:w="0" w:type="dxa"/>
          <w:bottom w:w="0" w:type="dxa"/>
          <w:right w:w="0" w:type="dxa"/>
        </w:tblCellMar>
      </w:tblPr>
      <w:tblGrid>
        <w:gridCol w:w="105"/>
        <w:gridCol w:w="200"/>
        <w:gridCol w:w="61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offer high-quality support, its reputation could suffer.</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failure to effectively develop and expand its marketing and sales capabilities could harm its ability to increase its client base and achieve broader market acceptance of solutions NewGenIvf provides.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experience net losses and may not sustain profitability in the future.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future revenue may not grow at the rates it historically has, or at all.</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quarterly and annual results may fluctuate significantly and may not fully reflect the underlying performance of NewGenIvf’s business.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estimates and assumptions NewGenIvf uses to determine the size of the target markets for its services are inaccurate, its future growth rate may be impacted and its business would be harmed.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be able to successfully manage its growth, and if NewGenIvf is not able to grow efficiently, its business, financial condition and results of operations could be harmed.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NewGenIvf’s new solutions and services are not adopted by its clients, or if it fails to innovate and develop new offerings that are adopted by its clients, its revenue and results of operations may be adversely affected.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adapt and respond effectively to the changing medical landscape, changing regulations, changing client needs, requirements or preferences, its offerings may become less competitive.</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maintain and enhance its brand, its ability to expand its client base will be impaired and its business, financial condition and results of operations may suffer.</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retain and motivate members of its management team or other key employees, or fails to attract additional qualified personnel to support its operations, its business and future growth prospects could be harmed.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successfully market and sell its services and products in Asia-Pacific markets, NewGenIvf must address many international business risks with which NewGenIvf has limited experience.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Ethical, legal and social concerns related to the use of assisted reproductive technology could reduce demand for the fertility services provided by the medical facilities in NewGenIvf’s network, and thus may adversely affect the business, financial conditions and results of operations of the medical facilities in its network.</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reliant on revenue from international clients.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exchange rates could have a material and adverse effect on NewGenIvf’s results of operations and the value of your investment.</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control of currency conversion may limit NewGenIvf’s ability to utilize NewGenIvf’s net revenue effectively and affect the value of your investment.</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NewGenIvf’s assets and operations are located in Thailand, Cambodia and Kyrgyzstan and they are subject to economic, legal and regulatory uncertainties in such countries.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terms of future financing arrangements could result in default, which could have an adverse effect on NewGenIvf’s cash flow and liquidity.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requires a significant amount of capital to fund its operations and growth. If NewGenIvf cannot obtain sufficient capital on acceptable terms, its business, financial condition, and prospects may be materially and adversely affected.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NewGenIvf’s Solana token purchase agreement with White Lion is novel and subject to extreme volatility and regulatory scrutiny.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defects in certain leased property interests and failure to register certain lease agreements may materially and adversely affect NewGenIvf’s business, financial condition, results of operations, and prospects.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currently has no insurance coverage for its operations.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be successful in adapting to technological developments, which may affect its business and results of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60"/>
        <w:gridCol w:w="98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its computer systems, or those of its providers, specialty pharmacies or other downstream vendors lag, fail or suffer security breaches, NewGenIvf may incur a material disruption of its services, which could materially impact its business and the results of operations.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9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comply with the filing deadlines for reports that we file pursuant to the Exchange Act, and our failure to timely file such reports may have material adverse consequences on our business.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9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repurchase program may not be fully implemented and may not enhance shareholder value.</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9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continue to meet the listing requirements of Nasdaq, our Class A Ordinary Shares will be delisted.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NewGenIvf’s Relationships with Third Parties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depends on its ability to maintain its network of high-quality fertility specialists and other healthcare providers. If NewGenIvf is unable to do so, its future growth would be limited and its business, financial condition and results of operations would be harmed.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facilities and professionals in NewGenIvf’s network could become the subject of litigation, allegations and other claims, and NewGenIvf is not insured against these liabilities.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have limited control over the quality of the pharmaceuticals, medical equipment, medical consumables and other supplies used in its operations, and cannot guarantee that the products in use are not defective or counterfeit. NewGenIvf also has no control over independent sub-contractors and cannot guarantee the services thereof.</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loses its relationship with one or more key pharmaceutical manufacturers, its business and results of operations could be adversely affected.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engaged in transactions with related parties, and such transactions present potential conflicts of interest that could have an adverse effect on its business and results of operations.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be subject to claims and allegations relating to intellectual property and other causes.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data and information in this prospectus relied on by NewGenIvf were obtained from third-party data and polls. These metrics were not independently verified by NewGenIvf and may not be accurate.</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dependent on a single joint venture partner for our real estate development project in the UAE and are subject to the legal, regulatory, and economic risks of operating in a new jurisdiction.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Government Regulation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or offering of gender selection services in certain jurisdictions in which NewGenIvf operates could expose NewGenIvf and its directors and executive officers to significant legal and regulatory risks, including potential penalties.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NewGenIvf’s effective tax rate or tax liability may have an adverse effect on its results of operations.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reported financial results may be adversely affected by changes in accounting principles generally accepted in the US.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NewGenIvf’s estimates or judgments relating to its critical accounting policies prove to be incorrect, its results of operations could be adversely affected.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anti-corruption, anti-bribery, anti-money laundering, and similar laws, and non-compliance with such laws can subject it to criminal or civil liability and harm its business, financial condition and results of operations.</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this Offering</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be volatile or may decline regardless of our operating performance, and you may not be able to resell your shares at or above the public offering price.</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the Class A Ordinary Shares may not be maintained and the trading price for the Class A Ordinary Shares may fluctuate significantly.</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shares of the Class A Ordinary Shares has been and is likely to continue to be highly volatile, and purchasers of the Class A Ordinary Shares could incur substantial losses.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the proceeds of this offering in ways with which you may not agree.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Recent Developments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2025 and 2026 Debt Financing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 2025, the Company entered into a new Securities Purchase Agreement (“2025 Securities Purchase Agreement”) with certain investors named therein (collectively, the “Buyers”), pursuant to which, amongst other things: (i) the Company agreed to sell, at an initial closing (and such initial closing, the “Initial Closing”) a senior convertible note (the “New CB Initial Note”) in the aggregate original principal amount not exceeding $3,200,000, convertible into Class A Ordinary Shares pursuant to its terms; and (ii) the Company may require each Buyer (or each Buyer may require the Company, as applicable) to participate in the sale of one or more additional convertible notes (which aggregate original principal amount for all additional convertible notes shall not exceed $25,600,000) (the “New CB Additional Notes”).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2025 Securities Purchase Agreement is filed as Exhibit 4.1 of the Company’s current report on Form 6-K dated April 3, 2025 and is incorporated by reference herein. The first tranche of $3,200,000 was received on June 3, 2025.</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 2025 and July 16, 2025, the Company consummated the fourth and fifth tranche of its debt financing under the terms of its existing Securities Purchase Agreement with the investor, At the closing of the fourth and fifth tranche, the Company sold to the investor a senior convertible note in the principal amount of $2,000,000 each. The Note bears an interest rate of 14.75% per annum and may be adjustable from time to time pursuant to its terms.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15, 2025, the Company entered into an additional Securities Purchase Agreement with Vanquish Funding Group Inc.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The third tranche of $107,000 was received on January 30, 2026. The fourth tranche of $207,000 was received on May 4, 2026.</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12, 2025, the Company entered into a Securities Purchase Agreement with Labrys Fund II, L.P. (“Labrys SPA”), pursuant to which, amongst other things, the Company agreed to sell a convertible note in the aggregate principal amount of $250,000, convertible into Class A Ordinary Shares pursuant to its terms and the funding of $250,000 was received on November 15,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January 22, 2026, the Company entered into a Securities Purchase Agreement with Boot Capital LLC, pursuant to which, amongst other things, the Company agreed to sell a convertible note in the aggregate principal amount of $50,000, convertible into Class A Ordinary Shares pursuant to its terms and the funding of $50,000 was received on February 2,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18, 2026, the Company entered into a Securities Purchase Agreement with CFI Capital LLC, pursuant to which, amongst other things, the Company agreed to sell a convertible note in the aggregate principal amount of $220,000, convertible into Class A Ordinary Shares pursuant to its terms and the funding of $200,000 was received on March 23,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25, 2026, the Company entered into a Securities Purchase Agreement with FirstFire Global Opportunities Fund LLC, pursuant to which, amongst other things, the Company agreed to sell a convertible note in the aggregate principal amount of $220,000, convertible into Class A Ordinary Shares pursuant to its terms and the funding of $220,000 was received on or about March 31,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30, 2026, the Company entered into a Securities Purchase Agreement with Silvercrest Hybrid Capital LLC, pursuant to which, amongst other things, the Company agreed to sell a convertible note in the aggregate principal amount of $200,000, convertible into Class A Ordinary Shares pursuant to its terms and the funding of $220,000 was received on March 31,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14, 2026, the Company entered into a Securities Purchase Agreement with Pacific Pier Capital II, LP, pursuant to which, amongst other things, the Company agreed to sell a convertible note in the aggregate principal amount of $200,000, convertible into Class A Ordinary Shares pursuant to its terms and the funding of $200,000 was received on April 18,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20, 2026, the Company entered into a Securities Purchase Agreement with Labrys Fund II, L.P., pursuant to which, amongst other things, the Company agreed to sell a convertible note in the aggregate principal amount of $250,000, convertible into Class A Ordinary Shares pursuant to its terms and the funding of $250,000 was received on April 20,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27, 2026, the Company entered into a Securities Purchase Agreement with White Lion Capital LLC, pursuant to which, amongst other things, the Company agreed to sell a convertible note in the aggregate principal amount of $200,000, convertible into Class A Ordinary Shares pursuant to its terms and the funding of $200,000 was received on April 30,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26, 2026, the Company entered into a Securities Purchase Agreement with White Lion Capital LLC, pursuant to which, amongst other things, the Company agreed to sell a convertible note in the aggregate principal amount of $166,667, convertible into Class A Ordinary Shares pursuant to its terms and the funding of $166,667 was received on May 26,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2, 2026, the Company entered into a Securities Purchase Agreement with Vanquish Funding Group, Inc., pursuant to which, amongst other things, (i) the Company agreed to sell a convertible note in the aggregate principal amount of $132,000, convertible into Class A Ordinary Shares pursuant to its terms and the funding of $132,000 was received on June 5,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15, 2026, the Company entered into a repurchase and forbearance agreement (“Repurchase and Forbearance Agreement”) with JAK Opportunities VI LLC (“JAK”), pursuant to which the Company agreed to repurchase certain outstanding convertible notes, and warrants previously issued to the Investor, and to make certain forbearance payments in scheduled instalments to JAK, in consideration for JAK’s forbearance from converting outstanding convertible notes, exercising outstanding warrants and effectuating additional closings under existing securities purchase agreements. The Repurchase and Forbearance Agreement was filed as Exhibit 10.1 of the Company’s current report on Form 6-K dated June 16, 2026 and is incorporated by reference herein.</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22, 2026, the Company entered into a Securities Purchase Agreement with White Lion Capital LLC, pursuant to which, amongst other things, the Company agreed to sell a convertible note in the aggregate principal amount of $111,111, convertible into Class A Ordinary Shares pursuant to its terms.</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10, 2026, the Company entered into a Securities Purchase Agreement with Vanquish Funding Group, pursuant to which, amongst other things, the Company agreed to sell a convertible note in the aggregate principal amount of $100,000, convertible into Class A Ordinary Shares pursuant to its terms.</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11, 2026, the Company entered into an Amendment and Exchange Agreement (the “Exchange Agreement”) with JAK, pursuant to which on August 14, 2026, the Company issued to JAK a new senior convertible note in the aggregate principal amount of $7,105,468.75 (the “New Note”) in exchange for the existing outstanding convertible notes and related warrants previously issued by the Company to JAK. In connection with the Exchange Agreement, JAK also entered into a Leak-Out Agreement with the Company (the “Leak-Out Agreement”) restricting JAK’s sales of the Company’s Class A ordinary shares issuable upon conversion of the New Note. The Exchange Agreement, New Note and Leak-Out Agreement were filed as Exhibit 10.1, 10.2 and 10.3, respectively, of the Company’s current report on Form 6-K dated August 17, 2026 and are incorporated by reference herein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17, 2026, the Company entered into a Securities Purchase Agreement with Hinterland Partners LLC, pursuant to which, amongst other things, the Company agreed to sell a convertible note in the aggregate principal amount of $250,000, convertible into Class A Ordinary Shares pursuant to its terms.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Strategic Investments in Digital Assets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19, 2024, the Company announced its engagement of OSL Digital Securities (“OSL”), a leading regulated digital asset platform in Hong Kong, and its deployment of US$1 million to establish the Company’s digital asset portfolio. On June 2, 2025, the Company announced plans to invest up to US$30 million in staking the digital asset SOL (the native token of the Solana network) and funding such investment using its existing credit facilities. As of the date of this prospectus, the Company does not have any SOL holdings, as all SOL tokens were used as consideration for the acquisition of its equity interest in PredicXion. The Company does not intend to invest further capital into SOL.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31, 2025, the Company entered into a binding term sheet with White Lion Capital LLC (“White Lion”) setting out the principal terms and conditions for a Digital Assets Purchase Agreement with a commitment amount of 600,000 Solana (SOL) tokens (“Term Sheet”). Pursuant to the Term Sheet, the Company will have the option, but not the obligation, to sell to White Lion shares of common stock of the Company over a 24-month period up to a total amount equivalent to the value of 600,000 Solana tokens. Upon a sale of shares, the Company will be compensated by White Lion in Solana tokens rather than cash. The transactions contemplated by the Term Sheet are subject to entry into definitive agreements and are subject to certain conditions, including completion of due diligence, and the filing of a registration statement immediately upon execution of the definitive agreements. There can be no assurance that any sales of the Company’s common stock to White Lion will occur under the Term Sheet or any definitive agreement that may be entered into. The Company is not obligated to sell any shares, and White Lion is not obligated to purchase shares until and unless a definitive Digital Assets Purchase Agreement is executed and all conditions thereunder are satisfied. In addition, any compensation to the Company would be in the form of Solana tokens rather than cash, and the value, availability, and transferability of such digital assets are subject to significant market volatility and regulatory uncertainty. Accordingly, there is no guarantee that the Company will receive any proceeds or Solana tokens pursuant to the contemplated arrangement.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Strategic Investment in United Arab Emirates (“UAE”) Real Estate Market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133975" cy="2981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133975" cy="29813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21, 2025, NewGenDigital Limited (“NewGenDigital”), a wholly owned subsidiary of the Company, signed a Memorandum of Understanding (the “MOU”) with BNW Real Estate Development LLC (“BNW” or the “Developer”), a prominent real estate developer in Ras Al Khaimah and Dubai, UAE. Per the terms of the MOU, NewGenDigital and BNW will endeavour to negotiate and execute a definitive Joint Venture Agreement (“JVA”) to form a special-purpose vehicle (“SPV”) with the intention of developing a plot of land in Ras Al Khaimah’s Beach District, UAE (the “Plot).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8, 2025, NewGenProperty Limited (“NewGenProperty”), a wholly owned subsidiary of the Company, entered into a development joint venture agreement (“DJVA”) with BNW to develop the Plot. Under the terms of the DVJA, NewGenProperty shall hold 60% of the joint venture, and be responsible for funding 36% of the purchase price of the Plot to the Beach District LLC OPC (“Master Developer”), while BNW shall be responsible for all the other cashflow and financing requirements of the project. In the event that BNW pays the balance of the Purchase Price of the Plot to the Master Developer, NewGenProperty shall reimburse BNW in accordance with the provisions of the DVJA.</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NewGenProperty’s entitlement is an amount equivalent to 36% of the Gross Sales Revenue or Gross Sellable Area generated from the project, with deductions including (i) up to 10% of External and Internal Real Estate Agent and Brokerage Fees; (ii) 2% of Gross Sales Revenue for BNW’s Marketing Fees; and (iii) any amounts paid by the Developer towards the balance of the Purchase Price of the Plot on behalf of NewGenProperty.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At any time before the commencement of the Pre-Sales Period, NewGenProperty has the right to convert the DJVA into a Joint Development by written notice to the Developer. Under a Joint Development arrangement, NewGenProperty shall fully contribute all project finances and be entitled to sixty-four percent (64%) of the net profit after deducting all development costs, taxes, duties, and all other costs and expenses of the joint venture company.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6381750" cy="37909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381750" cy="3790950"/>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Acquisition of Equity Interest in PredicXion Group Limited (“PredicXion” or “K25.ai”)</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238750" cy="2990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238750" cy="2990850"/>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15, 2026, NewGenIvf signed a strategic investment agreement with PredicXion Group Limited, and Kong Yiu Cheung, PredicXion’s sole shareholder (the “Seller”), for the acquisition of up to a 10% equity interest in PredicXion (the “PredicXion Acquisition”) at a pre-money valuation of US$100,000,000. On May 28, 2026, NewGenIvf signed a share purchase agreement with PredicXion, and the Seller (“First PredicXion SPA”) for the acquisition of a 2% equity interest in PredicXion (“PredicXion Initial Acquisition”). The consideration payable for the PredicXion Initial Acquisition was a combination of: (i) cash consideration of US$1,000,000 or an equivalent amount in stablecoin, or Solana; and (ii) 666,667 newly issued Class A ordinary shares of the Company (equivalent to 222,222 Class A Ordinary Shares adjusted for Reverse Stock Split) at a share price of US$1.50 per share. Under the terms of the First PredicXion SPA, the Company has an option exercisable at any time within three months after signing the First PredicXion SPA, to acquire up to an additional 8% of PredicXion’s fully diluted equity at the same pre-money valuation of US$100,000,000 (“Top-up Option”). A copy of the First PredicXion SPA was filed as Exhibit 10.1 in the Company’s current report on Form 6-K dated May 28, 2026 and is incorporated by reference herein. On June 2, 2026, NewGenIvf exercised its Top-up Option to acquire an additional 4% equity interest in PredicXion (“Top-Up Acquisition”). Pursuant to the share purchase agreement (“First PredicXion Top-Up SPA”) among NewGenIvf, PredicXion, and the Seller for the Top-Up Acquisition, the Company shall acquire a 4% equity interest for an aggregate consideration of US$4,000,000, consisting of (i) US$2,000,000 payable in cash or in digital assets, and (ii) 1,500,000 Class A ordinary shares of the Company (equivalent to 500,000 Class A Ordinary Shares adjusted for Reverse Stock Split). The Company paid a cash deposit of US$300,000 upon signing of the Top-Up SPA, and shall pay the balance of $1,700,000 by August 30, 2026. A copy of the First PredicXion Top-Up SPA was filed as Exhibit 10.1 in the Company’s current report on Form 6-K dated June 4, 2026, and is incorporated by reference herein. On June 18, 2026, NewGenIvf exercised its Top-up Option to acquire an additional 4% equity interest in PredicXion (“Second Top-Up Acquisition”). Pursuant to the share purchase agreement (“Second PredicXion Top-Up SPA”) among NewGenIvf, PredicXion, and the Seller for the Second Top-Up Acquisition, the Company shall acquire a 4% equity interest for an aggregate consideration of US$4,000,000, consisting of (i) US$2,000,000 payable in cash or in digital assets, and (ii) 1,500,000 Class A ordinary shares of the Company (equivalent to 500,000 Class A Ordinary Shares adjusted for Reverse Stock Split). The parties agreed that the aggregate cash deposit to be paid pursuant to the First PredicXion Top-Up SPA and the Second PredicXion Top-Up SPA shall be US$800,000, payable upon the signing of the Second PredicXion Top-Up SPA, and the balance of $1,000,000 of the First PredicXion Top-Up SPA and the balance of $1,900,000 of the Second PredicXion Top Up SPA shall be paid by the Company to the Seller by August 31, 2026 and September 30, 2026 respectively. A copy of the Second PredicXion SPA was filed as Exhibit 10.1 in the Company’s current report on Form 6-K dated June 18, 2026, and is incorporated by reference herein.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27, 2026, NewGenIvf signed a share purchase agreement with PredicXion, and the Seller (“Additional 3pct PredicXion SPA”) for the acquisition of an additional 3% equity interest in PredicXion. The consideration payable for the Additional 3pct PredicXion Acquisition was a combination of: (i) cash consideration of US$3,750,000 or an equivalent amount in stablecoin, or Solana; and (ii) 2,500,000 newly issued Class A ordinary shares of the Company at a share price of US$1.50 per share. A copy of the Additional 3pct PredicXion SPA was filed as Exhibit 10.1 in the Company’s current report on Form 6-K dated July 27, 2026, and is incorporated by reference herein.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Exclusive Agency Agreement with PredicXion Group Limited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200650" cy="2895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200650" cy="2895600"/>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Concurrently with its entry into the First PredicXion Top-Up SPA, NewGenIvf entered into an exclusive agency agreement (“EAA”) with PredicXion, pursuant to which PredicXion appointed NewGenIvf as its exclusive agent for the promotion, marketing and facilitation of its K25.ai platform in Thailand, Singapore, Japan and such other APAC markets as may be mutually agreed by the parties from time to time, excluding Mainland China, Hong Kong, Macau and any other restricted jurisdictions. In consideration for its services under the EAA, NewGenIvf is entitled to tiered commissions on the annual gross profit generated by K25.ai from customers introduced or directly serviced by NewGenIvf, calculated as (i) 10% on the first US$1,000,000 of annual gross profit, (ii) 7.5% on annual gross profit between US$1,000,000 and US$3,000,000 and (iii) 5% on annual gross profit in excess of US$3,000,000. The aggregate commission payable to NewGenIvf under the EAA is capped at US$5,000,000 per calendar year. The EAA has an initial term of three years from its effective date and will renew automatically for successive one-year periods thereafter. NewGenIvf’s exclusivity in each agreed territory is subject to NewGenIvf satisfying a minimum annual gross profit performance threshold of US$500,000 per calendar year in respect of customers introduced or directly serviced by NewGenIvf in that territory; failure to satisfy that threshold in any territory entitles K25.ai to terminate NewGenIvf’s exclusivity in that territory in accordance with the terms of the EAA. A copy of the EAA was filed as Exhibit 10.2 in the Company’s current report on Form 6-K dated May 28, 2026, and is incorporated by reference herein.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PredicXion operates K25.ai, an AI-native prediction market that transforms livestreams into real-time interactive markets. K25.ai enables audiences to predict what happens next across live sports, esports, entertainment and creator content. Its proprietary AI infrastructure supports real-time market generation, content monitoring and outcome resolution, powering a seamless watch-to-predict experience. The services contemplated under the EAA are not directly related to the Company’s assisted reproductive services in the Asia-Pacific. Rather, the arrangement is a separate commercial initiative that leverages the Company’s established presence, business relationships, local market knowledge and professional network across the Asia-Pacific region.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Repurchase and Forbearance Agreement with JAK Opportunities VI LLC</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15, 2026, NewGenIvf entered into a Repurchase and Forbearance Agreement (the “Repurchase Agreement”) with JAK Opportunities VI LLC (“JAK”), pursuant to which the Company agreed to (i) repurchase from JAK senior convertible notes originally issued under two Securities Purchase Agreements dated August 7, 2024 and April 1, 2025, respectively, having an aggregate outstanding principal and accrued interest amount of approximately $3,625,000 as of the date of the Repurchase Agreement, for an aggregate repurchase price of $4,531,250, (ii) repurchase from JAK certain warrants to purchase ordinary shares of the Company for an aggregate repurchase price of $600,000, and (iii) pay JAK a forbearance payment of $2,250,000 in consideration of JAK’s agreement to forbear from, and upon full payment to irrevocably waive, its rights to require additional note closings under the existing Securities Purchase Agreements. The aggregate payment obligation of $7,381,250 is payable in installments through November 1, 2027, as set forth in a schedule attached to the Repurchase Agreement. During the payment period, JAK has agreed to forbear from converting the notes or exercising the warrants, subject to termination of the forbearance upon the occurrence of any event of default or uncured breach by the Company. The Repurchase Agreement also provides that proceeds from any subsequent equity or debt placements by the Company (subject to specified exclusions) must be applied as mandatory prepayments toward the aggregate payment obligation, with 66% of such proceeds first applied evenly to the note repurchase price, warrant repurchase price, and forbearance payment. In the event of a Default under the Agreement, all payments made by the Company to JAK prior to such Default would be permanently forfeited and retained by JAK as liquidated damages and compensation for the use of funds. Upon such Default, the original outstanding Convertible Notes, Warrants, and all related rights (including conversion and exercise rights) would be fully reinstated as if the Agreement had never been entered into. A copy of the Repurchase Agreement was filed as Exhibit 10.1 to the Company’s current report on 6-K dated June 16, 2026 and is incorporated by reference herein.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Exchange of Convertible Notes with JAK Opportunities VI LLC</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11, 2026, NewGenIvf completed an Amendment and Exchange Agreement (the “Exchange Agreement”) with JAK Opportunities VI LLC (“JAK”). Under the Exchange Agreement, the Repurchase Agreement with JAK was terminated and the remaining outstanding Convertible Notes, and Warrants were exchanged for a new senior convertible note in the aggregate principal amount of $7,105,468.75 (“New Note”). The restructuring eliminates, among other terms, the mandatory requirement that a significant percentage of proceeds from new capital raises be applied to prepay the outstanding Convertible Notes and Warrants which was set out in the Forbearance Agreement. A copy of the Exchange Agreement and the New Note were filed as Exhibits 10.1, and 10.2 to the Company’s current report on 6-K dated August 17, 2026 and are incorporated by reference herein.</w:t>
      </w:r>
    </w:p>
    <w:p>
      <w:pPr>
        <w:pStyle w:val="TextBody"/>
        <w:bidi w:val="0"/>
        <w:spacing w:before="0" w:after="0"/>
        <w:ind w:left="0" w:right="0" w:firstLine="709"/>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63"/>
        <w:gridCol w:w="90"/>
        <w:gridCol w:w="8652"/>
      </w:tblGrid>
      <w:tr>
        <w:trPr/>
        <w:tc>
          <w:tcPr>
            <w:tcW w:w="1463" w:type="dxa"/>
            <w:tcBorders/>
            <w:vAlign w:val="center"/>
          </w:tcPr>
          <w:p>
            <w:pPr>
              <w:pStyle w:val="TableContents"/>
              <w:bidi w:val="0"/>
              <w:spacing w:before="0" w:after="0"/>
              <w:ind w:left="0" w:right="0" w:hanging="180"/>
              <w:jc w:val="left"/>
              <w:rPr/>
            </w:pPr>
            <w:r>
              <w:rPr/>
              <w:t xml:space="preserve">Class A Ordinary Shares </w:t>
            </w:r>
            <w:r>
              <w:rPr>
                <w:rFonts w:ascii="Times New Roman;Times;Serif" w:hAnsi="Times New Roman;Times;Serif"/>
                <w:sz w:val="20"/>
              </w:rPr>
              <w:t>offered by us</w:t>
            </w:r>
          </w:p>
        </w:tc>
        <w:tc>
          <w:tcPr>
            <w:tcW w:w="9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up to [●] Class A Ordinary Shares at an assumed public offering price of US$[●] per share, which was the last reported sale price of our Class A Ordinary Shares on The Nasdaq Capital Market on [●], 2026.</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to each purchaser whose purchase of Class A Ordinary Shares in this offering would otherwise result in the purchaser, together with its affiliates, beneficially owning more than 4.99% (or, at the election of the purchaser, 9.99%) of our outstanding Class A Ordinary Shares immediately following the consummation of this offering, the opportunity to purchase, in lieu of Class A Ordinary Shares, Pre-Funded Warrants to purchase Class A Ordinary Shares.</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Pre-Funded Warrant we sell, the number of Class A Ordinary Shares we are offering will be decreased on a one-for-one basis.</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offering of the Class A Ordinary Shares issuable upon exercise of the Pre-Funded Warrants.</w:t>
            </w:r>
          </w:p>
          <w:p>
            <w:pPr>
              <w:pStyle w:val="TableContents"/>
              <w:bidi w:val="0"/>
              <w:spacing w:before="0" w:after="0"/>
              <w:ind w:left="0" w:right="0" w:hanging="180"/>
              <w:jc w:val="both"/>
              <w:rPr>
                <w:caps w:val="false"/>
                <w:smallCaps w:val="false"/>
              </w:rPr>
            </w:pPr>
            <w:r>
              <w:rPr>
                <w:caps w:val="false"/>
                <w:smallCaps w:val="false"/>
              </w:rPr>
              <w:t> </w:t>
            </w:r>
          </w:p>
        </w:tc>
      </w:tr>
      <w:tr>
        <w:trPr/>
        <w:tc>
          <w:tcPr>
            <w:tcW w:w="14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Assumed Public Offering Price</w:t>
            </w:r>
          </w:p>
        </w:tc>
        <w:tc>
          <w:tcPr>
            <w:tcW w:w="9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ind w:left="0" w:right="0" w:hanging="180"/>
              <w:jc w:val="both"/>
              <w:rPr/>
            </w:pPr>
            <w:r>
              <w:rPr/>
              <w:t>$[●] per Class A Ordinary Share, the closing price of our Class A Ordinary Shares on [●], 2026. The purchase price per Pre-Funded Warrant will be $[●], equal to the public offering price per Class A Ordinary Share less the $0.00001 per share exercise price.</w:t>
            </w:r>
          </w:p>
        </w:tc>
      </w:tr>
      <w:tr>
        <w:trPr/>
        <w:tc>
          <w:tcPr>
            <w:tcW w:w="14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ind w:left="0" w:right="0" w:hanging="180"/>
              <w:jc w:val="both"/>
              <w:rPr/>
            </w:pPr>
            <w:r>
              <w:rPr/>
              <w:t> </w:t>
            </w:r>
          </w:p>
        </w:tc>
      </w:tr>
      <w:tr>
        <w:trPr/>
        <w:tc>
          <w:tcPr>
            <w:tcW w:w="14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 currently issued and outstanding</w:t>
            </w:r>
          </w:p>
        </w:tc>
        <w:tc>
          <w:tcPr>
            <w:tcW w:w="9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ind w:left="0" w:right="0" w:hanging="180"/>
              <w:jc w:val="both"/>
              <w:rPr/>
            </w:pPr>
            <w:r>
              <w:rPr/>
              <w:t>6,405,795 Ordinary Shares, consisting of 6,367,870 Class A Ordinary Shares and 37,925 Class B Ordinary Shares.</w:t>
            </w:r>
          </w:p>
        </w:tc>
      </w:tr>
      <w:tr>
        <w:trPr/>
        <w:tc>
          <w:tcPr>
            <w:tcW w:w="14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ind w:left="0" w:right="0" w:hanging="180"/>
              <w:jc w:val="both"/>
              <w:rPr/>
            </w:pPr>
            <w:r>
              <w:rPr/>
              <w:t> </w:t>
            </w:r>
          </w:p>
        </w:tc>
      </w:tr>
      <w:tr>
        <w:trPr/>
        <w:tc>
          <w:tcPr>
            <w:tcW w:w="14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 after this offering</w:t>
            </w:r>
          </w:p>
        </w:tc>
        <w:tc>
          <w:tcPr>
            <w:tcW w:w="9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Class A Ordinary Shares, assuming (i) the sale of all of the securities being offered in this offering at an assumed public offering price of $[●] per share and (ii) no sale of Pre-Funded Warrants;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37,925 Class B Ordinary Shares</w:t>
            </w:r>
          </w:p>
        </w:tc>
      </w:tr>
      <w:tr>
        <w:trPr/>
        <w:tc>
          <w:tcPr>
            <w:tcW w:w="14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ind w:left="0" w:right="0" w:hanging="180"/>
              <w:jc w:val="left"/>
              <w:rPr/>
            </w:pPr>
            <w:r>
              <w:rPr/>
              <w:t> </w:t>
            </w:r>
          </w:p>
        </w:tc>
      </w:tr>
      <w:tr>
        <w:trPr/>
        <w:tc>
          <w:tcPr>
            <w:tcW w:w="1463" w:type="dxa"/>
            <w:tcBorders/>
            <w:vAlign w:val="center"/>
          </w:tcPr>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Pre-Funded Warrants</w:t>
            </w:r>
          </w:p>
        </w:tc>
        <w:tc>
          <w:tcPr>
            <w:tcW w:w="9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will be exercisable for one Class A Ordinary Share at an exercise price of $0.00001 per share. Subject to limited exceptions, a holder of Pre-Funded Warrants will not have the right to exercise any portion of its Pre-Funded Warrants if the holder, together with its affiliates, would beneficially own in excess of 4.99% (or, at the election of the holder, 9.99%) of the number of Class A Ordinary Shares outstanding immediately after giving effect to such exercise. The Pre-Funded Warrants are immediately exercisable (subject to the beneficial ownership limitation) and may be exercised at any time until exercised in full.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the Pre-Funded Warrants, you should carefully read the section titled “Description of Securities We Are Offering” in this prospectus. See also “Risk Factors – Risks Related to this Offering.”</w:t>
            </w:r>
          </w:p>
        </w:tc>
      </w:tr>
    </w:tbl>
    <w:p>
      <w:pPr>
        <w:pStyle w:val="TextBody"/>
        <w:bidi w:val="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864"/>
        <w:gridCol w:w="90"/>
        <w:gridCol w:w="9251"/>
      </w:tblGrid>
      <w:tr>
        <w:trPr/>
        <w:tc>
          <w:tcPr>
            <w:tcW w:w="864"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Voting Rights</w:t>
            </w:r>
          </w:p>
        </w:tc>
        <w:tc>
          <w:tcPr>
            <w:tcW w:w="9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Each Class A Ordinary Share is entitled to one (1) vote.</w:t>
            </w:r>
          </w:p>
        </w:tc>
      </w:tr>
      <w:tr>
        <w:trPr/>
        <w:tc>
          <w:tcPr>
            <w:tcW w:w="8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ind w:left="0" w:right="0" w:hanging="180"/>
              <w:jc w:val="both"/>
              <w:rPr/>
            </w:pPr>
            <w:r>
              <w:rPr/>
              <w:t> </w:t>
            </w:r>
          </w:p>
        </w:tc>
      </w:tr>
      <w:tr>
        <w:trPr/>
        <w:tc>
          <w:tcPr>
            <w:tcW w:w="8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See the sections titled “Principal Shareholders” and “Description of Share Capital” for additional information.</w:t>
            </w:r>
          </w:p>
        </w:tc>
      </w:tr>
      <w:tr>
        <w:trPr/>
        <w:tc>
          <w:tcPr>
            <w:tcW w:w="8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251" w:type="dxa"/>
            <w:tcBorders/>
            <w:vAlign w:val="center"/>
          </w:tcPr>
          <w:p>
            <w:pPr>
              <w:pStyle w:val="TableContents"/>
              <w:bidi w:val="0"/>
              <w:spacing w:before="0" w:after="283"/>
              <w:ind w:left="0" w:right="0" w:hanging="180"/>
              <w:jc w:val="both"/>
              <w:rPr/>
            </w:pPr>
            <w:r>
              <w:rPr/>
              <w:t> </w:t>
            </w:r>
          </w:p>
        </w:tc>
      </w:tr>
      <w:tr>
        <w:trPr/>
        <w:tc>
          <w:tcPr>
            <w:tcW w:w="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Use of proceeds </w:t>
            </w:r>
          </w:p>
        </w:tc>
        <w:tc>
          <w:tcPr>
            <w:tcW w:w="90" w:type="dxa"/>
            <w:tcBorders/>
            <w:vAlign w:val="center"/>
          </w:tcPr>
          <w:p>
            <w:pPr>
              <w:pStyle w:val="TableContents"/>
              <w:bidi w:val="0"/>
              <w:spacing w:before="0" w:after="283"/>
              <w:jc w:val="both"/>
              <w:rPr/>
            </w:pPr>
            <w:r>
              <w:rPr/>
              <w:t> </w:t>
            </w:r>
          </w:p>
        </w:tc>
        <w:tc>
          <w:tcPr>
            <w:tcW w:w="925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intend to use the net proceeds from this offering for working capital and general corporate purposes. See “Use of Proceeds”.</w:t>
            </w:r>
          </w:p>
        </w:tc>
      </w:tr>
      <w:tr>
        <w:trPr/>
        <w:tc>
          <w:tcPr>
            <w:tcW w:w="86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251" w:type="dxa"/>
            <w:tcBorders/>
            <w:vAlign w:val="center"/>
          </w:tcPr>
          <w:p>
            <w:pPr>
              <w:pStyle w:val="TableContents"/>
              <w:bidi w:val="0"/>
              <w:spacing w:before="0" w:after="283"/>
              <w:jc w:val="both"/>
              <w:rPr/>
            </w:pPr>
            <w:r>
              <w:rPr/>
              <w:t> </w:t>
            </w:r>
          </w:p>
        </w:tc>
      </w:tr>
      <w:tr>
        <w:trPr/>
        <w:tc>
          <w:tcPr>
            <w:tcW w:w="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Lock-up</w:t>
            </w:r>
          </w:p>
        </w:tc>
        <w:tc>
          <w:tcPr>
            <w:tcW w:w="9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0"/>
              <w:ind w:left="0" w:right="0" w:hanging="180"/>
              <w:jc w:val="both"/>
              <w:rPr/>
            </w:pPr>
            <w:r>
              <w:rPr/>
              <w:t>Our directors, executive officers, employees and shareholders holding at least 10% of our outstanding Ordinary Shares have agreed with the placement agent that, without the prior written consent of the placement agent, they will not offer, sell, assign, transfer, pledge, contract to sell or otherwise dispose of any of our Ordinary Shares or securities convertible into or exercisable or exchangeable for Ordinary Shares, subject to certain exceptions, for a period of sixty (60) days after the closing date of this offering. We have agreed to a standstill for a period of sixty (60) days after the closing date, subject to certain exceptions. See “Plan of Distribution.”</w:t>
            </w:r>
          </w:p>
        </w:tc>
      </w:tr>
      <w:tr>
        <w:trPr/>
        <w:tc>
          <w:tcPr>
            <w:tcW w:w="86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251" w:type="dxa"/>
            <w:tcBorders/>
            <w:vAlign w:val="center"/>
          </w:tcPr>
          <w:p>
            <w:pPr>
              <w:pStyle w:val="TableContents"/>
              <w:bidi w:val="0"/>
              <w:spacing w:before="0" w:after="283"/>
              <w:ind w:left="0" w:right="0" w:hanging="180"/>
              <w:jc w:val="both"/>
              <w:rPr/>
            </w:pPr>
            <w:r>
              <w:rPr/>
              <w:t> </w:t>
            </w:r>
          </w:p>
        </w:tc>
      </w:tr>
      <w:tr>
        <w:trPr/>
        <w:tc>
          <w:tcPr>
            <w:tcW w:w="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 factors</w:t>
            </w:r>
          </w:p>
        </w:tc>
        <w:tc>
          <w:tcPr>
            <w:tcW w:w="90" w:type="dxa"/>
            <w:tcBorders/>
            <w:vAlign w:val="center"/>
          </w:tcPr>
          <w:p>
            <w:pPr>
              <w:pStyle w:val="TableContents"/>
              <w:bidi w:val="0"/>
              <w:spacing w:before="0" w:after="283"/>
              <w:jc w:val="both"/>
              <w:rPr/>
            </w:pPr>
            <w:r>
              <w:rPr/>
              <w:t> </w:t>
            </w:r>
          </w:p>
        </w:tc>
        <w:tc>
          <w:tcPr>
            <w:tcW w:w="925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An investment in our securities involves substantial risks. You should be aware that Nasdaq may halt trading in our Class A Ordinary Shares and/or delist our Class A Ordinary Shares for public interest concerns. See “Risk Factors - </w:t>
            </w:r>
            <w:r>
              <w:rPr>
                <w:rFonts w:ascii="Times New Roman;Times;Serif" w:hAnsi="Times New Roman;Times;Serif"/>
                <w:i/>
                <w:sz w:val="20"/>
              </w:rPr>
              <w:t>Nasdaq may halt trading in our Class A Ordinary Shares on Nasdaq or delist our Class A Ordinary Shares for public interest concerns as a result of this offering.</w:t>
            </w:r>
            <w:r>
              <w:rPr>
                <w:rFonts w:ascii="Times New Roman;Times;Serif" w:hAnsi="Times New Roman;Times;Serif"/>
                <w:sz w:val="20"/>
              </w:rPr>
              <w:t>” on page 62 of this prospectus. You should read the “</w:t>
            </w:r>
            <w:r>
              <w:rPr>
                <w:rFonts w:ascii="Times New Roman;Times;Serif" w:hAnsi="Times New Roman;Times;Serif"/>
                <w:i/>
                <w:sz w:val="20"/>
              </w:rPr>
              <w:t>Risk Factors</w:t>
            </w:r>
            <w:r>
              <w:rPr>
                <w:rFonts w:ascii="Times New Roman;Times;Serif" w:hAnsi="Times New Roman;Times;Serif"/>
                <w:sz w:val="20"/>
              </w:rPr>
              <w:t>” section starting on page 32 of this prospectus for a discussion of factors to consider carefully before deciding to invest in our securities.</w:t>
            </w:r>
          </w:p>
        </w:tc>
      </w:tr>
      <w:tr>
        <w:trPr/>
        <w:tc>
          <w:tcPr>
            <w:tcW w:w="86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251" w:type="dxa"/>
            <w:tcBorders/>
            <w:vAlign w:val="center"/>
          </w:tcPr>
          <w:p>
            <w:pPr>
              <w:pStyle w:val="TableContents"/>
              <w:bidi w:val="0"/>
              <w:spacing w:before="0" w:after="283"/>
              <w:ind w:left="0" w:right="0" w:hanging="180"/>
              <w:jc w:val="both"/>
              <w:rPr/>
            </w:pPr>
            <w:r>
              <w:rPr/>
              <w:t> </w:t>
            </w:r>
          </w:p>
        </w:tc>
      </w:tr>
      <w:tr>
        <w:trPr/>
        <w:tc>
          <w:tcPr>
            <w:tcW w:w="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Agent</w:t>
            </w:r>
          </w:p>
        </w:tc>
        <w:tc>
          <w:tcPr>
            <w:tcW w:w="90" w:type="dxa"/>
            <w:tcBorders/>
            <w:vAlign w:val="center"/>
          </w:tcPr>
          <w:p>
            <w:pPr>
              <w:pStyle w:val="TableContents"/>
              <w:bidi w:val="0"/>
              <w:spacing w:before="0" w:after="283"/>
              <w:jc w:val="both"/>
              <w:rPr/>
            </w:pPr>
            <w:r>
              <w:rPr/>
              <w:t> </w:t>
            </w:r>
          </w:p>
        </w:tc>
        <w:tc>
          <w:tcPr>
            <w:tcW w:w="925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Continental Stock Transfer &amp; Trust Company</w:t>
            </w:r>
          </w:p>
        </w:tc>
      </w:tr>
      <w:tr>
        <w:trPr/>
        <w:tc>
          <w:tcPr>
            <w:tcW w:w="86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251" w:type="dxa"/>
            <w:tcBorders/>
            <w:vAlign w:val="center"/>
          </w:tcPr>
          <w:p>
            <w:pPr>
              <w:pStyle w:val="TableContents"/>
              <w:bidi w:val="0"/>
              <w:spacing w:before="0" w:after="283"/>
              <w:ind w:left="0" w:right="0" w:hanging="180"/>
              <w:jc w:val="both"/>
              <w:rPr/>
            </w:pPr>
            <w:r>
              <w:rPr/>
              <w:t> </w:t>
            </w:r>
          </w:p>
        </w:tc>
      </w:tr>
      <w:tr>
        <w:trPr/>
        <w:tc>
          <w:tcPr>
            <w:tcW w:w="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Nasdaq symbol</w:t>
            </w:r>
          </w:p>
        </w:tc>
        <w:tc>
          <w:tcPr>
            <w:tcW w:w="90" w:type="dxa"/>
            <w:tcBorders/>
            <w:vAlign w:val="center"/>
          </w:tcPr>
          <w:p>
            <w:pPr>
              <w:pStyle w:val="TableContents"/>
              <w:bidi w:val="0"/>
              <w:spacing w:before="0" w:after="283"/>
              <w:jc w:val="both"/>
              <w:rPr/>
            </w:pPr>
            <w:r>
              <w:rPr/>
              <w:t> </w:t>
            </w:r>
          </w:p>
        </w:tc>
        <w:tc>
          <w:tcPr>
            <w:tcW w:w="925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NIVF” (Class A Ordinary Shares). There is no established public trading market for the Pre-Funded Warrants, and we do not expect a market to develop. We do not intend to apply for listing of the Pre-Funded Warrants on any securities exchange or other nationally recognized trading system. Without an active trading market, the liquidity of the Pre-Funded Warrants will be limited.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otherwise indicated, all information contained in this prospectus assumes the sale of all of the Class A Ordinary Shares offered hereby at an assumed public offering price of $[●] per share. The number of shares of our Class A Shares that are and will be outstanding immediately before and after this offering as shown above is based on 6,367,870 Class A Ordinary Shares outstanding as of August 19, 2026. No new Class B Ordinary Shares will be issued by us under this offering.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k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Class A Ordinary Shares involves a high degree of risk. You should carefully consider the risks in this prospectus, the risk factors described under the caption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any applicable prospectus supplement and any risk factors set forth in our other filings with the SEC pursuant to Sections 13(a), 13(c), 14 or 15(d) of the Securities Exchange Act of 1934, as amended, or the Exchange Act, before making a decision about investing in our Class A Ordinary Shares. The risks and uncertainties we have described are not the only ones we face. Additional risks and uncertainties not presently known to us or that we currently deem immaterial may also affect our operations. If any risks actually occur, our business, financial condition and results of operations may be materially and adversely affected. In such an event, the trading price of our Class A Ordinary Shares could decline and you could lose part or all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also subject to the following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NewGenIvf’s Business and Industry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continue operating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cash and cash equivalents stood at approximately US$758,621 While the Company does not have immediate challenges to settle its obligations when payments become due, the Company can make no assurance that it will have sufficient capital to bridge potential financial and liquidity shortfalls.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always closely monitoring the market for opportunities and has also been carrying out various fundraising projects to improve the Company’s cash flow position. As of August 19, 2026, the Company has outstanding convertible promissory notes of $9,305,580.75, and outstanding payments of $6,462,500 in aggregate for the purchase of K25.ai equity investment. It should be noted that the Company has access to an equity line of credit facility of up to US$100,000,000 from White Lion Capital, of which approximately US$18.92 million has been drawn and become equity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 make no assurance that required financing will be available for the amounts needed, or on terms commercially acceptable to the Company, if at all. If one or all of these events does not occur or subsequent capital raises are insufficient to bridge financial and liquidity shortfall, there would likely be a material adverse effect on the Company and its financial statements.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do not reflect adjustments that would be necessary if the going concern basis was not appropriate. If the going concern basis was not appropriate for these consolidated financial statements, then adjustments would be necessary in the carrying value of the assets and liabilities, the reported revenues and expenses, and the balance sheet classifications used. These adjustments could be material.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fertility market in which NewGenIvf participates is competitive, and if NewGenIvf does not continue to compete effectively, its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NewGenIvf’s solutions is competitive and is likely to attract increased competition, which could make it hard for it to succeed. NewGenIvf faces significant competition from other fertility companies and other players in the fertility market. Some of NewGenIvf’s competitors are more established, have a longer operating history and a larger client base, benefit from greater brand recognition and have substantially greater financial, technical and marketing resources than NewGenIvf does. NewGenIvf’s competitors may compete with NewGenIvf in a variety of ways, including seeking to develop or integrating solutions and services that may become more efficient or appealing to NewGenIvf’s existing and potential clients, achieving superior clinical outcomes, having access to a network of more high-quality fertility specialists, establishing more comprehensive data reporting and sharing systems, conducting brand promotions and other marketing activities, and making investments in and acquisitions of NewGenIvf’s business partners. While NewGenIvf believes that one of its key competitive advantages is its ability to provide a broad range of services, and NewGenIvf does not believe any competitors have developed a similar broad range services in Asia Pacific at this time, current or future competitors may be successful in doing so in the future. If current or future competitors are successful at developing a similar broad range of services, NewGenIvf’s financial performance may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believes that there is growing awareness of the demand for fertility services. As the fertility services field gains more attention, more competitors may be drawn into the market. NewGenIvf also could be adversely affected if NewGenIvf fails to identify or effectively respond to changes in market dynamics. As a result of any of these factors, NewGenIvf may not be able to continue to compete successfully against its current or future competitors, and this competition could result in the decrease in its clients base and market share and the failure of its platform to continue to maintain market acceptance, which would materially and adversely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has a limited operating history with its current platform of solutions, which makes it difficult to predict its future prospects, financial performance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predecessor entity of the Company prior to the Business Combination in April of 2024, NewGenIvf Limited, a Cayman Islands exempted company, was established in 2019, and although its subsidiary First Fertility PGS Center Limited launched fertility services in 2014, has a limited operating history. As a result of its limited operating history with its current platform of solutions, as well as a limited amount of time serving a majority of its client base, its ability to accurately forecast its future results of operations, key operating data, net revenue, cash flows, and operating margins is limited and subject to a number of uncertainties, including its ability to plan for and model future growth. NewGenIvf’s historical revenue growth should not be considered indicative of its future performance. Further, in future periods, its revenue growth could slow or decline for a number of reasons, including risks, challenges and uncertainties that NewGenIvf has encountered and may continue to encounter that are frequently experienced by companies at an early stage, slowing demand for its solutions and fertility services in general, changes in utilization trends by its clients, general economic slowdown, an increase in unemployment, an increase in competition, changes to health care trends and regulations, changes to science relating to the fertility market, a decrease in the growth of the fertility market, or its failure, for any reason, to continue to take advantage of growth opportunities. If NewGenIvf’s assumptions regarding these risks and uncertainties and its future revenue growth are incorrect or change, or if it does not address these risks successfully, its operating and financial results could differ materially from its expectations, and its business could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undergoing a significant and rapid business transformation, which involves substantial risks and may not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recent and planned strategic initiatives represent a fundamental shift from our historical focus on fertility services to a highly diversified conglomerate with operations in real estate development, and digital asset management. This transformation involves numerous risks, including our inability to manage multiple, unrelated business lines, the failure of these new ventures to generate expected revenues or profits, the diversion of management’s attention from our core operations, and significant unanticipated costs. Our lack of operating history in these new sectors makes it difficult to forecast future performance, and there can be no assurance that this diversification strategy will enhance shareholder value or that we will successfully execute this transformation.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new strategic initiatives may place significant strain on the Company’s management, and operational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 expansion into multiple new and complex business areas will require significant management attention and financial resources. Our senior management has limited experience in large-scale real estate development, and investments in digital assets. Our ability to manage this growth effectively, recruit and retain qualified personnel with the requisite expertise, and maintain a cohesive corporate culture across diverse business lines is unproven. Any failure to manage this growth could lead to operational inefficiencies, control failures, and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planned Solana strategy may not be successful and exposes us to various risks, including risks associated with the Solana network, SOL token and the blockchain sector.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we announced plans to invest up to US$30 million in staking the digital asset SOL (the native token of the Solana network) and funding such investment using our existing credit facilities. We intended to systematically deploy our available capital to acquire SOL from time to time over a period of 18 months. However, as of the date of this prospectus, we no longer hold any SOL tokens as all SOL tokens were used as consideration for the acquisition of its equity interest in PredicXion. We no longer intend to invest further capital in SOL.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strategic investment in and exclusive agency agreement with PredicXion Group Limited subject us to financial, operational, and regulatory risks, and we may fail to realize the anticipated benefits of this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June and July 2026, we entered into a series of agreements to acquire up to a 13% equity interest in PredicXion Group Limited (“PredicXion”), consisting of an initial 2% acquisition, two subsequent 4% top-up exercises, and an additional acquisition of 3% (collectively, the “PredicXion Acquisition”). Concurrently, we entered into an Exclusive Agency Agreement (“EAA”) to act as the exclusive agent for the promotion, marketing, and facilitation of PredicXion’s K25.ai platform in certain APAC markets. In July 2026, we entered into an additional agreement to acquire a 3% equity interest in PredicXion. This transaction and the ongoing commercial relationship expose us to numerous risks, including the following: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Substantial Liquidity and Capital Commitments</w:t>
            </w:r>
            <w:r>
              <w:rPr/>
              <w:t>: The PredicXion Acquisition requires significant cash and equity commitments. Under the terms of the First PredicXion Top-Up SPA and Second PredicXion Top-Up SPA, we are required to pay total outstanding cash balances of US$1,000,000 and US$1,900,000 to the Seller by August 31, 2026 and September 30, 2026 respectively. Under the terms of the Additional SPA, we are required to pay US$3,562,500 to the Seller by 30 November 2026. If we experience cash flow constraints or fail to fulfill these payment obligations on time, we could be in breach of these agreements, which may result in legal liability, forfeiture of our deposits, or the loss of 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Risks Associated with Digital Assets</w:t>
            </w:r>
            <w:r>
              <w:rPr/>
              <w:t>: The consideration for the PredicXion Acquisition may be paid in part using digital assets (including stablecoins or Solana). The value of digital assets is highly volatile and susceptible to sudden market fluctuations, regulatory scrutiny, and security vulnerabilities. Utilizing digital assets for transaction settlements exposes us to increased operational complexity and potential financial losses.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Dilution to Existing Shareholders</w:t>
            </w:r>
            <w:r>
              <w:rPr/>
              <w:t>: We have issued substantial amounts of Class A ordinary shares as part of the transaction consideration (666,667 shares (equivalent to 222,223 shares as adjusted for the applicable Reverse Stock Splits) for the Initial Acquisition and 1,500,000 shares (500,000 shares as adjusted for the applicable Reverse Stock Splits) for each of the two Top-Up Acquisitions, and 2,500,000 shares for the Additional Acquisition, totaling 3,722,223 shares as adjusted for the applicable Reverse Stock Splits). The issuance of these shares will dilute the ownership percentages and voting power of our existing shareholders and could depress the market price of our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Risk of Loss of Territory Exclusivity</w:t>
            </w:r>
            <w:r>
              <w:rPr/>
              <w:t>: Our exclusive marketing rights for the K25.ai platform in Thailand, Singapore, Japan, and other agreed APAC markets are conditional upon our performance. Specifically, we must satisfy a minimum annual gross profit performance threshold of US$500,000 per calendar year in each agreed territory. If we fail to meet this threshold in any territory, PredicXion has the right to terminate our exclusivity for that region, which would significantly impair our expected revenue and competitive position in the APAC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b/>
                <w:sz w:val="20"/>
              </w:rPr>
              <w:t>Reliance on a Minority Investment and Platform Adoption</w:t>
            </w:r>
            <w:r>
              <w:rPr>
                <w:sz w:val="20"/>
              </w:rPr>
              <w:t>: Because our equity interest in PredicXion is only 13%, we have limited influence and no control over PredicXion’s corporate governance, strategic direction, or operational decisions. Furthermore, the success of the EAA depends heavily on commercial acceptance of the K25.ai platform. If the platform fails to gain market traction, or if PredicXion fails to maintain or upgrade the platform efficiently, we may never generate sufficient gross profit to earn the tiered commissions under the EAA or achieve a return on 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Caps on Potential Revenue</w:t>
            </w:r>
            <w:r>
              <w:rPr/>
              <w:t>: The aggregate commission payable to us under the EAA is capped at US$5,000,000 per calendar year. This cap limits our maximum potential upside from the relationship, even if the K25.ai platform achieves massive financial success in our territories.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manage these risks, our business,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NewGenIvf’s real estate development projects are subject to numerous risks that could prevent the Company from realizing the projected returns.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real estate joint venture is concentrated in Ras Al Khaimah, UAE, and is dependent on the successful development, marketing, and sale of properties in the specific geographic region. The project is vulnerable to regional economic conditions, regulatory changes, and real estate market fluctuations specific to that emirate. The projected net return of up to US$67 million is based on feasibility studies and assumptions, including specific sale prices per square foot and 100% sales efficiency, which may not materialize. These projects are susceptible to risks such as construction delays and cost overruns, fluctuations in the UAE real estate market, changes in regional economic and political conditions, regulatory changes, and reliance on third-party developers and partners. Our financial returns are contingent upon the joint venture’s success, and any failure to achieve the projected financial outcomes could have a material adverse effect on our business and financial condition. Furthermore, the Company’s current commitment is limited to a reservation deposit, as a definitive Sales and Purchase Agreement has yet to be executed. Thus, there is uncertainty over projected final project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valuation of acquired assets, such as intellectual property and mining reserves, is complex and subjective, and may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NewGenIvf reported a gain from IP acquisition of US$17.9 million from its acquisition of advanced cytometry intellectual property. The gain from acquisition was based on an independent valuation report from a “Big Four” accounting firm. The gain from IP acquisition is based on estimates, appraisals, and technical reports. These valuations are subject to assumptions and methodologies that may prove to be inaccurate. The actual commercial value of the acquired IP is dependent on our ability to successfully license the technology and generate royalty streams. If the fair value of these assets declines or is not realized, we may be required to recognize impairment charges, which would negatively impact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marketing efforts depend significantly on its ability to receive positive references from its existing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marketing efforts depend significantly on its ability to call on its current clients to provide positive references to new, potential clients. Given its limited number of long-term clients, the loss or dissatisfaction of any client could substantially harm its brand and reputation, inhibit the market adoption of its offering and impair its ability to attract new clients and maintain existing clients. Any of these consequences could have an adverse effect on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public reporting company, we are subject to filing deadlines for reports that we file pursuant to the Exchange Act, and our failure to timely file such reports may have material adverse consequences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20-F for the year ended December 31, 2023. Consequently, we were not compliant with the periodic reporting requirements under the 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Class A Ordinary Shares from Nasdaq, regulatory sanctions from the SEC, and/or the breach of covenants in our credit facilities or of any preferred equity or debt securities we may issue in the future, any of which could have a material adverse impact on our operations and your investment in our Class A Ordinary Shares,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continue to meet the listing requirements of Nasdaq, our Class A Ordinary Shares will be delisted.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2024, the Company received a deficiency letter (“Bid Price Deficiency Letter”) from the Listing Qualifications Department (the “Staff”) of Nasdaq notifying the Company that it is currently not in compliance with the closing bid price requirement under Nasdaq Listing Rule 5450(a)(1) (the “Minimum Bid Price Rule”). The Bid Price Deficiency Letter stated that, for the preceding 30 consecutive business days, the Company’s Class A Ordinary Shares did not meet the minimum closing bid price of $1 per share pursuant to the Minimum Bid Price Rule. The Company has an initial compliance period of 180 calendar days, or until April 7, 2025 to regain compliance with the Minimum Bid Price Rule. The Deficiency letter stated that if at any time the closing bid price of the Company’s Class A Ordinary Shares is at least $1 for a minimum of ten consecutive business days, Nasdaq will provide the Company written confirmation of compliance with this requirement, as applicable. On February 11, 2025, the Company effected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Since the First Reverse Stock Split, the Company has carried out 3 additional reverse stock splits on May 5, 2025, August 4, 2025 and December 1, 2025 in order to ensure the Company’s Class A Ordinary Shares do not fall below $1.00 per share for 30 consecutive days. If within one year of the Reverse Stock Splits, the Company’s Class A Ordinary Shares fall below $1.00 per share for 30 consecutive business days, then Nasdaq may not provide us with an additional compliance period under its amended Listing Rule 5810(c)(3)(A)(iv) and our common stock could be delisted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MVLS Deficiency Letter from the Listing Qualifications Department (the “Staff”) of Nasdaq notifying the Company that, for the preceding 35 consecutive business days, the Class A Shares did not meet the minimum MVLS Requirement for continued listing on Nasdaq pursuant to Nasdaq Listing Rules 5450(b)(2)(A). In accordance with Nasdaq Rule 5810(c)(3)(C), the Company has been provided an initial period of 180 calendar days, or until November 20, 2024, the Compliance Date, to regain compliance with the MVLS Requirement. If, at any time before the Compliance Date, the MVLS for the Class A Shares is at least $50,000,000 for a minimum of ten consecutive business days, the Staff will provide the Company written confirmation of compliance with the MVLS Requirement. In the event the Company does not regain compliance with the above requirement prior to the expiration of the compliance period, it will receive written notification that its securities are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MVPHS Deficiency Letter from the Staff of Nasdaq notifying the Company that, for the preceding 35 consecutive business days, the Company’s Class A Ordinary Shares did not meet the minimum $15,000,000 MVPHS Requirement for continued listing on Nasdaq pursuant to Nasdaq Listing Rules 5450(b)(2)(C). In accordance with Nasdaq Rule 5810(c)(3)(D), the Company has until the Compliance Date to regain compliance with the MVPHS Requirement. If, at any time before the Compliance Date, the MVPHS for the Class A Shares is at least $15,000,000 for a minimum of ten consecutive business days, the Staff will provide the Company written confirmation of compliance with the MVPHS Requirement. In the event the Company does not regain compliance with the above requirement prior to the expiration of the compliance period, it will receive written notification that its securities are subject to delisting. Alternatively, the Company may apply to transfer the Company’s securities to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received a notice from the Staff of Nasdaq notifying the Company that its securities are subject to delisting due to the MVPHS Deficiency and MLVS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(“Nasdaq” or the “Exchange”) continued listing requirements, subject to meeting specific compliance criteria within designated timeframes. On February 11, 2025, the Company carried out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 On March 10, 2025, the Company received a confirmation letter from Nasdaq confirming that it has demonstrated compliance with all of Nasdaq’s listing requirements, as required in the Panel’s decision letter dated February 19,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Nasdaq Rules 5810(c)(1) and 5550(a)(6) came into effect, requiring issuers to maintain a minimum Market Value of Listed Securities (MVLS) of at least US$5 million. If our MVLS falls below this threshold for 30 consecutive business days, Nasdaq will issue an immediate Staff Delisting Determination, resulting in the immediate suspension and delisting of our securities. Unlike other deficiencies (such as minimum bid price), this rule does not provide an automatic compliance or cure period. On July 29. 2026, the United States Securities Exchange Commission (“SEC”) issued an automatic stay on this rule pending review by the full Commission, temporarily pausing its implementation. However, if the stay is lifted and the rule is fully enforced, any sustained drop in our share price or listed share volume could trigger an immediate suspension without a grace period.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achieve and maintain compliance with such listing standards or other Nasdaq listing requirements in the future, our Class A Ordinary Shares could be delisted from Nasdaq. A delisting of our Class A Ordinary Shares and our inability to list on another national securities market could negatively impact us by: (i) reducing the liquidity and market price of our Class A Ordinary Shares; (ii) reducing the number of investors willing to hold or acquire our Class A Ordinary Shares, which could negatively impact our ability to raise equity financing; (iii) limiting our ability to use certain registration statements to offer and sell freely tradable securities, thereby limiting our ability to access the public capital markets; and (iv) impairing our ability to provide equity incentives to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is unable to attract new clients, its business, financial condition and results of operations would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its revenue, NewGenIvf must continue to attract new clients. NewGenIvf’s ability to do so depends in large part on the success of its sales and marketing efforts, and the success of references through existing clients. Potential clients may seek out other options; therefore, NewGenIvf must demonstrate that its solutions are valuable and superior to alternatives. If NewGenIvf fails to provide high-quality solutions and convince clients of the benefits of its model and value proposition, NewGenIvf may not be able to attract new clients. If the markets for NewGenIvf’s solutions decline or grow more slowly than it expects, or if the number of clients that contract with it for its solutions declines or fails to increase as it expects, its financial results could be harmed. As the markets in which NewGenIvf participate mature, fertility solutions and services evolve and competitors begin to enter into the market and introduce differentiated solutions or services that are perceived to compete with its solutions, particularly if such competing solutions are adopted by its competitors, its ability to sell its solutions could be impaired. As a result of these and other factors, NewGenIvf may be unable to attract new clients, which would have an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business depends on its ability to maintain its existing client demographics. Any failure to do so would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growth strategy, NewGenIvf is focused on maintaining its services within its existing client demographics. NewGenIvf mainly competes with mid-level private clinics and hospitals, which have improved and developed their services and equipment over the years. In addition to private clinics and hospitals already existing, foreign medical companies may also enter the markets where NewGenIvf operates. Such foreign medical companies may be well-placed to compete with NewGenIvf due to their larger network size, reputation as global players and access to more advanced technology and financial resources. The expansion of existing competitors in the industry may erode NewGenIvf’s existing market share or decrease its traditional client pool. There can be no assurance that NewGenIvf will be able to compete effectively and therefore its future business growth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reduction in the utilization of NewGenIvf’s solutions could have an adverse effect on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reduction in the number of clients using NewGenIvf’s solutions could adversely affect its business, financial condition and results of operations. Factors that could contribute to a reduction in the use of its solutions include: general economic downturn that results in adverse financial conditions; regulatory changes; failure to adapt and respond effectively to changing medical landscape, changing regulations, changing client needs, requirements or preferences; negative publicity, through social media or otherwise and news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offer high-quality support, its reputation could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relies on its client account management personnel and the patient navigators (the “PNs”) to resolve client issues and help clients realize the full benefits that its solutions and services provide. High-quality support is also important for the renewal and expansion of its services to existing clients. The importance of its support functions will increase as NewGenIvf expands its business and pursue new clients. If NewGenIvf does not help its clients quickly resolve issues and provide effective ongoing supports, its ability to maintain and expand its offerings to existing and new clients could suffer, and its reputation with existing or potential clients could suffer. Further, to the extent that NewGenIvf is unsuccessful in hiring, training and retaining adequate PNs and client account management personnel, its ability to provide adequate and timely support to its clients would be negatively impacted, and its clients’ satisfaction with its solutions and services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failure to effectively develop and expand its marketing and sales capabilities could harm its ability to increase its client base and achieve broader market acceptance of solutions NewGenIvf provides.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ability to increase its client base and achieve broader market acceptance of solutions it provides will depend to a significant extent on its ability to expand its marketing and sales capabilities. NewGenIvf plans to continue expanding its direct sales force and to dedicate significant resources to sales and marketing programs, including direct sales, inside sales, targeted direct marketing, advertising, digital marketing, e-newsletter and conference sponsorships. All of these efforts will require it to invest significant financial and other resources. Its business and results of operations could be harmed if its sales and marketing efforts do not generate significant increases in revenue. NewGenIvf may not achieve anticipated revenue growth from expanding its sales and marketing efforts if it is unable to hire, develop, integrate and retain talented and effective sales personnel, if its new and existing sales personnel, on the whole, are unable to achieve desired productivity levels in a reasonable period of time, or if its sales and marketing programs are not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experience net losses and may not sustain profitability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experienced significant revenue decrease from 2019 to 2020, due to the impact of COVID-19. NewGenIvf is not certain whether it will obtain sufficient levels of sales to sustain its growth or maintain profitability in the future. NewGenIvf also expects its costs and expenses to increase in future periods, which could negatively affect its future results of operations if its revenue does not increase accordingly. In particular, NewGenIvf intends to continue to incrementally expand its sales and client account management teams to educate potential clients and drive new client adoption. NewGenIvf also expects to incur additional costs as it introduces new solutions and services to enhance its comprehensive fertility offering. NewGenIvf will also face increased compliance costs associated with growth, the expansion of its client base and being a public company. NewGenIvf’s efforts to grow its business may be costlier than it expects, and NewGenIvf may not be able to increase its revenue enough to offset its increased operating expenses. NewGenIvf may incur significant losses in the future for a number of reasons, including the other risks described herein, and unforeseen expenses, difficulties, complications and delays, and other unknown events. If NewGenIvf is unable to sustain profitability, the value of its business and common stock may significantly decrease.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future revenue may not grow at the rates it historically has,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experienced growth since its business operations started in 2014. Revenue and NewGenIvf’s client base may not grow at the same rates they historically have, or they may decline in the future. NewGenIvf’s future growth will depend, in part, on its ability to:</w:t>
      </w:r>
    </w:p>
    <w:p>
      <w:pPr>
        <w:pStyle w:val="TextBody"/>
        <w:bidi w:val="0"/>
        <w:spacing w:before="0" w:after="0"/>
        <w:ind w:left="960" w:right="0" w:hanging="48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05"/>
        <w:gridCol w:w="200"/>
        <w:gridCol w:w="52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sz w:val="20"/>
              </w:rPr>
            </w:pPr>
            <w:r>
              <w:rPr>
                <w:sz w:val="20"/>
              </w:rPr>
              <w:t>continue to attract new clients and/or maintain existing clients;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price its solutions and services effectively so that it is able to attract new clients, expand sales to its existing clients and maintain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105"/>
        <w:gridCol w:w="200"/>
        <w:gridCol w:w="77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sz w:val="20"/>
              </w:rPr>
            </w:pPr>
            <w:r>
              <w:rPr>
                <w:sz w:val="20"/>
              </w:rPr>
              <w:t>provide its clients with client support that meets their needs, including through dedicated PNs;</w:t>
            </w:r>
          </w:p>
        </w:tc>
      </w:tr>
    </w:tbl>
    <w:p>
      <w:pPr>
        <w:pStyle w:val="TextBody"/>
        <w:bidi w:val="0"/>
        <w:spacing w:before="0" w:after="0"/>
        <w:ind w:left="960" w:right="0" w:hanging="48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105"/>
        <w:gridCol w:w="200"/>
        <w:gridCol w:w="53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sz w:val="20"/>
              </w:rPr>
            </w:pPr>
            <w:r>
              <w:rPr>
                <w:sz w:val="20"/>
              </w:rPr>
              <w:t>maintain successful collection of applicable receivable balances;</w:t>
            </w:r>
          </w:p>
        </w:tc>
      </w:tr>
    </w:tbl>
    <w:p>
      <w:pPr>
        <w:pStyle w:val="TextBody"/>
        <w:bidi w:val="0"/>
        <w:spacing w:before="0" w:after="0"/>
        <w:ind w:left="960" w:right="0" w:hanging="480"/>
        <w:jc w:val="both"/>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105"/>
        <w:gridCol w:w="200"/>
        <w:gridCol w:w="69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sz w:val="20"/>
              </w:rPr>
            </w:pPr>
            <w:r>
              <w:rPr>
                <w:sz w:val="20"/>
              </w:rPr>
              <w:t>retain and maintain relationships with high-quality and respected fertility specialists;</w:t>
            </w:r>
          </w:p>
        </w:tc>
      </w:tr>
    </w:tbl>
    <w:p>
      <w:pPr>
        <w:pStyle w:val="TextBody"/>
        <w:bidi w:val="0"/>
        <w:spacing w:before="0" w:after="0"/>
        <w:ind w:left="960" w:right="0" w:hanging="48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105"/>
        <w:gridCol w:w="200"/>
        <w:gridCol w:w="57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sz w:val="20"/>
              </w:rPr>
            </w:pPr>
            <w:r>
              <w:rPr>
                <w:sz w:val="20"/>
              </w:rPr>
              <w:t>attract and retain highly qualified personnel to support all clients; and</w:t>
            </w:r>
          </w:p>
        </w:tc>
      </w:tr>
    </w:tbl>
    <w:p>
      <w:pPr>
        <w:pStyle w:val="TextBody"/>
        <w:bidi w:val="0"/>
        <w:spacing w:before="0" w:after="0"/>
        <w:ind w:left="960" w:right="0" w:hanging="480"/>
        <w:jc w:val="both"/>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05"/>
        <w:gridCol w:w="200"/>
        <w:gridCol w:w="66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sz w:val="20"/>
              </w:rPr>
            </w:pPr>
            <w:r>
              <w:rPr>
                <w:sz w:val="20"/>
              </w:rPr>
              <w:t>increase awareness of its brand and successfully compete with other competitors.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successfully accomplish all or any of these objectives, which may affect its future revenue, and which makes it difficult for it to forecast its future results of operations. In addition, if the assumptions that NewGenIvf uses to plan its business are incorrect or change in reaction to changes in its market, it may be difficult for it to maintain profitability. NewGenIvf’s shareholders should not rely on its revenue for any prior quarterly or annual periods as any indication of its future revenue or revenue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expects to continue to expend substantial financial and other resources on:</w:t>
      </w:r>
    </w:p>
    <w:p>
      <w:pPr>
        <w:pStyle w:val="TextBody"/>
        <w:bidi w:val="0"/>
        <w:spacing w:before="0" w:after="0"/>
        <w:ind w:left="960" w:right="0" w:hanging="48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05"/>
        <w:gridCol w:w="200"/>
        <w:gridCol w:w="17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jc w:val="both"/>
              <w:rPr>
                <w:sz w:val="20"/>
              </w:rPr>
            </w:pPr>
            <w:r>
              <w:rPr>
                <w:sz w:val="20"/>
              </w:rPr>
              <w:t>sales and marketing;</w:t>
            </w:r>
          </w:p>
        </w:tc>
      </w:tr>
    </w:tbl>
    <w:p>
      <w:pPr>
        <w:pStyle w:val="TextBody"/>
        <w:bidi w:val="0"/>
        <w:spacing w:before="0" w:after="0"/>
        <w:ind w:left="960" w:right="0" w:hanging="48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105"/>
        <w:gridCol w:w="200"/>
        <w:gridCol w:w="92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sz w:val="20"/>
              </w:rPr>
            </w:pPr>
            <w:r>
              <w:rPr>
                <w:sz w:val="20"/>
              </w:rPr>
              <w:t>technology infrastructure, including systems architecture, scalability, availability, performance and security; and</w:t>
            </w:r>
          </w:p>
        </w:tc>
      </w:tr>
    </w:tbl>
    <w:p>
      <w:pPr>
        <w:pStyle w:val="TextBody"/>
        <w:bidi w:val="0"/>
        <w:spacing w:before="0" w:after="0"/>
        <w:ind w:left="960" w:right="0" w:hanging="480"/>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105"/>
        <w:gridCol w:w="200"/>
        <w:gridCol w:w="95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sz w:val="20"/>
              </w:rPr>
            </w:pPr>
            <w:r>
              <w:rPr>
                <w:sz w:val="20"/>
              </w:rPr>
              <w:t>general administration, including increased legal and accounting expenses associated with being a public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investments may not result in increased revenue growth in its business. If NewGenIvf is unable to increase its revenue at a rate sufficient to offset the expected increase in its costs, its business, financial position, and results of operations will be harmed, and NewGenIvf may not be able to maintain profitability over the long term. Additionally, NewGenIvf may encounter unforeseen operating expenses, difficulties, complications, delays and other unknown factors that may result in losses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its revenue growth does not meet its expectations in future periods, NewGenIvf may not maintain profitability in the future, its business, financial position and results of operations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interim and annual results may fluctuate significantly and may not fully reflect the underlying performance of NewGenIvf’s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interim and annual results of operations, including the levels of NewGenIvf’s revenues, expenses, net (loss)/income and other key metrics, may vary significantly in the future due to a variety of factors, some of which are outside of NewGenIvf’s control, and period-to-period comparisons of NewGenIvf’s operating results may not be meaningful, especially given NewGenIvf’s limited operating history. Accordingly, the results for any one fiscal half year or any one fiscal year are not necessarily an indication of future performance. Fluctuations in interim and/or annual financial results may adversely affect the price of NewGenIvf’s ordinary shares. Factors that may cause fluctuations in NewGenIvf’s interim and annual financial results include:</w:t>
      </w:r>
    </w:p>
    <w:p>
      <w:pPr>
        <w:pStyle w:val="TextBody"/>
        <w:bidi w:val="0"/>
        <w:spacing w:before="0" w:after="0"/>
        <w:ind w:left="960" w:right="0" w:hanging="48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105"/>
        <w:gridCol w:w="200"/>
        <w:gridCol w:w="79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sz w:val="20"/>
              </w:rPr>
            </w:pPr>
            <w:r>
              <w:rPr>
                <w:sz w:val="20"/>
              </w:rPr>
              <w:t>NewGenIvf’s ability to attract new customers and maintain relationships with existing customers;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105"/>
        <w:gridCol w:w="200"/>
        <w:gridCol w:w="83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sz w:val="20"/>
              </w:rPr>
            </w:pPr>
            <w:r>
              <w:rPr>
                <w:sz w:val="20"/>
              </w:rPr>
              <w:t>changes in NewGenIvf’s products and services offered and introduction of new services and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the amount and timing of operating expenses related to marketing and the maintenance and expansion of NewGenIvf’s business, operations and infrastructure;</w:t>
            </w:r>
          </w:p>
        </w:tc>
      </w:tr>
    </w:tbl>
    <w:p>
      <w:pPr>
        <w:pStyle w:val="TextBody"/>
        <w:bidi w:val="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68"/>
        <w:gridCol w:w="200"/>
        <w:gridCol w:w="71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sz w:val="20"/>
              </w:rPr>
            </w:pPr>
            <w:r>
              <w:rPr>
                <w:sz w:val="20"/>
              </w:rPr>
              <w:t>changes in the market situation of the residential property in the United Arab Emirates;</w:t>
            </w:r>
          </w:p>
        </w:tc>
      </w:tr>
    </w:tbl>
    <w:p>
      <w:pPr>
        <w:pStyle w:val="TextBody"/>
        <w:bidi w:val="0"/>
        <w:spacing w:before="0" w:after="0"/>
        <w:ind w:left="960" w:right="0" w:hanging="48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05"/>
        <w:gridCol w:w="200"/>
        <w:gridCol w:w="45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both"/>
              <w:rPr>
                <w:sz w:val="20"/>
              </w:rPr>
            </w:pPr>
            <w:r>
              <w:rPr>
                <w:sz w:val="20"/>
              </w:rPr>
              <w:t>general economic, industry and market conditions; and</w:t>
            </w:r>
          </w:p>
        </w:tc>
      </w:tr>
    </w:tbl>
    <w:p>
      <w:pPr>
        <w:pStyle w:val="TextBody"/>
        <w:bidi w:val="0"/>
        <w:spacing w:before="0" w:after="0"/>
        <w:ind w:left="960" w:right="0" w:hanging="48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105"/>
        <w:gridCol w:w="200"/>
        <w:gridCol w:w="77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both"/>
              <w:rPr>
                <w:sz w:val="20"/>
              </w:rPr>
            </w:pPr>
            <w:r>
              <w:rPr>
                <w:sz w:val="20"/>
              </w:rPr>
              <w:t>the timing of expenses related to the development or acquisition of technologies or businesses.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estimates and assumptions NewGenIvf uses to determine the size of the target markets for its services are inaccurate, its future growth rate may be impacted and its business would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opportunity estimates and growth forecasts are subject to significant uncertainty and are based on assumptions and estimates that may not prove to be accurate. Market opportunity estimates and growth forecasts included in this prospectus, including those NewGenIvf has generated itself, are subject to significant uncertainty and are based on assumptions and estimates that may not prove to be accurate, including the risks described in this prospectus. Even if the markets in which NewGenIvf competes achieve the forecasted growth, its business could fail to grow at similar rates,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estimates of the market opportunity for its services are based on the assumption that the purpose-built, data-driven and disruptive fertility services platform with the plan design NewGenIvf offers will be attractive to clients. Clients may pursue alternatives or may not see the value in providing enhanced fertility-related services. In addition, NewGenIvf believes that it is expanding the size of the fertility market as NewGenIvf enhances demand and increase awareness for fertility services. If these assumptions prove inaccurate, or if the increase in awareness of fertility services attracts potential competitors to the market and results in greater competition, NewGenIvf’s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the demand for NewGenIvf’s solutions, the entry of competitive solutions or the future growth rate and size of the fertility market. The expansion of the fertility market depends on a number of factors, including, but not limited to: the continued trend of individuals starting families later in life, increase in the number of single mothers by choice, adoption of non-traditional paths to parenthood and continued de-stigmatization of infertility.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reduction in demand caused by a lack of client acceptance, weakening economic conditions, data security or privacy concerns, governmental regulation, competing offerings or otherwise, the market for its solutions and services might not continue to develop or might develop more slowly than NewGenIvf expects, which would adversely affect its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not be able to successfully manage its growth, and if NewGenIvf is not able to grow efficiently, its business, financial condition and results of operations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usage of its solutions grows, NewGenIvf will need to devote additional resources to improving and maintaining its infrastructure. In addition, NewGenIvf will need to appropriately scale its internal business systems and its client account management and services personnel to serve its growing client base. Any failure of or delay in these efforts could result in reduced client satisfaction, resulting in decreased sales to new clients and lower renewal and utilization rates by existing clients, which could hurt its revenue growth and its reputation. Even if NewGenIvf is successful in these efforts, they will require the dedication of management time and attention. NewGenIvf could also face inefficiencies or service disruptions as a result of its efforts to scale its internal infrastructure. NewGenIvf cannot be sure that the expansion and improvements to its internal infrastructure will be effectively implemented on a timely basis, and such failures could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NewGenIvf’s new solutions and services are not adopted by its clients, or if it fails to innovate and develop new offerings that are adopted by its clients, its revenue and results of operations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NewGenIvf has derived a substantial majority of its revenue from sales of its fertility services. As NewGenIvf operates in an evolving industry, its long-term results of operations and continued growth will depend on its ability to successfully develop and market new successful solutions and services to its clients. If its existing clients do not value and/or are not willing to make additional payments for such new solutions or services, it could adversely affect its business, financial condition and results of operations. If NewGenIvf is unable to predict clients’ preferences, if the markets in which NewGenIvf participates change, including in response to government regulation, or if NewGenIvf is unable to modify its solutions and services on a timely basis, NewGenIvf may lose clients. Its results of operations would also suffer if its innovations were not responsive to the needs of the clients, appropriately timed with market opportunity or effectively brought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adapt and respond effectively to the changing medical landscape, changing regulations, changing client needs, requirements or preferences, its offerings may become less competitive.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in which NewGenIvf competes is subject to a changing medical landscape and changing regulations, as well as changing client needs, requirements and preferences. The success of its business will depend, in part, on its ability to adapt and respond effectively to these changes on a timely basis. NewGenIvf’s business strategy may not effectively respond to these changes, and NewGenIvf may fail to recognize and position itself to capitalize upon market opportunities. NewGenIvf may not have sufficient advance notice and resources to develop and effectively implement an alternative strategy. There may be scientific or clinical changes that require it to change its solutions or that make its solutions less competitive in the marketplace. If there are sensitivities to its model or its existing competitors and new entrants create new disruptive business models and/or develop new solutions that clients prefer to its solutions, NewGenIvf may lose clients, and its results of operations, cash flows and/or prospects may be adversely affected. The future performance of NewGenIvf’s business will depend in large part on its ability to design and implement market appropriate strategic initiatives, some of which will occur over several years in a dynamic industry. If these initiatives of NewGenIvf do not result in met objectives, NewGenIvf’s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maintain and enhance its brand, its ability to expand its client base will be impaired and its business, financial condition and results of operations may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NewGenIvf’s business partially depends on the recognition of NewGenIvf’s brand and reputation. NewGenIvf believes that maintaining and enhancing its brand is important to support the marketing and sale of its existing and future solutions to new clients and expand sales of its solutions to existing clients. NewGenIvf also believes that the importance of brand recognition will increase as competition in its market increases. Successfully maintaining and enhancing its brand will depend largely on the effectiveness of its marketing efforts, its ability to provide reliable services that continue to meet the needs of its clients at competitive prices, its ability to maintain its clients’ trust, its ability to continue to develop new solutions, and its ability to successfully differentiate its platform from competitive solutions and services. NewGenIvf’s brand promotion activities may not generate client awareness or yield increased revenue, and even if they do, any increased revenue may not offset the expenses NewGenIvf incurs in building its brand. If NewGenIvf fails to successfully promote and maintain its brand, its business, financial condition and results of operations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retain and motivate members of its management team or other key employees, or fails to attract additional qualified personnel to support its operations, its business and future growth prospects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success and future growth depend largely upon the continued services of its management team and its other key employees. From time to time, there may be changes in its executive management team or other key employees resulting from the hiring or departure of these personnel. Its executive officers and other key employees are employed on an at-will basis, which means that these personnel could terminate their employment with it at any time. The loss of one or more of its executive officers, or the failure by its executive team to effectively work with its employees and lead its company, could harm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execute its growth plan, NewGenIvf must attract and retain highly qualified personnel. Competition for these personnel is intense, especially for experienced medical officers and scientific staffs and sales and client account management personnel. There is no guarantee NewGenIvf will be able to attract such personnel or that competition among potential employers will not result in increased salaries or other benefits. From time to time, NewGenIvf has experienced, and NewGenIvf expects to continue to experience, difficulty in hiring and retaining employees with appropriate qualifications. Many of the companies with which NewGenIvf competes for experienced personnel have greater resources than NewGenIvf has. If NewGenIvf hires employees from competitors or other companies, their former employers may attempt to assert that these employees or NewGenIvf has breached their legal obligations, resulting in a diversion of its time and resources. In addition, prospective and existing employees often consider the value of the equity awards they receive in connection with their contribution to the company. If the perceived value of its equity awards declines, experiences significant volatility, or increases such that prospective employees believe there is limited upside to the value of its equity awards, it may adversely affect its ability to recruit and retain key employees. If NewGenIvf fails to attract new personnel or fails to retain and motivate its current personnel, its business and future growth prospects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order to attract and retain key personnel and employees, the compensation amounts for NewGenIvf’s executive officers may change significantly after consummation of the Business Combination, although there are currently no agreements in place relating to any such post Business Combination compensation arrangements. As a result, NewGenIvf’s expenses associated with the compensation may increase, which may also have an adverse effect on its results of operations.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Share Incentive Plan allows NewGenIvf to enhance its ability to attract and retain exceptionally qualified individuals and agents and to encourage them to acquire a proprietary interest in the company’s growth and performance. Competition for highly skilled personnel and agents is often intense and NewGenIvf may incur significant costs or may not be successful in attracting, integrating, or retaining qualified personnel and agents to fulfill NewGenIvf’s current or future needs. NewGenIvf believes that the granting of share-based awards is of significant importance to NewGenIvf’s ability to attract and retain agents, key personnel and employees, and NewGenIvf will continue to grant share-based awards in the future. In addition, NewGenIvf may, with the approval of its Compensation Committee and the Board, revise the terms of, and increase the size of, its share incentive plan, to ensure that it is able to attract and retain agents, key personnel and employees. On March 31, 2025, NewGenIvf’s Board approved certain amendments to its Share Incentive Plan, including the increase of the size of the share incentive plan to 20% of the outstanding shares of the Company from time to time. On May 27, 2026, NewGenIvf’s Board approved the replenishment of the share incentive award pool to a total of 555,584 ordinary shares (equivalent to 185,195 ordinary shares as adjusted by Reverse Stock Split) in the Company, equivalent to 20% of the total outstanding shares of the Company as on May 26, 2026. As a result, NewGenIvf’s expenses associated with share-based compensation may increase, which may have an adverse effect on NewGenIvf’s results of operations. The amended share incentive plan is available as Exhibit 4.32. As of this prospectus date, Siu Wing Fung Alfred and Hei Yue Fong Tina had each received 18,951 Class B shares (adjusted for Reverse Stock Split) through the Company’s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successfully market and sell its services and products in Asia-Pacific markets, NewGenIvf must address many international business risks with which NewGenIvf has limited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is subject to risks in connection with changes in international, national and local economic and market conditions, including the effects of global financial crises, effects of terrorist acts and war and global pandemics. Such economic changes could negatively impact infertile couples’ abilities to pay for fertility treatments around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strategy is to increase its international presence in Asia-Pacific countries and its international sales are subject to a number of risks, including: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increased competition as a result of more products and procedures receiving regulatory approval or otherwise free to market in international markets;</w:t>
            </w:r>
          </w:p>
        </w:tc>
      </w:tr>
    </w:tbl>
    <w:p>
      <w:pPr>
        <w:pStyle w:val="TextBody"/>
        <w:bidi w:val="0"/>
        <w:spacing w:before="0" w:after="0"/>
        <w:ind w:left="960" w:right="0" w:hanging="48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105"/>
        <w:gridCol w:w="200"/>
        <w:gridCol w:w="76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sz w:val="20"/>
              </w:rPr>
            </w:pPr>
            <w:r>
              <w:rPr>
                <w:sz w:val="20"/>
              </w:rPr>
              <w:t>longer accounts receivable payment cycles and difficulties in collecting accounts receivable;</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05"/>
        <w:gridCol w:w="200"/>
        <w:gridCol w:w="64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sz w:val="20"/>
              </w:rPr>
            </w:pPr>
            <w:r>
              <w:rPr>
                <w:sz w:val="20"/>
              </w:rPr>
              <w:t>reduced or varied protection for intellectual property rights in some countries;</w:t>
            </w:r>
          </w:p>
        </w:tc>
      </w:tr>
    </w:tbl>
    <w:p>
      <w:pPr>
        <w:pStyle w:val="TextBody"/>
        <w:bidi w:val="0"/>
        <w:spacing w:before="0" w:after="0"/>
        <w:ind w:left="960" w:right="0" w:hanging="48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105"/>
        <w:gridCol w:w="200"/>
        <w:gridCol w:w="48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sz w:val="20"/>
              </w:rPr>
            </w:pPr>
            <w:r>
              <w:rPr>
                <w:sz w:val="20"/>
              </w:rPr>
              <w:t>export restrictions, trade regulations, and foreign tax laws;</w:t>
            </w:r>
          </w:p>
        </w:tc>
      </w:tr>
    </w:tbl>
    <w:p>
      <w:pPr>
        <w:pStyle w:val="TextBody"/>
        <w:bidi w:val="0"/>
        <w:spacing w:before="0" w:after="0"/>
        <w:ind w:left="960" w:right="0" w:hanging="48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105"/>
        <w:gridCol w:w="200"/>
        <w:gridCol w:w="33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sz w:val="20"/>
              </w:rPr>
            </w:pPr>
            <w:r>
              <w:rPr>
                <w:sz w:val="20"/>
              </w:rPr>
              <w:t>fluctuations in currency exchange rates;</w:t>
            </w:r>
          </w:p>
        </w:tc>
      </w:tr>
    </w:tbl>
    <w:p>
      <w:pPr>
        <w:pStyle w:val="TextBody"/>
        <w:bidi w:val="0"/>
        <w:spacing w:before="0" w:after="0"/>
        <w:ind w:left="960" w:right="0" w:hanging="48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05"/>
        <w:gridCol w:w="200"/>
        <w:gridCol w:w="58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sz w:val="20"/>
              </w:rPr>
            </w:pPr>
            <w:r>
              <w:rPr>
                <w:sz w:val="20"/>
              </w:rPr>
              <w:t>foreign certification and regulatory clearance or approval requirements;</w:t>
            </w:r>
          </w:p>
        </w:tc>
      </w:tr>
    </w:tbl>
    <w:p>
      <w:pPr>
        <w:pStyle w:val="TextBody"/>
        <w:bidi w:val="0"/>
        <w:spacing w:before="0" w:after="0"/>
        <w:ind w:left="960" w:right="0" w:hanging="48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105"/>
        <w:gridCol w:w="200"/>
        <w:gridCol w:w="33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sz w:val="20"/>
              </w:rPr>
            </w:pPr>
            <w:r>
              <w:rPr>
                <w:sz w:val="20"/>
              </w:rPr>
              <w:t>customs clearance and shipping delays;</w:t>
            </w:r>
          </w:p>
        </w:tc>
      </w:tr>
    </w:tbl>
    <w:p>
      <w:pPr>
        <w:pStyle w:val="TextBody"/>
        <w:bidi w:val="0"/>
        <w:spacing w:before="0" w:after="0"/>
        <w:ind w:left="960" w:right="0" w:hanging="48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105"/>
        <w:gridCol w:w="200"/>
        <w:gridCol w:w="81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sz w:val="20"/>
              </w:rPr>
            </w:pPr>
            <w:r>
              <w:rPr>
                <w:sz w:val="20"/>
              </w:rPr>
              <w:t>political, social, and economic instability abroad, terrorist attacks, and security concerns in general;</w:t>
            </w:r>
          </w:p>
        </w:tc>
      </w:tr>
    </w:tbl>
    <w:p>
      <w:pPr>
        <w:pStyle w:val="TextBody"/>
        <w:bidi w:val="0"/>
        <w:spacing w:before="0" w:after="0"/>
        <w:ind w:left="960" w:right="0" w:hanging="48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105"/>
        <w:gridCol w:w="200"/>
        <w:gridCol w:w="33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both"/>
              <w:rPr>
                <w:sz w:val="20"/>
              </w:rPr>
            </w:pPr>
            <w:r>
              <w:rPr>
                <w:sz w:val="20"/>
              </w:rPr>
              <w:t>preference for locally provided services;</w:t>
            </w:r>
          </w:p>
        </w:tc>
      </w:tr>
    </w:tbl>
    <w:p>
      <w:pPr>
        <w:pStyle w:val="TextBody"/>
        <w:bidi w:val="0"/>
        <w:spacing w:before="0" w:after="0"/>
        <w:ind w:left="960" w:right="0" w:hanging="48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105"/>
        <w:gridCol w:w="200"/>
        <w:gridCol w:w="83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sz w:val="20"/>
              </w:rPr>
            </w:pPr>
            <w:r>
              <w:rPr>
                <w:sz w:val="20"/>
              </w:rPr>
              <w:t>potentially adverse tax consequences, including the complexities of foreign value-added tax systems;</w:t>
            </w:r>
          </w:p>
        </w:tc>
      </w:tr>
    </w:tbl>
    <w:p>
      <w:pPr>
        <w:pStyle w:val="TextBody"/>
        <w:bidi w:val="0"/>
        <w:spacing w:before="0" w:after="0"/>
        <w:ind w:left="960" w:right="0" w:hanging="48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105"/>
        <w:gridCol w:w="200"/>
        <w:gridCol w:w="77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sz w:val="20"/>
              </w:rPr>
            </w:pPr>
            <w:r>
              <w:rPr>
                <w:sz w:val="20"/>
              </w:rPr>
              <w:t>the burdens of complying with a wide variety of foreign laws and different legal standards; and</w:t>
            </w:r>
          </w:p>
        </w:tc>
      </w:tr>
    </w:tbl>
    <w:p>
      <w:pPr>
        <w:pStyle w:val="TextBody"/>
        <w:bidi w:val="0"/>
        <w:spacing w:before="0" w:after="0"/>
        <w:ind w:left="960" w:right="0" w:hanging="48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105"/>
        <w:gridCol w:w="200"/>
        <w:gridCol w:w="5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both"/>
              <w:rPr>
                <w:sz w:val="20"/>
              </w:rPr>
            </w:pPr>
            <w:r>
              <w:rPr>
                <w:sz w:val="20"/>
              </w:rPr>
              <w:t>increased financial accounting and reporting burdens and complexities.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or more of these risks are realized, its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Ethical, legal and social concerns related to the use of assisted reproductive technology could reduce demand for the fertility services provided by the medical facilities in NewGenIvf’s network, and thus may adversely affect the business, financial conditions and results of operations of the medical facilities in its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sentiment and distrust of the use of assisted reproductive technology may lead to less demand for fertility services. Assisted reproductive technologies, including genetic testing, technologies used for surrogacy and egg donation and gender selection, have raised ethical, legal and social issues regarding privacy and the appropriate uses of the resulting information. Government authorities could, for social or other purposes, limit or regulate the use of assisted reproductive technology to certain conditions. Similarly, these concerns may lead patients to refuse to use, or physicians to be reluctant to order, assisted reproductive services even if permissible. These and other ethical, legal and social concerns may limit market acceptance of fertility services or reduce patient demand for such services, either of which could have a material adverse effect on the business, financial condition and results of operations of the medical facilities in NewGenIvf’s network, and NewGenIvf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reliant on revenue from international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Fertility services revenue from international clients are an important part of NewGenIvf’s revenue, though NewGenIvf is expanding rapidly into the local markets. The number of international clients travelling to Thailand, Cambodia and Kyrgyzstan to seek fertility services may, however, be affected by a number of factors, including the economic status of the foreign client’s country of origin, the relative exchange rate of the client’s home currency to the relevant authorities, which may affect the cost of treatment, natural disasters, pandemics like COVID-19, and political tension or acts of terrorism in such countries and the region. For example, the COVID-19 had resulted in a number of countries declaring a state of emergency and a number of countries, including the countries in Asian Pacific, imposing extensive travel restrictions, which in turn caused a decrease in the numbers of internal clients traveling to Thailand, Cambodia or Kyrgyzstan for treatments.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events could cause a postponement or a reduction in the number of clients traveling to Thailand, Cambodia or Kyrgyzstan, and could in turn affect revenues from international clients, which is the significant contributor in terms of volume. A decline in the medical tourism industry may have a material adverse effect on NewGenIvf’s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 material and adverse effect on NewGenIvf’s results of operations and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reporting currency is U.S. dollars. The functional currency of NewGenIvf and its subsidiaries include Hong Kong dollar (“HK$”), Thai baht (“THB”), and United States dollar (“USD”). Accordingly, fluctuations in the value of HK$, and THB relative to the USD could affect its results of operations due to translational remeasurements. As its international operations expand, an increasing portion of its revenue and operating expenses may be denominated in non- HK$, and THB currencies. Accordingly, NewGenIvf’s revenue and operating expenses will become increasingly subject to fluctuations due to changes in foreign currency exchange rates. If NewGenIvf is not able to successfully hedge against the risks associated with currency fluctuations, NewGenIvf’s business, financial condition and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control of currency conversion may limit NewGenIvf’s ability to utilize NewGenIvf’s net revenue effectively and affect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and expenses for its businesses are substantially denominated in THB, which are currently not freely convertible currencies. A portion of such revenue must be converted into other currencies in order to meet its foreign currency obligations. For example, NewGenIvf’s subsidiaries will need to obtain foreign currency to make payments of declared dividends, if any, on its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existing foreign exchange regulations in Thailand, NewGenIvf will be able to make current account foreign exchange transactions. However, in the future, governments may take measures, at its discretion, to restrict access to foreign currencies for capital account and current account transactions under certain circumstances. If such measures are implemented, NewGenIvf may not be able to pay dividends in foreign currencies to holders of its shares. Foreign exchange transactions under its capital account are subject to significant foreign exchange controls and require certain approvals. These limitations could affect our ability to obtain foreign exchange through offshore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THB against the U.S. dollar and other currencies fluctuates, and is subject to changes resulting from policies of the Thailand and other governments, and depends to a large extent on domestic and international economic and political developments as well as supply and demand in the local market. For example, the Bank of Thailand, which is the central bank of Thailand, is responsible for formulating and implementing monetary policies in the country to maintain the price stability and promote economic stability and sustainable growth. The Bank of Thailand imposes (four) measures in preventing THB fluctuation. Those are measures to limit THB liquidity, to curb capital inflows, to limit the flows on Non-resident Bank Account and Non-resident Baht for Securities, and to limit the flows on Non-Deliverable Forward transactions. With an increased floating range of the THB’s value against foreign currencies and a more market-oriented mechanism for determining the mid-point exchange rates, the THB may further appreciate or depreciate significantly in value against the U.S. dollar or other foreign currencies in the long-term, depending on the fluctuation of the basket of currencies against which it is currently valued, or it may be permitted to enter into a full float, which may also result in a significant appreciation or depreciation of the THB against the U.S. dollar or other foreign currencies. It cannot be assured that THB will not experience significant appreciation or depreciation against the U.S. dollar or other foreign currencies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NewGenIvf is also currently required to obtain approvals before converting significant sums of foreign currencies into THB. All of these factors could materially and adversely affect its business, results of operations, financial condition and prospects, and could reduce the value of, and dividends payable on, its shares in foreign currency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could cause the price of our Ordinary Shares to decrease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the Class A Ordinary Shares in the public market after the completion of this offering, or the perception that these sales could occur, could adversely affect the market price of the Class A Ordinary Shares and materially impair our ability to raise capital through equity offerings in the future. The Class A Ordinary Shares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if any. We cannot predict what effect, if any, market sales of securities held by our significant shareholders or any other shareholder or the availability of these securities for future sale will have on the market price of the Class A Ordinary Shares See “Plan of Distribution” and “Shares Eligible for Future Sale” for a more detailed description of the restrictions on selling our securities after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voting structure may limit your ability to influence corporate matters and could discourage others from pursuing any change of control transactions that holders of our Class A Ordinary Shares may view as beneficial.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Each Class A Ordinary Share is entitled to one (1) vote, while each Class B Ordinary Share is entitled to one hundred (100) votes with all Ordinary Shares voting together as a single class on most matters. Each Class B Ordinary Share is convertible into one Class A Ordinary Share at any time by the holder thereof, while Class A Ordinary Shares are not convertible into Class B Ordinary Shares under any circumstances. Only Class A Ordinary Shares are listed and traded on NASDAQ, and we intend to maintain the dual-class voting structure. Mr. Wing Fung Alfred Siu and Ms. Hei Yue Tina Fong beneficially own all of the issued Class B Ordinary Shares. As of the date of this prospectus, these Class B Ordinary Shares constitute approximately 0.6% of our total issued and outstanding shares and 36.63% of the aggregate voting power of our total issued and outstanding shares due to the disparate voting powers associated with our dual-class share structure. As a result of the dual-class share structure and the concentration of control, holders of Class B Ordinary Shares have considerable influence over matters such as decisions regarding election of directors and other significant corporate actions. Such holders may take actions that are not in the best interest of us or our other shareholders. This concentration of control may discourage, delay, or prevent a change in control of us, which could have the effect of depriving our other shareholders of the opportunity to receive a premium for their shares as part of a sale of us and may reduce our share price. This concentrated control will limit the ability of holders of Class A Ordinary Shares to influence corporate matters and could discourage others from pursuing any potential merger, takeover, or other change of control transactions that holders of Class A Ordinary Shares may view as beneficial.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Substantially all of NewGenIvf’s assets and operations are located in Thailand, Cambodia and Kyrgyzstan and they are subject to economic, legal and regulatory uncertainties in such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NewGenIvf’s operations and assets are based in Thailand, Cambodia and Kyrgyzstan. As a result, its businesses and operations are subject to the changing economic conditions prevailing from time to time in such countries. Since 2020, Thailand’s economy has been experiencing a slowdown. According to the National Economic and Social Development Board of Thailand (the “NESDB”) the GDP growth rate of Thailand declined to minus 6.1% in 2020 and slightly recovered to 1.6% in 2021 and 2.6% in 2022. Under such conditions, the NESDB projected that Thailand’s economy will only grow by 3.0% to 4.0% in 2023, lower than the previously growth in historical years. Meanwhile, Cambodia’s post-pandemic economic recovery has gained momentum, but remains uneven. Traditional growth drivers, especially manufacturing and agricultural commodities exports, have fully recovered. However, while travel and tourism have improved, the sector remains well below pre-COVID-19 levels. The subsequent impact also caused the vendors and customers preference change, lower the willingness travelling to Kyrgyzstan for surrogacy services. The economy is projected to grow, underpinned by merchandise exports and domestic economic activity. Foreign direct investment, while diversified, remains affected by China’s related COVID-19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derives a substantial portion of its revenue from Chinese clients and as such, its maintenance of PRC-sourced revenues and access to new and existing clients from the PRC are also subject to the economic conditions of China. However, the near-term growth prospects of the PRC economy are unclear due to the uncertain effects of ongoing economic stress caused by policies to contain the COVID-19 pandemic, trade and national security policies, and the elevated levels of private and public indebtedness, among others. According to the National Statistics Bureau of the PRC, growth rate of China’s GDP for the year 2022 slowed down to 3.0% on a year-on-year basis compared to the growth rate of approximately 8.4% for the year 2021. In 2023, China’s GDP grew 5.2% while China’s 2024 GDP growth rate was 5%. A prolonged downturn in the PRC economy generally could materially and adversely affect NewGenIvf’s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adversely affect the economy and conditions in such countries include:</w:t>
      </w:r>
    </w:p>
    <w:p>
      <w:pPr>
        <w:pStyle w:val="TextBody"/>
        <w:bidi w:val="0"/>
        <w:spacing w:before="0" w:after="0"/>
        <w:ind w:left="960" w:right="0" w:hanging="48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105"/>
        <w:gridCol w:w="200"/>
        <w:gridCol w:w="17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both"/>
              <w:rPr>
                <w:sz w:val="20"/>
              </w:rPr>
            </w:pPr>
            <w:r>
              <w:rPr>
                <w:sz w:val="20"/>
              </w:rPr>
              <w:t>political instability; </w:t>
            </w:r>
          </w:p>
        </w:tc>
      </w:tr>
    </w:tbl>
    <w:p>
      <w:pPr>
        <w:pStyle w:val="TextBody"/>
        <w:bidi w:val="0"/>
        <w:spacing w:before="0" w:after="0"/>
        <w:ind w:left="960" w:right="0" w:hanging="48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05"/>
        <w:gridCol w:w="200"/>
        <w:gridCol w:w="24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both"/>
              <w:rPr>
                <w:sz w:val="20"/>
              </w:rPr>
            </w:pPr>
            <w:r>
              <w:rPr>
                <w:sz w:val="20"/>
              </w:rPr>
              <w:t>global economic conditions;</w:t>
            </w:r>
          </w:p>
        </w:tc>
      </w:tr>
    </w:tbl>
    <w:p>
      <w:pPr>
        <w:pStyle w:val="TextBody"/>
        <w:bidi w:val="0"/>
        <w:spacing w:before="0" w:after="0"/>
        <w:ind w:left="960" w:right="0" w:hanging="48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105"/>
        <w:gridCol w:w="200"/>
        <w:gridCol w:w="60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sz w:val="20"/>
              </w:rPr>
            </w:pPr>
            <w:r>
              <w:rPr>
                <w:sz w:val="20"/>
              </w:rPr>
              <w:t>exchange rate fluctuations and the exchange control policy of the banks;</w:t>
            </w:r>
          </w:p>
        </w:tc>
      </w:tr>
    </w:tbl>
    <w:p>
      <w:pPr>
        <w:pStyle w:val="TextBody"/>
        <w:bidi w:val="0"/>
        <w:spacing w:before="0" w:after="0"/>
        <w:ind w:left="960" w:right="0" w:hanging="48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105"/>
        <w:gridCol w:w="200"/>
        <w:gridCol w:w="55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both"/>
              <w:rPr>
                <w:sz w:val="20"/>
              </w:rPr>
            </w:pPr>
            <w:r>
              <w:rPr>
                <w:sz w:val="20"/>
              </w:rPr>
              <w:t>a prolonged period of inflation or increase in regional interest rates;</w:t>
            </w:r>
          </w:p>
        </w:tc>
      </w:tr>
    </w:tbl>
    <w:p>
      <w:pPr>
        <w:pStyle w:val="TextBody"/>
        <w:bidi w:val="0"/>
        <w:spacing w:before="0" w:after="0"/>
        <w:ind w:left="960" w:right="0" w:hanging="48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105"/>
        <w:gridCol w:w="200"/>
        <w:gridCol w:w="17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both"/>
              <w:rPr>
                <w:sz w:val="20"/>
              </w:rPr>
            </w:pPr>
            <w:r>
              <w:rPr>
                <w:sz w:val="20"/>
              </w:rPr>
              <w:t>changes in taxation;</w:t>
            </w:r>
          </w:p>
        </w:tc>
      </w:tr>
    </w:tbl>
    <w:p>
      <w:pPr>
        <w:pStyle w:val="TextBody"/>
        <w:bidi w:val="0"/>
        <w:spacing w:before="0" w:after="0"/>
        <w:ind w:left="960" w:right="0" w:hanging="48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05"/>
        <w:gridCol w:w="200"/>
        <w:gridCol w:w="57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sz w:val="20"/>
              </w:rPr>
            </w:pPr>
            <w:r>
              <w:rPr>
                <w:sz w:val="20"/>
              </w:rPr>
              <w:t>changes in government policies affecting import and export volumes;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05"/>
        <w:gridCol w:w="200"/>
        <w:gridCol w:w="16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sz w:val="20"/>
              </w:rPr>
            </w:pPr>
            <w:r>
              <w:rPr>
                <w:sz w:val="20"/>
              </w:rPr>
              <w:t>decline in tourism;</w:t>
            </w:r>
          </w:p>
        </w:tc>
      </w:tr>
    </w:tbl>
    <w:p>
      <w:pPr>
        <w:pStyle w:val="TextBody"/>
        <w:bidi w:val="0"/>
        <w:spacing w:before="0" w:after="0"/>
        <w:ind w:left="960" w:right="0" w:hanging="48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105"/>
        <w:gridCol w:w="200"/>
        <w:gridCol w:w="74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sz w:val="20"/>
              </w:rPr>
            </w:pPr>
            <w:r>
              <w:rPr>
                <w:sz w:val="20"/>
              </w:rPr>
              <w:t>natural disasters, including tsunamis, earthquakes, fires, floods, drought and similar events;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 potential recurrence or outbreak of avian influenza, severe acute respiratory syndrome or other infectious or contagious diseases like COVID-19 in Asian countries, and governmental policies to address such outbreak;</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scarcity of credit or other financing, resulting in lower demand for products and services provided by companies in the region;</w:t>
            </w:r>
          </w:p>
        </w:tc>
      </w:tr>
    </w:tbl>
    <w:p>
      <w:pPr>
        <w:pStyle w:val="TextBody"/>
        <w:bidi w:val="0"/>
        <w:spacing w:before="0" w:after="0"/>
        <w:ind w:left="960" w:right="0" w:hanging="48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05"/>
        <w:gridCol w:w="200"/>
        <w:gridCol w:w="42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sz w:val="20"/>
              </w:rPr>
            </w:pPr>
            <w:r>
              <w:rPr>
                <w:sz w:val="20"/>
              </w:rPr>
              <w:t>increases in oil prices and other commodity prices;</w:t>
            </w:r>
          </w:p>
        </w:tc>
      </w:tr>
    </w:tbl>
    <w:p>
      <w:pPr>
        <w:pStyle w:val="TextBody"/>
        <w:bidi w:val="0"/>
        <w:spacing w:before="0" w:after="0"/>
        <w:ind w:left="960" w:right="0" w:hanging="48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105"/>
        <w:gridCol w:w="200"/>
        <w:gridCol w:w="27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sz w:val="20"/>
              </w:rPr>
            </w:pPr>
            <w:r>
              <w:rPr>
                <w:sz w:val="20"/>
              </w:rPr>
              <w:t>decreased consumer confidence;</w:t>
            </w:r>
          </w:p>
        </w:tc>
      </w:tr>
    </w:tbl>
    <w:p>
      <w:pPr>
        <w:pStyle w:val="TextBody"/>
        <w:bidi w:val="0"/>
        <w:spacing w:before="0" w:after="0"/>
        <w:ind w:left="960" w:right="0" w:hanging="480"/>
        <w:jc w:val="both"/>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105"/>
        <w:gridCol w:w="200"/>
        <w:gridCol w:w="94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sz w:val="20"/>
              </w:rPr>
            </w:pPr>
            <w:r>
              <w:rPr>
                <w:sz w:val="20"/>
              </w:rPr>
              <w:t>other external recessions or potential economic downturns in the United States, Asia or other parts of the world; and</w:t>
            </w:r>
          </w:p>
        </w:tc>
      </w:tr>
    </w:tbl>
    <w:p>
      <w:pPr>
        <w:pStyle w:val="TextBody"/>
        <w:bidi w:val="0"/>
        <w:spacing w:before="0" w:after="0"/>
        <w:ind w:left="960" w:right="0" w:hanging="480"/>
        <w:jc w:val="both"/>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105"/>
        <w:gridCol w:w="200"/>
        <w:gridCol w:w="67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sz w:val="20"/>
              </w:rPr>
            </w:pPr>
            <w:r>
              <w:rPr>
                <w:sz w:val="20"/>
              </w:rPr>
              <w:t>other regulatory, political or economic developments in or affecting the countries.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 conditions in Thailand, Cambodia, Kyrgyzstan and China are also affected by global economic conditions. The global credit markets have experienced, and may continue to experience, volatility and liquidity disruptions, which have resulted in the consolidation, failure or near failure of a number of institutions in the banking and insurance industries. There remains a concern that a return of the debt crisis in Europe, the political unrest in the Middle East and Eastern Europe as well as rumors or threats or actual terrorist attacks or conflicts in the Middle East, Southeast Asia, Eastern Europe or other regions will impinge upon the health of the global financial system. These or other such events could adversely affect NewGenIvf’s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economies and social conditions of Thailand, Cambodia, Kyrgyzstan and China will meet current projections or improve in the future. Any instability or economic downturn could have a material adverse effect on NewGenIvf’s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terms of future financing arrangements could result in default, which could have an adverse effect on NewGenIvf’s cash flow and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from time to time enter into credit facilities and debt financing arrangements containing financial and other covenants that could, among other things, restrict NewGenIvf’s business and operations. If NewGenIvf breaches any of these covenants, including the failure to maintain certain financial ratios, NewGenIvf’s lenders may be entitled to accelerate NewGenIvf’s debt obligations. Any default under the credit facility could result in the repayment of these loans prior to maturity as well as the inability to obtain additional financing, which in turn may have a material adverse effect on NewGenIvf’s cash flow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requires a significant amount of capital to fund its operations and growth. If NewGenIvf cannot obtain sufficient capital on acceptable terms, its business, financial condition, and prospects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requires a significant amount of capital and resources for its operations and continued growth. NewGenIvf expects to make significant investments to fund operations, laboratory upgrades, new strategic investments in Solana and residential property development in United Arab Emirates, among other things, which may significantly increase NewGenIvf’s net cash used in operating activities. In addition, NewGenIvf will continue to invest in laboratory and facilities which are fundamental to NewGenIvf’s business operation and future growth. However, NewGenIvf cannot assure you that these investments will generate the optimal returns, if at all. To date, NewGenIvf has historically funded its cash requirements primarily through operational, capital contributions from its shareholders and short-term or long-term borrowings. If these resources are insufficient to satisfy NewGenIvf’s cash requirements, NewGenIvf may seek to raise funds through additional equity offering or debt financing or additional bank facilities. NewGenIvf’s ability to obtain additional capital in the future, however, is subject to a number of uncertainties, including those relating to its future business development, financial condition, and results of operations, general market conditions for financing activities by companies in its industry, and macro-economic and other conditions in Thailand, Cambodia, Kyrgyzstan and globally. If NewGenIvf cannot obtain sufficient capital on acceptable terms to meet its capital needs, NewGenIvf may not be able to execute its growth strategies, and NewGenIvf’s business, financial condition,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proposed Solana digital assets purchase arrangement with White Lion is novel and subject to extreme volatility and regulatory scrutiny.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2025, NewGenIvf announced its entry into a binding term sheet with White Lion Capital LLC to potentially receive up to 600,000 Solana tokens in exchange for shares of the Company. This is a novel financing structure that presents unique risks. The value of our compensation is directly tied to the price of SOL, which has been and is likely to continue to be highly volatile. A decline in the price of SOL could significantly reduce the capital we receive. Furthermore, the regulatory treatment of such a transaction is uncertain and could be challenged by the SEC or other regulators, potentially leading to restrictions, fines, or the invalidation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defects in certain leased property interests and failure to register certain lease agreements may materially and adversely affect NewGenIvf’s business, financial condition, results of operations, and prospects.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leases premises in Hong Kong, Thailand, Cambodia and Kyrgyzstan in various locations. With respect to property leased by First Fertility PGS Center in Thailand, the lessors did not have or provide NewGenIvf with property ownership certificates or other documents evidencing their rights to lease such premises to First Fertility PGS Center. Therefore, NewGenIvf cannot assure that it will not be subject to any challenges, lawsuits, or other actions taken against First Fertility PGS Center with respect to its leased premises for which the relevant lessors do not have valid title or right to lease. If First Fertility PGS Center’s lessors’ right to lease premises is successfully challenged by any third party, First Fertility PGS Center’s lease agreements may not be enforceable and NewGenIvf may be forced to vacate the premises and relocate to a different location. Under such circumstances, NewGenIvf expects to incur relocation costs of up to THB3 million and expects that there would not be material business interruption costs,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failure of the lessor to provide sufficient legal evidence of its right to lease the premises has prevented First Fertility PGS Center from registering the clinic with the Bangkok Metropolitan Authority (“BMA”) as required under the Public Health Act B.E. 2535 (1992) (the “PHA”). Under Section 71 of the PHA, First Fertility PGS Center and its directors are subject to imprisonment of up to 6 (six) months and a fine of up to THB50,000, or both. The BMA could also order First Fertility PGS Center to stop operating the clinic which would require relocation of the clinic if First Fertility PGS Center could not make the necessary registration. Under such circumstances, First Fertility PGS Center expects to incur relocation costs of up to THB3 million and expects that there would not be material business interruption costs,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one of NewGenIvf’s directors or officers, namely Ms. Fong, Hei Yue Tina, is also a director of First Fertility PGS Center. NewGenIvf believes that if First Fertility PGS Center’s directors, including Ms. Fong, are found guilty of the above offence and subject to imprisonment, the resulting impact on NewGenIvf’s business, results of operations and financial conditions would be limited, as Ms. Fong has limited involvement in the day-to-day management of First Fertility PGS Center’s operations and Mr. Siu, Wing Fung Alfred and the other directors and officers of NewGenIvf and its subsidiaries would be able to keep operating the group’s and First Fertility PGS Center’s activities with limited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currently has no insurance coverage for its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are exposed to potential liabilities that are inherent to the provision of services. Medical and other liabilities may not be fully covered by insurance and the medical facilities may face claims in excess of the insurance coverage or claims which are not covered by insurance due to other policy limitations or exclusions or where the medical facilities in NewGenIvf’s network have failed to comply with the terms of the policy. Any uninsured risks may result in substantial costs and the diversion of resources, which could adversely affect its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industries in Thailand, Cambodia and Kyrgyzstan are still at early stages of development, and insurance companies in Thailand, Cambodia and Kyrgyzstan currently offer limited business-related insurance products. NewGenIvf does not currently maintain insurance. NewGenIvf cannot assure you that the medical facilities in its network will be able to obtain and/or maintain medical liability insurance on acceptable terms or without substantial premium increases or at all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NewGenIvf’s business expands, the cost for each medical facility in its network and NewGenIvf to maintain an adequate level of insurance may become increasingly high. NewGenIvf cannot ensure that the medical facilities in its network will be able to locate or purchase appropriate insurance to cover the expanding operations in time, on commercially reasonable terms or at all. Any significant uninsured loss could have material and adverse effects on the financial condition and results of operations of the medical facilities in NewGenIvf’s network, and thus may affect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NewGenIvf does not currently maintain professional malpractice liability insurance for its physicians and nurses. As a result, NewGenIvf may be subject to medical disputes and claims arising under relevant laws from time to time, which could cause substantial damage to NewGenIvf if not covered by professional malpractice liability insurance. Any dispute with clients, or any legal proceeding involving the physicians of the medical facilities or medical professionals, regardless of its merit or eventual outcome, could result in significant legal costs and financial and/or reputational damages to the medical facilities and NewGenIvf and materially and adversely affect the business, financial condition and results of operations of the medical facilities in NewGenIvf’s network, and further affect its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not be successful in adapting to technological developments, which may affect its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new technologies could be developed or scientific advances made by NewGenIvf’s competitors, or elsewhere and licensed to NewGenIvf’s competitors, which cannot be replicated by NewGenIvf without significant capital expenditure or at all, or that replace or reduce the requirement for assisted reproductive services, ultrasound or specialized diagnostics. The consequences for NewGenIvf of the development of new technologies could include lower or loss of revenues, loss of market position and reduced prospects of NewGenIvf.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its computer systems, or those of its providers, specialty pharmacies or other downstream vendors lag, fail or suffer security breaches, NewGenIvf may incur a material disruption of its services, which could materially impact its business and the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businesses in Thailand, Cambodia and Kyrgyzstan are increasingly dependent on critical, complex and interdependent information technology systems to support business processes as well as internal and external communications. NewGenIvf’s success is therefore dependent in part on its ability to secure, integrate, develop, redesign and enhance its (or contract with vendors to provide) technology systems that support its business strategy initiatives and processes in a compliant, secure, and cost and resource efficient manner. If NewGenIvf or its providers, specialty pharmacies or other downstream vendors have an issue with its or their respective technology systems, it may result in a disruption to its operations or downstream disruption to its relationships with its clients or its selective network of high-quality fertility specialists. Additionally, if NewGenIvf chooses to insource any of the services currently handled by a third party, it may result in technological or operational disruptions.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despite the implementation of security measures, its internal computer systems, and those of its provider clinics, specialty pharmacies or other downstream vendors, are potentially vulnerable to damage from malicious intrusion, malware, computer viruses, unauthorized access, natural disasters, terrorism, war and telecommunication and electrical failures. While NewGenIvf is not aware that it has experienced any such system failure, accident or security breach to date, if such an event were to occur and cause interruptions in its operations, it could result in a material disruption to its ability to operate and deliver its solutions. In addition, to the extent that any disruption or security breach were to result in a loss or inappropriate disclosure of confidential information, NewGenIvf could incur liability. See “— </w:t>
      </w:r>
      <w:r>
        <w:rPr>
          <w:rFonts w:ascii="Times New Roman;Times;Serif" w:hAnsi="Times New Roman;Times;Serif"/>
          <w:b w:val="false"/>
          <w:i/>
          <w:caps w:val="false"/>
          <w:smallCaps w:val="false"/>
          <w:sz w:val="20"/>
        </w:rPr>
        <w:t>Risks Related to Government Regulation — 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 — Data Protection and Breaches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share purchase program may not be fully implemented and may not enhance shareholder value.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the Company announced a share repurchase program (“Share Repurchase Program”) under which the Company may repurchase up to US$2 million of its outstanding Class A ordinary shares over the next 24 months. The Share Repurchase Program authorizes the Company to repurchase its shares from time to time through open market purchases, in privately negotiated transactions, or by other means in accordance with applicable securities laws. The timing and actual number of shares repurchased will depend on a variety of factors, including stock price, trading volume, general business and market conditions, and the requirements under Rule 10b-18 and/or Rule 10b5-1 of the Exchange Act. The Board will review the Share Repurchase Program periodically, and may authorize adjustment of its terms and size or suspend or discontinue the program. The repurchase program will be funded using the Company’s existing cash reserves. The execution of this program is discretionary and subject to market conditions, regulatory requirements, and our cash flow needs. We may suspend or terminate the program at any time. There is no guarantee that the program will be fully consummated or that it will lead to an increase in the trading price of our Class A Ordinary Shares. The use of cash for repurchases will also reduce the capital available for other corporate purposes, including funding our new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NewGenIvf’s Relationships with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business depends on its ability to maintain its network of high-quality fertility specialists and other healthcare providers. If NewGenIvf is unable to do so, its future growth would be limited and its business, financial condition and results of operations would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performance and success is dependent upon its continued ability to maintain a credentialed network of high-quality fertility specialists, including its senior management team, other key employees, as well as research and development and operation maintenance personnel, many of whom are difficult to replace. Fertility specialists could refuse to contract, demand higher payments or take other actions that could result in higher medical costs, less attractive service for its clients or difficulty meeting regulatory or accreditation requirements. Identifying high-quality fertility specialists, credentialing and negotiating contracts with them and evaluating, monitoring and maintaining its network, requires significant time and resources. Competition in the healthcare industry for qualified employees is intense. NewGenIvf may need to offer higher compensation and other benefits in order to attract and retain key personnel in the future, which could increase NewGenIvf’s compensation expenses, including stock-based compensation. NewGenIvf’s continued ability to compete effectively depends on NewGenIvf’s ability to attract new employees and to retain and motivate NewGenIvf’s existing employees. If NewGenIvf is not successful in maintaining its relationships with top fertility specialists, these fertility specialists may refuse to renew their contracts with it, and potential competitors may be effective in onboarding these or other high-quality fertility specialists to create a similarly high-quality network. There may be additional shifts in the fertility specialty provider space as the fertility market matures, and high-quality fertility specialists may become more demanding in re-negotiating to remain in its network. Its ability to develop and maintain satisfactory relationships with high-quality fertility specialists also may be negatively impacted by other factors not associated with it, such as regulatory changes impacting providers or consolidation activity among hospitals, physician groups and healthcare providers. In addition, certain organizations of physicians, such as practice management companies (which group together physician practices for administrative efficiency), may change the way in which healthcare providers do business with it and may compete directly with it, which could adversely affect its business, financial condition and results of operations. NewGenIvf intends to grant, and may continue to grant, options and other types of awards, which may result in increased share-based compensation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Share Incentive Award will allow NewGenIvf to enhance its ability to attract and retain exceptionally qualified individuals and agents and to encourage them to acquire a proprietary interest in the company’s growth and performance. Competition for highly skilled personnel and agents is often intense and NewGenIvf may incur significant costs or may not be successful in attracting, integrating, or retaining qualified personnel and agents to fulfill NewGenIvf’s current or future needs. NewGenIvf believes that the granting of share-based awards is of significant importance to NewGenIvf’s ability to attract and retain agents, key personnel and employees, and NewGenIvf will continue to grant share-based awards in the future. In addition, NewGenIvf may, with the approval of its Compensation Committee and the Board, revise the terms of, and increase the size of, its share incentive plan, to ensure that it is able to attract and retain agents, key personnel and employees. On March 31, 2025, NewGenIvf’s Board approved certain amendments to its Share Incentive Plan, including the increase of the size of the share incentive plan to 20% of the outstanding shares of the Company from time to time. On May 27, 2026, NewGenIvf’s Board approved the replenishment of the share incentive award pool to a total of 555,584 ordinary shares (185,195 shares as adjusted by Reverse Stock Split) in the Company, equivalent to 20% of the total outstanding shares of the Company as on May 26, 2026. On July 24, NewGenIvf’s Board approved the replenishment of the share incentive award pool to a total of 691,574 ordinary shares in the Company, equivalent to 20% of the total outstanding shares of the Company as on July 24, 2026 As a result, NewGenIvf’s expenses associated with share-based compensation may increase, which may have an adverse effect on NewGenIvf’s results of operations. The amended share incentive plan is available as Exhibit 4.32.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the retirement or loss of certain specialists, scientific staff or other key personnel, the activities of competitors, the introduction of a competing service that is perceived to be superior to the services provided by NewGenIvf, or other events which impact NewGenIvf’s reputation could adversely affect NewGenIvf’s relationships with fertility specialists. For example, one specialist who was previously engaged by NewGenIvf brought a lawsuit against NewGenIvf regarding disputed remuneration, which resulted in a settlement for NewGenIvf to compensate the specialist with a sum of approximately US$98,000. Also, fertility specialists’ relationship with NewGenIvf could affect their behaviors in recommending NewGenIvf’s services or referring patients to NewGenIvf, which could in turn adversely impact the number of patients treated by NewGenIvf and adversely impact on its financial performance, market position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perceived value of NewGenIvf’s solutions and its reputation may be negatively impacted if the services provided by fertility specialists or other healthcare providers are not satisfactory to NewGenIvf’s clients, including as a result of error that could result in litigation. For example, if fertility specialist or other healthcare provider releases sensitive information of its clients, it could incur additional expenses and give rise to litigation against NewGenIvf. Any such issue with one of its providers may expose it to public scrutiny, adversely affect its brand and reputation, expose it to litigation or regulatory action, and otherwise make its operations vulnerable. Further, if its services result in less than favorable outcomes, this could cause it to fail to meet its contractually guaranteed specified service metrics, and NewGenIvf could be obligated to provide the client with a fee reduction or a second chance for free, depending on their contract terms. The failure to maintain its selective network of high-quality fertility specialists or the failure of those specialists to meet and exceed its clients’ expectation, may result in a loss of or inability to grow or maintain its client base, which could adversely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medical facilities and professionals in NewGenIvf’s network could become the subject of litigation, allegations and other claims, and NewGenIvf is not insured against these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relies on the physicians and other medical professionals of the assisted reproductive medical facilities in its network to make proper clinical decisions regarding the diagnosis and treatment of clients. However, NewGenIvf does not have full and direct control over every step of clinical activities undertaken at each of the medical facilities. In addition, physicians and medical professionals outside NewGenIvf’s network may introduce patients to NewGenIvf and conduct medical treatments and/or procedures for such patients in NewGenIvf’s facilities. NewGenIvf enters into independent contractor agreements with such physicians and medical professionals and treats such patients as NewGenIvf’s own patients. As such, NewGenIvf will have to bear any liabilities arising from their medical treatments and/or procedures conducted in NewGenIvf’s facilities. Any incorrect clinical decision or malpractice on the part of physicians and other medical professionals (including those from outside of its network), or any failure by the medical facilities in its network to properly manage their clinical activities may result in unsatisfactory treatment outcomes, patient injury or even death, which could lead to disputes with patients and/or their families or the medical professionals, including those from outside its network. In its experience, moreover, clients of fertility treatments tend to be more demanding on the medical services received. In addition, the relevant laws governing medical disputes and claims grant claimants liberal rights in bringing claims against physicians and other medical professionals practicing in the jurisdiction. As a result, the medical facilities in its network may be subject to medical disputes and claims arising under relevant laws, from time to time, which could generate substantial damages imposed on such facilities if not covered by professional liability insurance. Any dispute with its patients and/or their families or the medical professionals, including those from outside its network, or any legal proceeding involving the physicians of the medical facilities or medical professionals, including those from outside its network, regardless of its merit or eventual outcome, could result in significant legal costs and reputational damage to the medical facilities and materially and adversely affect the business, financial condition and results of operations of the medical facilities in its network, and further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assisted reproductive medical facilities in NewGenIvf’s network have limited control over the quality of the pharmaceuticals, medical equipment, medical consumables and other supplies used in its operations, and cannot guarantee that the products in use are not defective or counterfeit. NewGenIvf also has no control over independent sub-contractors and cannot guarantee the services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procure a variety of pharmaceuticals, medical equipment, consumables and other supplies in NewGenIvf’s operations from third-party suppliers. As the medical facilities in NewGenIvf’s network do not engage in the direct manufacture of such supplies, NewGenIvf cannot assure you that such supplies are free of defects and meet relevant quality standards or, in the case of imported supplies, verify the origin of such products. In addition, there may be counterfeit pharmaceutical products manufactured without proper licenses or approvals or fraudulently mislabeled with respect to their content or manufacturer in the pharmaceutical markets. In some cases these products are very similar in appearance to the authentic products. The quality control checks and processes may not be able to identify all counterfeit pharmaceutical products in the inventory. Any sale of such products by the medical facilities in NewGenIvf’s network, regardless of its knowledge as to their authenticity, may subject the medical facilities to administrative sanctions, civil claims, negative publicity or reputational damage. NewGenIvf cannot assure you that the medical facilities in our network will be able to successfully claim full indemnity from such manufacturers of counterfeit pharmaceutical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cannot assure you that the medical facilities in our network will not encounter incidents relating to defective products, or that such incidents will not materially and adversely affect our network of medical facilities. If the products provided by NewGenIvf’s suppliers are defective, of poor quality or are otherwise unsafe or ineffective, the medical facilities in NewGenIvf’s network could be subject to liability claims, complaints or adverse publicity, any of which would materially and adversely affect its results of operations and reputation. NewGenIvf cannot assure you that the medical facilities in NewGenIvf’s network will find suitable replacement suppliers on commercially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suppliers are also subject to extensive laws, rules and regulations. If any suppliers violate applicable laws, rules and regulations, NewGenIvf’s reputation or procurement may be materially and adversely affected. In addition, the medical facilities in NewGenIvf’s network may be exposed to reputational damages or even liabilities for defective goods provided by the suppliers or negative publicity associated with any suppliers, and the business and results of operations of the medical facilities in NewGenIvf’s network and NewGenIvf could suffer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sub-contractors and/or agents that work with NewGenIvf are also subject to extensive laws, rules, and regulations. If any sub-contractor and/or agent violates any applicable laws, rules, regulations or breaches any agreements, NewGenIvf’s reputation may be materially and adversely affected and NewGenIvf may be penalized by regulatory or other parties. In addition, NewgenIvf’s clients may engage Newgen’s sub-contractors and/or agents for ongoing services or additional services following the termination of contracts with NewGenIvf. NewGenIvf has no control over the services provided by sub-contractors and cannot assure the quality of such services or ensure compliance with applicable laws, rules and regulations. In addition, the services provided by independent sub-contractors may expose NewGenIvf to public scrutiny, adversely affect its brand and reputation, expose it to litigation or regulatory action, and otherwise make its operations vulnerable if such independent sub-contractors fail to meet their contractual obligations or to comply with applicable laws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loses its relationship with one or more key pharmaceutical manufacturers, its business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maintains contractual relationships with select pharmaceutical manufacturers in Thailand, Cambodia and Kyrgyzstan. The consolidation of pharmaceutical manufacturers, the shortages of drugs provided by such manufacturers, the termination or material alteration of its contractual relationships, or its failure to renew such contracts could have a material adverse effect on its business and results of operations. Adoption of new laws, rules or regulations or changes in, or new interpretations of, existing laws, rules or regulations, relating to any of these programs could materially adversely affect its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has engaged in transactions with related parties, and such transactions present potential conflicts of interest that could have an adverse effect on its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entered into a number of transactions with related parties. NewGenIvf may in the future enter into additional transactions with its related parties. Interests of these related parties may not necessarily be aligned with NewGenIvf’s or The Company’s interests and the interests of its other shareholders. For example, conflicts of interest may arise in connection with decisions regarding the transaction arrangements which may be less favorable to NewGenIvf than similar arrangements negotiated with unaffiliated third parties. Conflicts of interest may also arise in connection with the exercise of contractual remedies, such as the treatment of events of default. As a result, those related party transactions, individually or in the aggregate, may have an adverse effect on NewGenIvf’s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be subject to claims and allegations relating to intellectual property and other causes.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from time to time receive claims that NewGenIvf infringes on the intellectual property rights of others. Moreover, NewGenIvf may be subject to claims by third parties who maintain that NewGenIvf’s service providers’ technology infringes third-party’s intellectual property rights. If NewGenIvf fails to successfully defend against such claim or does not prevail in such litigation, it could be required to modify, redesign or cease operating, pay monetary amounts as damages or enter into royalty or licensing arrangements with the valid intellectual property holders. Any royalty or licensing arrangements that NewGenIvf may seek in such circumstances may not be available to it on commercially reasonable terms or at all. Also, if NewGenIvf acquires technology licenses from third parties, NewGenIvf’s exposure to infringement actions may increase because NewGenIvf must rely upon these third parties to verify the origin and ownership of such technology. This exposure to liability could result in disruptions in NewGenIvf’s business that could materially and adversely affect NewGenIvf’s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NewGenIvf’s employees may previously employed at other companies, including NewGenIvf’s competitors. NewGenIvf may hire additional personnel to expand its development team and technical support team as its business grows. To the extent these employees were involved in the development of content or technology similar to NewGenIvf’s at their former employers, NewGenIvf may become subject to claims that these employees or NewGenIvf has appropriated these employees’ former employers’ proprietary information or intellectual properties. If NewGenIvf fails to successfully defend such claims against itself, NewGenIvf may be exposed to liabilities which could have a material adverse effect on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currently not a party to any material legal or administrative proceedings but may subject to legal or administrative actions for defamation, negligence, copyright and trademark infringement, unfair competition, breach of service terms, or other purported injuries resulting from the content NewGenIvf provides or the nature of NewGenIvf’s services. Such legal and administrative actions, with or without merits, may be expensive and time-consuming and may result in significant diversion of resources and management attention from NewGenIvf’s business operations. Furthermore, such legal or administrative actions may adversely affect NewGenIvf’s brand image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data and information in this prospectus relied on by NewGenIvf were obtained from third-party data and polls. These metrics were not independently verified by NewGenIvf and may not be 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numbers and information in this prospectus were obtained and provided from numerous sources including management data, third-party data or numbers generally estimated by calculating infertile couples, fertility tourism number, etc. to generally assess potential customer numbers in Asia-Pacific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metrics were not independently verified. Such databases, third-party information, and calculations may not accurately reflect actual statistics or numbers and NewGenIvf does not have access to specific rating numbers. Similarly, any statistical data in any third-party publications also include projections based on a number of assumptions. If any one or more of the assumptions underlying the market data is later found to be incorrect, actual results may differ from the projections based on these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dependent on a single joint venture partner for our real estate development project in the UAE and are subject to the legal, regulatory, and economic risks of operating in a new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real estate development project in Ras Al Khaimah, UAE, is conducted through a joint venture with BNW Real Estate Development LLC (“BNW”), on whom we are heavily reliant for the financing, construction, management, and marketing of the project. Any failure by BNW to fulfill its obligations, including covering construction costs and achieving sales targets, could jeopardize the project’s success and our anticipated returns. Furthermore, our lack of an established operating history in the UAE makes us vulnerable to unforeseen complexities in the local legal, regulatory, and business environment. This includes potential challenges in navigating local property laws, tax regulations, and commercial practices, as well as exposure to regional geopolitical tensions or economic downturns that could specifically impact the Emirate of Ras Al Khaimah. Disagreements with our joint venture partner, or the termination of our relationship, could result in disputes, delays, financial losses, and a complete failure to realize the projected US$67 million in net returns, which would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NewGenIvf are subject to various laws, rules and regulations at the national, regional and local levels in Thailand, Cambodia, Kyrgyzstan, Hong Kong, United Arab Emirates, United States of America and other applicable jurisdictions. Such laws and regulations mainly relate to (i) the licensing of local and foreign medical professionals, nursing professionals, medical technology professionals, pharmaceutical professions and other applicable licensing; (ii) the licensing, registration, and accreditation of medical facilities, laboratories, including but not limited to the licensing, registration, and accreditation of persons performing related activities; (iii) the privacy and security of confidential patient medical records; (iv) the corporate practice of medicine; (v) healthcare fraud and abuse laws; (vi) the donation and transplantation of human cells, tissues and organs; (vii) potential prohibition on surrogacy or providing intermediary assistance in surrogacy; and (viii) licensing and approval of the accommodation provided as parts of the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attempted to structure its operations to comply with laws, regulations and other requirements applicable to it directly and to its clients and vendors, but there can be no assurance that its operations will not be challenged or impacted by regulatory authorities or enforcement initiatives, or that the relevant authorities in each jurisdiction could impose higher standards or requirements, which NewGenIvf may have difficulty to adhere to, e.g. Medical Facilities Act B.E. 2541 (1998) and Protection of a Child Born by Medically Assisted Reproductive Technology Act B.E. 2558 (2015) for Thailand jurisdiction, Law on Reproduction Rights and on Guarantees of Their Realization of July 4, 2015 No. 148, Law on status of medical worker of May 28, 2013 No. 81 and Temporary Regulation on Procedure of Licensing Private Medical Activity approved by the resolution of government of April 4, 2017 No. 203 for Kyrgyz Republic. NewGenIvf in the future may become involved in governmental investigations, audits, reviews and assessments. Any determination by a court or agency that NewGenIvf’s solutions or services violate, or cause its clients to violate, applicable laws, regulations or other requirements could subject it or its clients to civil, criminal, or administrative penalties. Such a determination also could require it to change or terminate portions of its business, disqualify it from serving clients that do business with government entities, or cause it to refund some or all of its service fees or otherwise compensate its clients. In addition, failure to satisfy laws, regulations or other requirements could adversely affect demand for its solutions and could force it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its reputation and could adversely affect its ability to retain and attract clients. If NewGenIvf fails to comply with applicable laws, regulations and other requirements, its business, financial condition and results of operations could be adversely affected. Such non-compliance could also require significant investment to address and may prove costly. There are several additional state statutes, regulations, guidance and contractual provisions related to or impacting the healthcare industry that may apply to its business activities directly or indirectly, including, but not limited to:</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b/>
                <w:i/>
                <w:sz w:val="20"/>
              </w:rPr>
              <w:t xml:space="preserve">Licensing and Licensed Personnel. </w:t>
            </w:r>
            <w:r>
              <w:rPr>
                <w:sz w:val="20"/>
              </w:rPr>
              <w:t>Many countries have licensure or registration requirements for entities acting as a medical services provider. The scope of these laws differs from country to country, and the application of such laws to the activities of fertility treatment is often unclear. Given the nature and scope of the solutions and services that NewGenIvf provides, it is required to maintain the License to Operate Medical Facility Business (Sor.Por.7), the License to Manage Medical Facility Business (Sor.Por.19), License to Certify the Standard of Service relating to Medically Assisted Reproductive Technology (KorThorPhor.9), and personnel licenses, i.e., license of medical professionals, nursing professionals, medical technology professionals, pharmaceutical professions and other applicable licenses in Thailand, Approval on Opening of Medical Clinic, Approval on Opening of Pharmacy and relevant approvals to conduct IVF, embryo implant and/or transfer activities issued by the Ministry of Health of Cambodia (“Cambodia MOH”) in Cambodia and licenses to carry out private medical activities (including diagnostics and treatment gynecological diseases, supervision of pregnant women before childbirth, IVF in outpatient and day hospital conditions (for four (4) beds)) in Kyrgyzstan, respectively, and to ensure that such licenses and registrations are in good standing on an annual basis. NewGenIvf is licensed, has licensure applications pending before appropriate regulatory bodies, is exempt from licensure or registration, or is otherwise authorized under such laws in those countries in which it provides its services. These licenses require it to comply with the rules and regulations of the governmental bodies that issued such licenses. NewGenIvf’s failure to comply with such rules and regulations could result in criminal and/ or administrative penalties, the suspension of a license, or the loss of a license, all of which could negatively impact its business. First Fertility PGS had provided arrangements of accommodation without additional charges for its patients without a tourism license in Thailand, all of which was subsequently ceased in early 2023. Pursuant to the Tourism Business and Guide Act 2551 (2008) of Thailand, a maximum fine of THB500,000 may be imposed on First Fertility PGS as a result of the above activity without a tourism license in Thailand. NewGenIvf is unable to predict, however, how its services may be viewed by regulators over time, how these laws and regulations will be interpreted, or the full extent of their applicable. If a regulatory authority in any country determines that the nature of its business requires that NewGenIvf be licensed under applicable laws, it may need to restructure its business or it may need to comply with any related requirements, such as obtaining relevant license, paying additional regulatory fees and/or penalties for previous non-compliance with relevant licensing requirements, which could adversely affect its results of operation. Additionally, in extreme case, NewGenIvf may need to cease operations until it is able to obtain appropriate licensure, which may adversely affect its revenue for a period of time that it cannot estimate.</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b/>
                <w:i/>
                <w:sz w:val="20"/>
              </w:rPr>
              <w:t xml:space="preserve">Patients’ Right Protection. </w:t>
            </w:r>
            <w:r>
              <w:rPr>
                <w:sz w:val="20"/>
              </w:rPr>
              <w:t>There has been an increased awareness of patients’ rights in Thailand, Cambodia and Kyrgyzstan, especially with the issuance of the Constitution of the Kingdom of Thailand, the Act on Court Proceedings for Consumer Cases B.E. 2551 (2008) (as amended), National Health Act B.E. 2550 (2007), and other applicable laws in Thailand, the Civil Code dated December 8, 2017 as amended by the Law on Implementation of the Civil Code dated May 31, 2011, Law on Management of Donation and Transplantation of Human Cells, Tissues, and Organs (2016) and Sub-Decree No. 61 on the Code of Medical Ethics (2003) in Cambodia and Constitution of Kyrgyzstan of May 5, 2021, Civil Code, Part I of May 8, 1996 No. 15, Law on Health Protection of Civilians of Kyrgyzstan of January 9, 2005 No. 6, Law on Reproduction Rights and on Guarantees of their Realization of July 4, 2015 No. 148, Law on status of medical worker of May 28, 2013 No. 81 and other relevant applicable laws in Kyrgyzstan, which enables consumers and patients to file suits more easily against healthcare service providers. Furthermore, treatment of more complex medical conditions has no guaranteed positive outcome, which subjects it to an increased likelihood of medical malpractice suits. Such lawsuits could result in hefty compensation payments or damage to NewGenIvf’s reputation, which may have a material adverse effect on its business, financial condition, results of operations and prospects.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Thailand is considering enacting a Patient Protection Bill (the “Bill”). The Bill, if issued, is intended to alleviate disputes between patients and healthcare providers, which have an impact on the healthcare system in Thailand as a whole. The compensation outlined in the Bill will assist patients in claiming damages, thereby fostering a positive relationship between patients and healthcare providers. Consequently, the rate of disputes is expected to decrease. The provisions under the Bill would require healthcare providers to compensate patients in a timely manner, sometimes without requiring proof of wrongdoing. The Bill also contemplates setting up a patient protection fund for damages to patients pursuant to which healthcare providers have to make mandatory contributions according to the rules determined by a patient protection committee. Failure by it to comply with applicable rules and regulations could result in penalties, the loss of regulatory permits and damage to NewGenIvf’s business reputation, each of which could have a material adverse effect on its financial condition and results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Protection of A Child Born By Medically Assisted Reproductive Technology Act B.E. 2558 (2015) of Thailand was promulgated with the intention to appropriately designate the legitimate parenthood status of a child born using medically assisted reproductive technology and regulate any medical scientific research on embryology and medically assisted reproductive technologies to prevent the misuse of medically assisted reproductive technologies. NewGenIvf is therefore under the supervision of a Committee of the Protection for Children Born through Medically Assisted Reproductive Technology, which is a committee established to control, inspect, supervise and formulate various policies relating to such acts. In Cambodia and Kyrgyzstan, all health establishments, including private medical clinics, are under the supervision of the Cambodia MOH and the Ministry of Health of Kyrgyzstan, respectively, which each governs and regulates the operation of medical clinics and activities of medical practitioners in respective countries. In particular, the Medical Council of Cambodia, Cambodian Council of Nurses, Cambodian Midwives Council and The Pharmaceutical Council of Cambodia, all assist the Cambodia MOH to supervise and monitor the practice of health professionals in Cambodia. IVF/embryo implant/transfer activities are subject to an approval by the Cambodia MOH.</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b/>
                <w:i/>
                <w:sz w:val="20"/>
              </w:rPr>
              <w:t xml:space="preserve">Privacy and Security Requirements. </w:t>
            </w:r>
            <w:r>
              <w:rPr>
                <w:sz w:val="20"/>
              </w:rPr>
              <w:t>There are numerous laws and regulations related to the privacy and security of health information in each country. In particular, regulations promulgated pursuant to the Personal Data Protection Act B.E. 2562 (2019) of Thailand (“PDPA”), Law on Data of Personal Character of April 14, 2008 No. 58 of Kyrgyzstan (“Data Protection Law”), as well as Regulation of Registration of Personal Data Holders (Owners) approved by the Resolution of the Cabinet of Ministers of KR of November 18, 2022, Offences Code No. 128 of October 28, 2021 of Kyrgyzstan establish privacy and security standards in each country that limit the collection, use, and/ or disclosure of certain individually identifiable health information, whether directly or indirectly (excluding the information of the deceased person) and require the implementation of administrative, physical and technological safeguards to protect the privacy of protected health information and ensure the confidentiality, integrity and availability of electronic protected health information. The privacy regulations established under the PDPA and Data Protection Law also provide patients with rights related to understanding and controlling how their protected health information is collected, used and/ or disclosed. As a provider of services to entities subject to the PDPA and Data Protection Law, NewGenIvf is directly subject to certain provisions of the regulations. To the extent permitted by applicable privacy regulations and contracts with its clients, NewGenIvf is permitted to use and disclose protected health information to perform its services and for other limited purposes, but other uses and disclosures, such as marketing communications, require written authorization from the patient or must meet an exception specified under the privacy regulations.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has downstream entities which provide it with services and are also subject to applicable regulations. If NewGenIvf or any of its downstream entities are unable to properly protect the privacy and security of protected health information entrusted to it, it could be found to have breached its contracts with its clients and be subject to investigation by the relevant supervision institution, i.e., the Office of the Personal Data Protection Committee of Thailand (the Government Authority under the PDPA), the Cambodia MOH and the State Data Protection Agency under the Cabinet of Ministers of Kyrgyzstan (the “Agency”). In the event the Office of the Personal Data Protection Committee or the Agency finds that NewGenIvf has failed to comply with applicable privacy and security standards, it could face civil, criminal, and/ or administrative penalties. In addition, the Office of the Personal Data Protection Committee performs compliance audits in order to proactively enforce the privacy and security standards. The Office of the Personal Data Protection Committee has become an increasingly active regulator and has signaled its intention to continue this trend. The Office of the Personal Data Protection Committee has the discretion to impose penalties and may require companies to enter into resolution agreements and corrective action plans which impose ongoing compliance requirements. The Office of the Personal Data Protection Committee’s enforcement activity, or audit related to incident regarding it or its downstream entity, can result in financial liability and reputational harm, and responses to such enforcement activity can consume significant internal resources. Although NewGenIvf has implemented and maintain policies, processes and compliance program infrastructure to assist it in complying with these laws and regulations and its contractual obligations, NewGenIvf cannot provide assurance regarding how these laws and regulations will be interpreted, enforced or applied to its operations. In associated with enforcement activities and potential contractual liabilities, its ongoing efforts to comply with evolving laws and regulations might also require it to make costly system purchases and/or modifications or otherwise divert significant resources to compliance initiatives from time to time.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b/>
                <w:i/>
                <w:sz w:val="20"/>
              </w:rPr>
              <w:t xml:space="preserve">Other Privacy and Security Requirements. </w:t>
            </w:r>
            <w:r>
              <w:rPr>
                <w:sz w:val="20"/>
              </w:rPr>
              <w:t>In addition, numerous other laws govern the collection, dissemination, use, access to and confidentiality of personal information. For example, the Law on E-Commerce of Cambodia (2019) places an obligation on those who electronically store private information to use all means to ensure that the information is protected by security safeguards in every reasonable circumstance to avoid the loss, access, use, modification, leakage, or disclosure of the information, except with the consent of the data owner or other lawfully authorized party. The Law on E-Commerce also prohibits individuals from dishonestly accessing, downloading, copying, extracting, leaking, deleting, modifying, or otherwise interfering with data stored by other persons. Applicable laws are contributing to increased enforcement activity and may also be subject to interpretation by various courts and other governmental authorities.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NewGenIvf’s solutions and services involve the transmission and storage of client data in various jurisdictions, which subjects the operation of those solutions and services to privacy or data protection laws and regulations in those jurisdictions. While NewGenIvf believes those solutions and services comply with current regulatory and security requirements in the jurisdictions in which it provides these solutions and services, there can be no assurance that such requirements will not change or that it will not otherwise be subject to legal or regulatory actions. The laws and regulations are rapidly evolving and changing, and could have an adverse impact on its operations. These laws and regulations are subject to uncertainty in how they may be interpreted and enforced by government authorities and regulators. The costs of compliance with, and the other burdens imposed by, these and other laws or regulatory actions may increase its operational costs, prevent it from providing its solutions, and/or impact its ability to invest in or jointly develop its solutions. NewGenIvf also may face audits or investigations by one or more government agencies relating to its compliance with these laws and regulations.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adverse outcome under any such investigation or audit could result in fines, penalties, other liability, or could result in adverse publicity or a loss of reputation, and adversely affect NewGenIvf’s business. Any failure or perceived failure by it or by NewGenIvf’s solutions to comply with these laws and regulations may subject it to legal or regulatory actions, damage its reputation or adversely affect its ability to provide its solutions in the jurisdiction that has enacted the applicable law or regulation. Moreover, if these laws and regulations change, or are interpreted and applied in a manner that is inconsistent with its policies and processes or the operation of its solutions NewGenIvf may need to expend resources in order to change its business operations, policies and processes or the manner in which it provides its solutions. This could adversely affect NewGenIvf’s business, financial condition and results of operations.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b/>
                <w:i/>
                <w:sz w:val="20"/>
              </w:rPr>
              <w:t xml:space="preserve">Data Protection and Breaches. </w:t>
            </w:r>
            <w:r>
              <w:rPr>
                <w:sz w:val="20"/>
              </w:rPr>
              <w:t>In recent years, there have been a number of well-publicized data breaches involving the improper dissemination of personal information of individuals both within and outside of the healthcare industry. Pursuant to the applicable data protection law of Thailand, the PDPA requires businesses to notify the data subjects and/or the government authorities upon the occurrence of a data breach. The laws are not consistent, and compliance in the event of a widespread data breach is costly. Each country also constantly amending existing laws, requiring attention to frequently changing regulatory requirements. Most countries require holders of personal information to maintain safeguards and take certain actions in response to a data breach, such as providing prompt notification of the breach to affected individuals. In some countries, these laws are limited to electronic data, but they increasingly are enacting or considering stricter and broader requirements.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NewGenIvf’s security management efforts with respect to physical and technological safeguards, employee training, vendor (and sub-vendor) controls and contractual relationships, its infrastructure, data or other operation centers and systems used in its business operations, including the internet and related systems of its vendors (including vendors to whom NewGenIvf outsources data hosting, storage and processing functions) are vulnerable to, and may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NewGenIvf might not be able to anticipate these techniques, implement adequate preventive measures, or immediately detect a potential compromise. If its security measures, some of which are managed by third parties, or the security measures of its service providers or vendors, are breached or fail, it is possible that unauthorized or illegal access to or acquisition, disclosure, use or processing of personal information, confidential information, or other sensitive client or employee data, including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 If NewGenIvf’s security measures, or those of its service providers or vendors, were to be breached or fail, its reputation could be severely damaged, adversely affecting client or investor confidence. As a result, clients may curtail their use of or stop using its offering and its business may suffer. In addition, NewGenIvf could face litigation, damages for contract breach, penalties and regulatory actions for violation of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it or its industry or clients, which could cause it to lose clients or partners and adversely affect its operations and future prospects. NewGenIvf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b/>
                <w:i/>
                <w:sz w:val="20"/>
              </w:rPr>
              <w:t xml:space="preserve">Fraud and Abuse Laws. </w:t>
            </w:r>
            <w:r>
              <w:rPr>
                <w:sz w:val="20"/>
              </w:rPr>
              <w:t>NewGenIvf may be impacted directly and indirectly by certain fraud and abuse laws, including the Act Supplementing the Constitution Relating to the Prevention and Suppression of Corruption B.E. 2561 (2018) of Thailand, the Penal Code of Thailand, the Criminal Code of Cambodia, the Offences Code of October 28, 2021 No. 128 of Kyrgyzstan, the Criminal Code of October 28, 2021, No. 17 of Kyrgyzstan and the Law on prevention of corruption of August 8, 2021 No. 153 of Kyrgyzstan. Because the solutions and services NewGenIvf provides are not reimbursed by government healthcare payors, such fraud and abuse laws generally do not directly apply to its business, however, some laws may be applicable. The laws, regulations and other requirements in this area are both broad and vague and judicial interpretation can also be inconsistent. NewGenIvf reviews its practices with regulatory experts in an effort to comply with all applicable laws, regulatory and other requirements. However, NewGenIvf is unable to predict how these laws, regulations and other requirements will be interpreted or the full extent of their application, particularly to services that are not directly reimbursed by healthcare programs. Any determination by a regulatory authority that any of NewGenIvf’s activities or those of its clients or vendors violate any of these laws or regulations could subject NewGenIvf to civil or criminal penalties, require it to enter into corporate integrity agreements or similar agreements with ongoing compliance obligations, disqualify it from providing services to clients and/or have an adverse impact on its business, financial condition and results of operations. Even an unsuccessful challenge by a regulatory authority of NewGenIvf’s activities could result in adverse publicity and could require a costly response from it.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b/>
                <w:i/>
                <w:sz w:val="20"/>
              </w:rPr>
              <w:t xml:space="preserve">Consumer Protection Laws. </w:t>
            </w:r>
            <w:r>
              <w:rPr>
                <w:sz w:val="20"/>
              </w:rPr>
              <w:t>Consumer protection laws are being applied increasingly by the Office of the Consumer Protection Board in Thailand and by the Cambodia Ministry of Health to regulate the collection, use, storage and disclosure of personal or health information, through websites or otherwise, and, in Cambodia, by the Consumer Protection Competition and Fraud Repression Directorate-General, to regulate the presentation of website content. Courts may also adopt the standards for fair information practices, which concern consumer notice, choice, security and access.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b/>
                <w:i/>
                <w:sz w:val="20"/>
              </w:rPr>
              <w:t xml:space="preserve">Restrictions on Communication. </w:t>
            </w:r>
            <w:r>
              <w:rPr>
                <w:sz w:val="20"/>
              </w:rPr>
              <w:t>Communications with NewGenIvf’s clients increasingly may be subject to and restricted by laws and regulations governing communications via telephone, fax, text, and email. NewGenIvf also uses email and social media platforms as marketing tools. For example, NewGenIvf maintains social media accounts. As laws and regulations rapidly evolve to govern the use of these platforms and devices, the failure by it, its employees or third parties acting at its direction to abide by applicable laws and regulations in the use of these platforms and devices could adversely impact its business, financial condition and results of operations or subject it to fines or other penalties.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b/>
                <w:i/>
                <w:sz w:val="20"/>
              </w:rPr>
              <w:t xml:space="preserve">Advertisement Laws. </w:t>
            </w:r>
            <w:r>
              <w:rPr>
                <w:sz w:val="20"/>
              </w:rPr>
              <w:t>NewGenIvf’s advertisement and announcements, in particular, the messages releasing on the Internet related to medical facilities may subject to the laws and regulations of relevant jurisdictions (and potential prohibition in Cambodia on commercial advertisement of private medical services).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in Thailand, NewGenIvf shall apply for and obtain the approval and/ or pre-approval from the relevant authority for the images, and text used in advertisements or announcements which shall be in accordance with the Medical Facility Act B.E. 2541 (1998) (and its amendments) and the Notification of the Department of Health Services Support on Rules, Procedures, Conditions, and Costs of Advertisements or Announcements of Healthcare Facilities B.E. 2562 (2019) (and its amendments) and the Operational Manual for Approval of Advertisements or Announcements relating to Healthcare Facilities. If such approval was not obtained by NewGenIvf, it could lead to significant liabilities and consequences, which could adversely impact NewGenIvf’s business, financial condition and results of operations or subject its sales and marketing director to personal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Cambodia, Prakas 028 on Advertisement of Private Medical, Paramedical and Medical Aid Practices dated August 23, 2004 issued by the Cambodia MOH prohibits commercial advertising of private medical services. Advertisement of private health care services is only allowed for any advertisements within the professional framework not affecting the ethics of private medical services and such advertisement requires a permit from the Cambodia MOH. In addition, the Royal Government of Cambodia has recently issued Sub-Decree 232 on the Management of Commercial Advertisements of Goods and Services on November 4, 2022 to provide the legal framework for the management of commercial advertising of goods and services for all types, forms and means in Cambodia. In light of this Sub-Decree, in addition to the permit requirement of the Cambodia MOH, a person wishing to advertise their goods and/or services in Cambodia may also apply for a compliance certificate from the Ministry of Commerce, which certifies that advertising text or content complies with the Law on Consumer Protection or other applicable regulations.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Kyrgyzstan, the Law on Advertisements of December 24, 1998, No. 155 requires that if the activities of the advertiser subject to licensing, the advertisement of such advertiser must include the license number and the name of the authority that issued the license, except for radio advertising, where it is sufficient to state “licensed activity” on the territory of Kyrgyzstan. In advertising goods (including works and services), and other objects of advertising, cost indicators must be stated in the national currency. There are also other requirements established in relation to size, frequency, cost and other features of advertisements via different types of media.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laws and regulations relevant to the fertility services may be introduced in the future, or the current applicable regulations may otherwise be amended or replaced requiring the assisted reproductive medical facilities in its network to conduct business with additional oversight and regulatory compliance. If NewGenIvf fails to obtain the necessary licenses, permits and approvals, NewGenIvf may be subject to fines, confiscation of revenues generated from incompliance operations, or the suspension of relevant operations. NewGenIvf may also experience adverse publicity arising from such non-compliance with government regulations that negatively impacts its brand. NewGenIvf may experience difficulties or failures in obtaining the necessary approvals, licenses, and permits for new spaces or new service offerings. If NewGenIvf fails to obtain the material licenses, NewGenIvf’s business activities could be severely delayed. In addition, there can be no assurance that NewGenIvf will be able to obtain, renew, and/or convert all of the approvals, licenses, and permits required for its existing business operations upon their expiration in a timely manner, in a cost-efficient manner or at all, which could adversely affect NewGenIvf’s business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considerable uncertainties exist in relation to the interpretation and implementation of existing and future laws and regulations governing NewGenIvf’s business activities. NewGenIvf could be found not in compliance with any future laws and regulations or of the laws and regulations currently in effect due to changes in the relevant authorities’ interpretation of those laws and regulations. It is possible that different interpretations or enforcement of these regulations could subject the current or past practices to allegations of impropriety or illegality or require the medical facilities in its network to implement changes in the facilities, equipment, personnel or services, or increase capital expenditure and operating expenses. If NewGenIvf fails to complete, obtain, or maintain any of the required licenses or approvals or make the necessary filings, NewGenIvf may be subject to various penalties, such as confiscation of unlawful gains, the imposition of fines, revocation of licenses, and the discontinuation or restriction of NewGenIvf’s operations. Any such penalties or changes in policies, regulations, or enforcement by government authorities may disrupt NewGenIvf’s operations and materially and adversely affect NewGenIvf’s business, financial condition, and results of operations.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or regulatory restriction, government regulation, industry standards and other requirements create risks and challenges with respect to NewGenIvf’s compliance efforts and its business strategies and could adversely impact NewGenIvf’s business and limited the growth of NewGenIvf’s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healthcare industry is highly regulated and subject to frequently changing laws, regulations, industry standards and other requirements. Many healthcare laws and regulations are complex, and their application to specific solutions, services and relationships may not be clear. In particular, many existing healthcare laws and regulations, when enacted, did not anticipate the solutions and services that NewGenIvf provides, and these laws and regulations may be applied to its solutions and services in ways that NewGenIvf does not anticipate. Efforts to reform or revise aspects of the healthcare industry or to revise or create additional legal or and regulatory requirements could impact its operations, the use of its solutions and services, and its ability to market new solutions and services, or could create unexpected liabilities for it. NewGenIvf also may be impacted by laws, industry standards and other requirements that are not specific to the healthcare industry, such as consumer protection laws and payment card industry standards. These requirements may impact its operations and, if not followed, could result in fines, penalties and other liabilities and adverse publicity and injury to its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existing or future laws may be interpreted in a manner that is not consistent with the healthcare industry’s current practices and could have an adverse effect on NewGenIvf’s business,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or offering of gender selection services in certain jurisdictions in which NewGenIvf operates could expose the Company and its directors and executive officers to significant legal and regulatory risks, including potential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or provision of gender selection services in certain jurisdictions in which we operate is subject to stringent legal restrictions. In particular, in Hong Kong, under the Human Reproductive Technology Ordinance (Cap. 561 of the Laws of Hong Kong) (“HRTO”), gender selection for non-medical purposes is prohibited. Violation of these provisions may result in criminal liability. Any person found guilty of advertising or offering gender selection services in Hong Kong may, on a first conviction, face a fine of up to HKD 25,000 and imprisonment for up to 6 months. If we, our representatives, or our sub-contractors inadvertently violate, or are alleged to violate, these laws, we could face significant financial penalties, reputational harm, and potential legal proceedings. Even if we do not directly market our gender selection services in Hong Kong, promotional activities conducted by third parties, affiliates, or other associates on our behalf could also expose us to liability under these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2025, Wing Fung Alfred Siu and Hei Yue Tina Fong, and other individuals, were arrested in Hong Kong for allegedly violating certain sections of the HRTO which prohibit using reproductive technologies for sex selection, advertising sex selection services, commercial surrogacy arrangements, and advertising surrogacy arrangements. All persons were released on a bail amount of HKD 3,000 ($390). No further action has been taken by prosecutors against arrested persons, except that on October 26, 2025, Wing Fung Alfred Siu was served a summons for allegedly violating section 17(2) of the HRTO which prohibits commercial surrogacy arrangements and advertising surrogacy arrangements. On November 18, 2025, Wing Fung Alfred Siu was further granted bail on a bail amount of HKD 10,000 ($1,285). If convicted with an offence, he could face a fine of up to HKD 25,000 (approximately $3,200), and imprisonment for up to 6 months. Although we do not expect custodial sentences for him, any custodial sentence given could materially impact our business, financial condition, or results of operations. In addition, although under BVI law, such minor first-time offenses would not automatically disqualify any directors or executives from continuing to act in such positions, any director or executive officer found guilty of such offenses could cause reputational harm to the Company. As we do not advertise or promote surrogacy arrangement or gender selection service in Hong Kong, and all such marketing activities are carried out outside of Hong Kong or by agents outside of Hong Kong, we have not been, nor do we expect to be, materially impacted by any such increased enforcement of the HRTO. Moreover, we do not expect any material impact on our ability to generate revenue from Chinese clients, as our PRC-sourced revenues derived from clients in mainland China and Hong Kong are generated through referrals from PRC agents, with payments being made by the clients directly to the local clinics. However, if the regulatory authorities in Hong Kong deem our determination inconsistent from the HRTO, we may face increased scrutiny or enforcement actions by the Hong Kong authorities, which could result in adverse publicity, increase compliance cost, and significant disruption of our business operations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increased scrutiny or enforcement actions by regulatory authorities in other jurisdictions in which we operate could result in adverse publicity, increased compliance costs, and significant disruption of our business operations. As a result, any failure to comply with applicable laws and regulations related to gender selection services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tariffs or other restrictions imposed on imports by the U.S. and related countermeasures taken by impacted countries could have a material adverse effect on our operations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significant tariffs or other restrictions are imposed on imports by the U.S. and related countermeasures are taken by foreign countries, our business, including results of operations, cash flows and financial condition, may be adversely affected. In January 2025, during the initial days of U.S. President Trump’s second term, the U.S. announced the imposition of additional substantial tariffs on imports from various countries, including China, Canada and Mexico, and the subject countries have imposed or indicated their intention to impose counter measures. In February 2025, the U.S. imposed tariffs of 10% on all imported goods from China, followed by an additional 10% tariff in March 2025. The U.S. also imposed a 25% tariff on all steel and aluminum imports, beginning in March 2025. On February 13, 2025, President Trump ordered his trade advisers to come up with “reciprocal” tariffs on U.S. trade partners to retaliate against taxes, tariffs, regulations and subsidies and on April 2, 2025, announced new tariffs on many U.S. trading partners, including a universal baseline tariff of 10% on all imported goods, and country specific tariffs such as an additional 34% tax on imports from China (leading to an effective rate of 54% when combined with existing tariffs) and 20% on products from the E.U. Specific products that are being tariffed, such as automobiles, were to be exempted from the new tariffs, and tariffs on products such as pharmaceutical drugs were to be announced at a later date. Following a period of market turbulence, on April 9, 2025, President Trump announced a 90-day pause to the tariffs announced on April 2, 2025 for most countries. Countries subject to the pause on the tariffs are still to be subject to the baseline 10% tariff. This consequently lowers the tariff rate for the E.U., Japan, and South Korea, among other countries. However, U.S. President Trump announced an increased tariff rate against Chinese imports of a minimum 145%. These and other tariffs and countermeasures could increase the cost of equipment necessary for our operations, disrupt global supply chains and create additional operational challenges. Additionally, ongoing trade tensions and uncertainty regarding future trade policies could negatively impact global economic conditions and consumer confidence, further affecting our business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litigation against NewGenIvf could be costly and time-consuming to defend and could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in the past and may in the future become subject to regulatory actions, litigation, disputes, or claims of various types, legal proceedings and claims that arise in the ordinary course of business, such as claims brought by its clients or vendors in connection with commercial disputes or employment claims made by its current or former employees, as well as claims brought by relevant regulatory authorities or NewGenIvf’s competitors, patients, employees, or other third parties against NewGenIvf. NewGenIvf is unable to predict the outcome of any of these legal proceedings. Such regulatory actions, disputes, allegations, complaints, or legal proceedings may damage NewGenIvf’s reputation, evolve into litigation, or otherwise have a material adverse impact on NewGenIvf’s reputation and business. Such proceedings might result in substantial costs, regardless of the outcome, and may significantly divert management’s attention and resources from operating NewGenIvf’s business, which might seriously harm its business, financial condition and results of operations. Insurance might not cover such claims, might not provide sufficient payments to cover all the costs to resolve one or more such claims, and might not continue to be available on terms acceptable to it. A claim brought against it that is uninsured or underinsured could result in unanticipated costs, potentially harming its business, financial condition and results of operations. The outcomes of actions NewGenIvf institutes may not be successful or favorable to NewGenIvf. Lawsuits against NewGenIvf may also generate negative publicity that significantly harms NewGenIvf’s reputation, which may adversely affect NewGenIvf’s client base. NewGenIvf may also need to pay damages or settle lawsuits with a substantial amount of cash.</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strategic investments, partnerships, or alliances could be difficult to identify, pose integration challenges, divert the attention of management, disrupt NewGenIvf’s business, dilute stockholder value, and adversely affect its business, financial condition and results of operations.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in the future seek to acquire or invest in businesses, joint ventures, products and services, or technologies that it believes could complement or expand its platform, enhance its technical capabilities, or otherwise offer growth opportunities. Any such acquisition or investment may divert the attention of management and cause NewGenIvf to incur various expenses in identifying, investigating and pursuing suitable opportunities, whether or not the transactions are completed, and may result in unforeseen operating difficulties and expenditures. In particular, NewGenIvf may encounter difficulties assimilating or integrating the businesses, technologies, products and services, personnel or operations of the acquired companies, particularly if the key personnel of the acquired company choose not to work for it, they are operationally difficult to integrate, or NewGenIvf has difficulty retaining the clients of any acquired business due to changes in ownership, management or otherwise. These transactions may also disrupt its business, divert its resources, and require significant management attention that would otherwise be available for development of its existing business and may not benefit NewGenIvf’s business strategy, may not generate sufficient revenues to offset the associated acquisition costs or may not otherwise result in the intended benefits. Any such transactions that NewGenIvf is able to complete may not result in any synergies or other benefits it had expected to achieve, which could result in impairment charges that could be substantial. In addition, NewGenIvf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its results of operations. In addition, if the resulting business from such a transaction fails to meet NewGenIvf’s expectations, or it fails to successfully integrate such businesses into its own, its business, financial condition and results of operations may be adversely affected or it may be exposed to unknown risks or liabilities. Even when NewGenIvf identifies an appropriate acquisition or investment target, it may not be able to negotiate the terms of the acquisition or investment successfully, obtain financing for the proposed transaction, or integrate the relevant businesses into its existing business and operations. Strategic investments or acquisitions will involve risks commonly encountered in business relationships, including: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difficulties in assimilating and integrating the operations, personnel, systems, data, technologies, products and services of the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inability of the acquired technologies, products or businesses to achieve expected levels of revenue, profitability, productivity or other benefits;</w:t>
            </w:r>
          </w:p>
        </w:tc>
      </w:tr>
    </w:tbl>
    <w:p>
      <w:pPr>
        <w:pStyle w:val="TextBody"/>
        <w:bidi w:val="0"/>
        <w:spacing w:before="0" w:after="0"/>
        <w:ind w:left="720" w:right="0" w:hanging="36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105"/>
        <w:gridCol w:w="200"/>
        <w:gridCol w:w="62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sz w:val="20"/>
              </w:rPr>
            </w:pPr>
            <w:r>
              <w:rPr>
                <w:sz w:val="20"/>
              </w:rPr>
              <w:t>difficulties in retaining, training, motivating and integrating key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105"/>
        <w:gridCol w:w="200"/>
        <w:gridCol w:w="73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sz w:val="20"/>
              </w:rPr>
            </w:pPr>
            <w:r>
              <w:rPr>
                <w:sz w:val="20"/>
              </w:rPr>
              <w:t>diversion of management’s time and resources from NewGenIvf’s normal daily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105"/>
        <w:gridCol w:w="200"/>
        <w:gridCol w:w="94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sz w:val="20"/>
              </w:rPr>
            </w:pPr>
            <w:r>
              <w:rPr>
                <w:sz w:val="20"/>
              </w:rPr>
              <w:t>difficulties in maintaining uniform standards, controls, procedures and policies within the combined organizations;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105"/>
        <w:gridCol w:w="200"/>
        <w:gridCol w:w="84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sz w:val="20"/>
              </w:rPr>
            </w:pPr>
            <w:r>
              <w:rPr>
                <w:sz w:val="20"/>
              </w:rPr>
              <w:t>difficulties in retaining relationships with customers, employees and suppliers of the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105"/>
        <w:gridCol w:w="200"/>
        <w:gridCol w:w="67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sz w:val="20"/>
              </w:rPr>
            </w:pPr>
            <w:r>
              <w:rPr>
                <w:sz w:val="20"/>
              </w:rPr>
              <w:t>risks of entering markets in which NewGenIvf have limited or no prior experience;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regulatory risks, including remaining in good standing with existing regulatory bodies or receiving any necessary pre-closing or post-closing approvals, as well as being subject to new regulators with oversight over an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assumption of contractual obligations that contain terms that are not beneficial to NewGenIvf, require it to license or waive intellectual property rights or increase its risk for liability;</w:t>
            </w:r>
          </w:p>
        </w:tc>
      </w:tr>
    </w:tbl>
    <w:p>
      <w:pPr>
        <w:pStyle w:val="TextBody"/>
        <w:bidi w:val="0"/>
        <w:spacing w:before="0" w:after="0"/>
        <w:ind w:left="720" w:right="0" w:hanging="36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105"/>
        <w:gridCol w:w="200"/>
        <w:gridCol w:w="52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sz w:val="20"/>
              </w:rPr>
            </w:pPr>
            <w:r>
              <w:rPr>
                <w:sz w:val="20"/>
              </w:rPr>
              <w:t>failure to further successfully develop the acquired technology;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liability for activities of the acquired business before the acquisition, including intellectual property infringement claims, violations of laws, commercial disputes, tax liabilities and other known and unknown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105"/>
        <w:gridCol w:w="200"/>
        <w:gridCol w:w="51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sz w:val="20"/>
              </w:rPr>
            </w:pPr>
            <w:r>
              <w:rPr>
                <w:sz w:val="20"/>
              </w:rPr>
              <w:t>potential disruptions to NewGenIvf’s ongoing businesses; and</w:t>
            </w:r>
          </w:p>
        </w:tc>
      </w:tr>
    </w:tbl>
    <w:p>
      <w:pPr>
        <w:pStyle w:val="TextBody"/>
        <w:bidi w:val="0"/>
        <w:spacing w:before="0" w:after="0"/>
        <w:ind w:left="720" w:right="0" w:hanging="36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105"/>
        <w:gridCol w:w="200"/>
        <w:gridCol w:w="85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unexpected costs and unknown risks and liabilities associated with strategic investments or acquisitions.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transaction is consummated, NewGenIvf may only have limited control over the companies in which it only has minority stake, it cannot ensure that these companies will always comply with applicable laws and regulations in their business operations. Non-compliance of regulatory requirements by NewGenIvf’s investees may cause substantial harm to NewGenIvf’s reputations and the value of NewGenIvf’s investment. In addition, if the resulting business from such a transaction fails to meet NewGenIvf’s expectations, or it fails to successfully integrate such businesses into its own, its business, financial condition and results of operations may be adversely affected or it may be exposed to unknown risks or liabilities. If NewGenIvf is unable to effectively address these challenges, its ability to execute acquisitions as a component of its long-term strategy will be impaired, which could have an adverse effect on its growth. As a result of the above, NewGenIvf’s strategies may not be successfully implemented beyond the current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investment might not achieve the synergies, operational or financial benefits it expects and may adversely impact NewGenIvf’s operating results. In addition, NewGenIvf cannot assure you that any future investment in or acquisition of new businesses or technology will lead to the successful development of new or enhanced products and services or that any new or enhanced products and services, if developed, will achieve market acceptance, or prove to be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NewGenIvf’s effective tax rate or tax liability may have an adverse effect on its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effective tax rate could increase due to several factors, including, but not limited to:</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changes in the relative amounts of income before taxes in the various jurisdictions in which NewGenIvf operates that have differing statutory tax rates;</w:t>
            </w:r>
          </w:p>
        </w:tc>
      </w:tr>
    </w:tbl>
    <w:p>
      <w:pPr>
        <w:pStyle w:val="TextBody"/>
        <w:bidi w:val="0"/>
        <w:spacing w:before="0" w:after="0"/>
        <w:ind w:left="720" w:right="0" w:hanging="360"/>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105"/>
        <w:gridCol w:w="200"/>
        <w:gridCol w:w="63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sz w:val="20"/>
              </w:rPr>
            </w:pPr>
            <w:r>
              <w:rPr>
                <w:sz w:val="20"/>
              </w:rPr>
              <w:t>changes in tax laws, tax treaties, and regulations or the interpretation of them;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changes to its assessment about its ability to realize its deferred tax assets that are based on estimates of its future results, the prudence and feasibility of possible tax planning strategies, and the economic and political environments in which NewGenIvf does business;</w:t>
            </w:r>
          </w:p>
        </w:tc>
      </w:tr>
    </w:tbl>
    <w:p>
      <w:pPr>
        <w:pStyle w:val="TextBody"/>
        <w:bidi w:val="0"/>
        <w:spacing w:before="0" w:after="0"/>
        <w:ind w:left="720" w:right="0" w:hanging="36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105"/>
        <w:gridCol w:w="200"/>
        <w:gridCol w:w="63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both"/>
              <w:rPr>
                <w:sz w:val="20"/>
              </w:rPr>
            </w:pPr>
            <w:r>
              <w:rPr>
                <w:sz w:val="20"/>
              </w:rPr>
              <w:t>the outcome of future tax audits, examinations, or administrative appeals; and</w:t>
            </w:r>
          </w:p>
        </w:tc>
      </w:tr>
    </w:tbl>
    <w:p>
      <w:pPr>
        <w:pStyle w:val="TextBody"/>
        <w:bidi w:val="0"/>
        <w:spacing w:before="0" w:after="0"/>
        <w:ind w:left="720" w:right="0" w:hanging="36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105"/>
        <w:gridCol w:w="200"/>
        <w:gridCol w:w="72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sz w:val="20"/>
              </w:rPr>
            </w:pPr>
            <w:r>
              <w:rPr>
                <w:sz w:val="20"/>
              </w:rPr>
              <w:t>limitations or adverse findings regarding its ability to do business in some jurisdictions.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developments could have an adverse effect on its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reported financial results may be adversely affected by changes in accounting principles generally accepted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U.S. accounting principles could have a significant effect on NewGenIvf’s reported results of operations and could affect the reporting of transactions already completed before the announcement of a change.The adoption of new or revised accounting principles may require it to make changes to its systems, processes and control, which could have a significant effect on its reported financial results, cause unexpected financial reporting fluctuations, retroactively affect previously reported results or require it to make costly changes to its operational processes and accounting systems upon or following the adoption of these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NewGenIvf’s estimates or judgments relating to its critical accounting estimates prove to be incorrect, its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amounts reported in NewGenIvf’s consolidated financial statements and accompanying notes appearing elsewhere in this prospectus. NewGenIvf bases its estimates on historical experience and on various other assumptions that it believes to be reasonable under the circumstances, as provided in the section titled “</w:t>
      </w:r>
      <w:r>
        <w:rPr>
          <w:rFonts w:ascii="Times New Roman;Times;Serif" w:hAnsi="Times New Roman;Times;Serif"/>
          <w:b w:val="false"/>
          <w:i/>
          <w:caps w:val="false"/>
          <w:smallCaps w:val="false"/>
          <w:sz w:val="20"/>
        </w:rPr>
        <w:t>Management’s Discussion and Analysis of Financial Condition and Results of Operations of NewGenIvf — Critical Accounting Estimates</w:t>
      </w:r>
      <w:r>
        <w:rPr>
          <w:rFonts w:ascii="Times New Roman;Times;Serif" w:hAnsi="Times New Roman;Times;Serif"/>
          <w:b w:val="false"/>
          <w:i w:val="false"/>
          <w:caps w:val="false"/>
          <w:smallCaps w:val="false"/>
          <w:sz w:val="20"/>
        </w:rPr>
        <w:t>.” The results of these estimates form the basis for making judgments about the carrying values of assets, liabilities and equity, and the amount of revenue and expenses that are not readily apparent from other sources. Significant estimates and judgments used in preparing NewGenIvf’s consolidated financial statements include those related to the determination of fair value of its Class A Ordinary Shares and Warrants and revenue recognition relating to services rendered but for which no claim has yet been reported, among other things. NewGenIvf’s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market price of its Class A Ordinary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subject to anti-corruption, anti-bribery, anti-money laundering, and similar laws, and non-compliance with such laws can subject it to criminal or civil liability and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the Anti-Money Laundering Act B.E. 2542 (1999) of Thailand, the Act Supplementing the Constitution Relating to the Prevention and Suppression of Corruption B.E. 2561 (2018) of Thailand, and the Penal Code of Thailand, domestic bribery laws, and other anticorruption and anti-money laundering laws in the countries in which it conducts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NewGenIvf expands its business and sales and to the public sector, it may engage with business partners and third-party intermediaries to market its services and to obtain for it the necessary permits, licenses, and other regulatory approvals. In addition, NewGenIvf or its third-party intermediaries may have direct or indirect interactions with officials and employees of government agencies or state-owned or affiliated entities. NewGenIvf can be held liable for the corrupt or other illegal activities of these third-party intermediaries, its employees, representatives, contractors, partners and agents, even if it does not explicitly authorize such activities. 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it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NewGenIvf does not prevail in any possible civil or criminal proceeding, its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NewGenIvf’s investment in residential market of United Arab Emirates is exposed to significant market risks.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 residential property development business in the United Arab Emirates carries significant risks, primarily driven by market volatility and potential oversupply, particularly in the area of Ras Al Khaimah’s Beach District. Property values and rental yields are highly sensitive to fluctuations in oil prices, global economic conditions, and regional geopolitics, leading to sharp boom-bust cycles. Intense competition from new developments can rapidly saturate specific submarkets, driving down rents and occupancy rates, while regulatory changes (such as adjustments to rental increase caps, visa rules, or ownership laws) can unexpectedly impact profitability and operational models. Furthermore, reliance on expatriate tenants creates vulnerability to shifts in population demographics, employment trends, and government policies affecting residency, alongside inherent operational challenges including management costs, tenant defaults, and maintaining asset quality in a competitive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our SEC filings, please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this Offering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the Class A Ordinary Shares may not be maintained and the trading price for the Class A Ordinary Shares may fluctuate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 liquid public market for the Class A Ordinary Shares will be maintained. If an active public market for the Class A Ordinary Shares is not maintained, the market price and liquidity of the Class A Ordinary Shares may be materially and adversely affected. We can provide no assurance that the trading price of the Class A Ordinary Shares after this offering will not decline below the public offering price. As a result, investors in Class A Ordinary Shares may experience a significant decrease in the value of their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shares of the Class A Ordinary Shares has been and is likely to continue to be highly volatile, and may decline regardless of our operating performance. You may not be able to resell your shares at or above the public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 price has been and will likely continue to be volatile for the foreseeable future. The stock market in general and the market for companies similarly situated like us in particular have experienced extreme volatility that has often been unrelated to or disproportionate to the operating performance of particular companies. As a result of this volatility, investors may not be able to sell their Class A Ordinary Shares at or above the price they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public offering price for our ordinary shares will be determined through negotiations between the placement agent and us and may vary from the market price of our ordinary shares following our public offering. If you purchase our ordinary shares in our public offering, you may not be able to resell those Shares at or above the public offering price. We cannot assure you that the public offering price of our ordinary shares, or the market price following our public offering, will equal or exceed prices in privately negotiated transactions of our shares that have occurred from time to time prior to our public offering. The market price of our ordinary shares may fluctuate significantly in response to numerous factors, many of which are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68"/>
        <w:gridCol w:w="200"/>
        <w:gridCol w:w="72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pPr>
            <w:r>
              <w:rPr/>
              <w:t>Actual or anticipated fluctuations in our revenue and other operating results;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financial projections we may provide to the public, any changes in these projections or our failure to meet these projections;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actions of securities analysts who initiate or maintain coverage of us, changes in financial estimates by any securities analysts who follow our company, or our failure to meet these estimates or the expectations of investors;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announcements by us or our competitors of significant products or features, technical innovations, acquisitions, strategic partnerships, joint ventures, or capital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price and volume fluctuations in the overall stock market, including as a result of trends in the economy as a whole;</w:t>
            </w:r>
          </w:p>
        </w:tc>
      </w:tr>
    </w:tbl>
    <w:p>
      <w:pPr>
        <w:pStyle w:val="TextBody"/>
        <w:bidi w:val="0"/>
        <w:spacing w:before="0" w:after="0"/>
        <w:ind w:left="0" w:right="0" w:hanging="0"/>
        <w:jc w:val="left"/>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68"/>
        <w:gridCol w:w="200"/>
        <w:gridCol w:w="40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both"/>
              <w:rPr/>
            </w:pPr>
            <w:r>
              <w:rPr/>
              <w:t>lawsuits threatened or filed against 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other events or factors, including those resulting from war or incidents of terrorism, or responses to these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is a best-efforts offering, no minimum amount of securities is required to be sold and we may not raise the amount of capital we believe is required for our business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has agreed to use its reasonable best efforts to solicit offers to purchase the securities being offered in this offering. The placement agent has no obligation to buy any of the securities from us or to arrange for the purchase or sale of any specific number or dollar amount of the securities. There is no required minimum number of securities or amount of proceeds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an amount of securities sufficient to fund for our operations as described in the “Use of Proceeds” section herein. Thus, we may not raise the amount of capital we believe is required for our operations in the short-term and even if we raise the maximum offering amount in this public offering, we will need to raise additional funds in the future, which may not be available or available on terms acceptable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use the proceeds of this offering in ways with which you may not agree.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considerable discretion in deciding how to apply the proceeds of this offering.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the price of the Class A Ordinary Shares nor that these net proceeds will be placed only in investments that generate income or appreciate in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halt trading in our Class A Ordinary Shares on Nasdaq or delist our Class A Ordinary Shares for public interest concerns as a result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highly dilutive nature of this offering, Nasdaq may halt trading in our Class A Ordinary Shares on Nasdaq or delist our Class A Ordinary Shares for public interest concerns or because our Class A Ordinary Shares continue to trade below Nasdaq’s minimum bid price as a result of this offering, even if we are otherwise able to regain compliance for continued listing on Nasdaq. A number of Nasdaq-listed companies have filed public disclosures regarding the receipt of notification letters indicating that Nasdaq made the determination to halt and/or delist such companies as a result of public interest concerns arising from the issuance of warrants with similar terms to, and similar potential dilutive impact as, warrants issued in offerings of this type. Additionally, warrants with similar terms issued by other Nasdaq-listed companies have caused such Nasdaq-listed companies’ stock prices to drop below Nasdaq’s minimum bid price or made it more difficult for these companies to cause their stock prices to regain compliance with Nasdaq’s minimum bid price. Therefore, even if we consummate this offering at a price above Nasdaq’s minimum bid price, there can be no assurance that our Class A Ordinary Shares will not again drop below such price, which may cause Nasdaq to delist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for failure to meet its listing standards, and we are not able to list such securities on another national securities exchange, then our Class A Ordinary Shares could be quoted on an over-the-counter market. If this were to occur, we and our shareholders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sz w:val="20"/>
              </w:rPr>
              <w:t>a limited availability of market quotations for our securities;</w:t>
            </w: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reduced liquidity for our securities;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a determination that the Class A Ordinary Shares are a “penny stock,” which will require brokers trading the Class A Ordinary Shares to adhere to more stringent rules, possibly resulting in a reduced level of trading activity in the secondary trading market for our Class A Ordinary Shares;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a limited amount of news and analyst coverage;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a decreased ability for us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k_005"/>
      <w:bookmarkEnd w:id="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made under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products, and all statements (other than statements of historical facts) that address activities, events or developments that we intend, expect, project, believe or anticipate will or may occur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developments and business decisions to differ materially from those anticipated in these forward-looking statements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105"/>
        <w:gridCol w:w="200"/>
        <w:gridCol w:w="45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both"/>
              <w:rPr>
                <w:sz w:val="20"/>
              </w:rPr>
            </w:pPr>
            <w:r>
              <w:rPr>
                <w:sz w:val="20"/>
              </w:rPr>
              <w:t>our planned level of revenues and capital expenditures;</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105"/>
        <w:gridCol w:w="200"/>
        <w:gridCol w:w="45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both"/>
              <w:rPr>
                <w:sz w:val="20"/>
              </w:rPr>
            </w:pPr>
            <w:r>
              <w:rPr>
                <w:sz w:val="20"/>
              </w:rPr>
              <w:t>our ability to market and sell our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105"/>
        <w:gridCol w:w="200"/>
        <w:gridCol w:w="97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sz w:val="20"/>
              </w:rPr>
            </w:pPr>
            <w:r>
              <w:rPr>
                <w:sz w:val="20"/>
              </w:rPr>
              <w:t>our plans to continue to invest in research and development to develop technology for both existing and new products;</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105"/>
        <w:gridCol w:w="200"/>
        <w:gridCol w:w="73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both"/>
              <w:rPr>
                <w:sz w:val="20"/>
              </w:rPr>
            </w:pPr>
            <w:r>
              <w:rPr>
                <w:sz w:val="20"/>
              </w:rPr>
              <w:t>our ability to maintain our relationships with suppliers, manufacturers and other partners;</w:t>
            </w:r>
          </w:p>
        </w:tc>
      </w:tr>
    </w:tbl>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105"/>
        <w:gridCol w:w="200"/>
        <w:gridCol w:w="72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sz w:val="20"/>
              </w:rPr>
            </w:pPr>
            <w:r>
              <w:rPr>
                <w:sz w:val="20"/>
              </w:rPr>
              <w:t>our ability to maintain or protect the validity of our intellectual property and know-how;</w:t>
            </w:r>
          </w:p>
        </w:tc>
      </w:tr>
    </w:tbl>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105"/>
        <w:gridCol w:w="200"/>
        <w:gridCol w:w="36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sz w:val="20"/>
              </w:rPr>
            </w:pPr>
            <w:r>
              <w:rPr>
                <w:sz w:val="20"/>
              </w:rPr>
              <w:t>our ability to retain key executive members;</w:t>
            </w:r>
          </w:p>
        </w:tc>
      </w:tr>
    </w:tbl>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105"/>
        <w:gridCol w:w="200"/>
        <w:gridCol w:w="70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sz w:val="20"/>
              </w:rPr>
            </w:pPr>
            <w:r>
              <w:rPr>
                <w:sz w:val="20"/>
              </w:rPr>
              <w:t>our ability to internally develop and protect new inventions and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105"/>
        <w:gridCol w:w="200"/>
        <w:gridCol w:w="73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both"/>
              <w:rPr>
                <w:sz w:val="20"/>
              </w:rPr>
            </w:pPr>
            <w:r>
              <w:rPr>
                <w:sz w:val="20"/>
              </w:rPr>
              <w:t>our ability to expose and educate the industry about the use of our services and products;</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105"/>
        <w:gridCol w:w="200"/>
        <w:gridCol w:w="44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sz w:val="20"/>
              </w:rPr>
            </w:pPr>
            <w:r>
              <w:rPr>
                <w:sz w:val="20"/>
              </w:rPr>
              <w:t>our expectations regarding our tax classifications; and</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sz w:val="20"/>
              </w:rPr>
            </w:pPr>
            <w:r>
              <w:rPr>
                <w:sz w:val="20"/>
              </w:rPr>
              <w:t>interpretations of current laws and the passages of future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this prospectus. You should not rely upon forward-looking statements as predictions of future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k_006"/>
      <w:bookmarkEnd w:id="7"/>
      <w:r>
        <w:rPr>
          <w:rFonts w:ascii="Times New Roman;Times;Serif" w:hAnsi="Times New Roman;Times;Serif"/>
          <w:b/>
          <w:i w:val="false"/>
          <w:caps w:val="false"/>
          <w:smallCaps w:val="false"/>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executive officers and directors as of the date of this prospectus. </w:t>
      </w:r>
    </w:p>
    <w:p>
      <w:pPr>
        <w:pStyle w:val="TextBody"/>
        <w:bidi w:val="0"/>
        <w:spacing w:before="0" w:after="0"/>
        <w:ind w:left="0" w:right="0" w:hanging="0"/>
        <w:jc w:val="left"/>
        <w:rPr>
          <w:caps w:val="false"/>
          <w:smallCaps w:val="false"/>
        </w:rPr>
      </w:pPr>
      <w:r>
        <w:rPr>
          <w:caps w:val="false"/>
          <w:smallCaps w:val="false"/>
        </w:rPr>
        <w:t> </w:t>
      </w:r>
    </w:p>
    <w:tbl>
      <w:tblPr>
        <w:tblW w:w="7980" w:type="dxa"/>
        <w:jc w:val="left"/>
        <w:tblInd w:w="0" w:type="dxa"/>
        <w:shd w:fill="FFFFFF" w:val="clear"/>
        <w:tblLayout w:type="fixed"/>
        <w:tblCellMar>
          <w:top w:w="0" w:type="dxa"/>
          <w:left w:w="0" w:type="dxa"/>
          <w:bottom w:w="28" w:type="dxa"/>
          <w:right w:w="0" w:type="dxa"/>
        </w:tblCellMar>
      </w:tblPr>
      <w:tblGrid>
        <w:gridCol w:w="2480"/>
        <w:gridCol w:w="90"/>
        <w:gridCol w:w="380"/>
        <w:gridCol w:w="90"/>
        <w:gridCol w:w="4940"/>
      </w:tblGrid>
      <w:tr>
        <w:trPr/>
        <w:tc>
          <w:tcPr>
            <w:tcW w:w="2480" w:type="dxa"/>
            <w:tcBorders>
              <w:bottom w:val="single" w:sz="12" w:space="0" w:color="000000"/>
            </w:tcBorders>
            <w:shd w:fill="FFFFFF" w:val="clear"/>
            <w:vAlign w:val="center"/>
          </w:tcPr>
          <w:p>
            <w:pPr>
              <w:pStyle w:val="TableContents"/>
              <w:bidi w:val="0"/>
              <w:spacing w:before="0" w:after="283"/>
              <w:jc w:val="left"/>
              <w:rPr>
                <w:b/>
                <w:sz w:val="20"/>
              </w:rPr>
            </w:pPr>
            <w:r>
              <w:rPr>
                <w:b/>
                <w:sz w:val="20"/>
              </w:rPr>
              <w:t>Name</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vAlign w:val="center"/>
          </w:tcPr>
          <w:p>
            <w:pPr>
              <w:pStyle w:val="TableContents"/>
              <w:bidi w:val="0"/>
              <w:spacing w:before="0" w:after="283"/>
              <w:jc w:val="center"/>
              <w:rPr>
                <w:b/>
                <w:sz w:val="20"/>
              </w:rPr>
            </w:pPr>
            <w:r>
              <w:rPr>
                <w:b/>
                <w:sz w:val="20"/>
              </w:rPr>
              <w:t>Age</w:t>
            </w:r>
          </w:p>
        </w:tc>
        <w:tc>
          <w:tcPr>
            <w:tcW w:w="90" w:type="dxa"/>
            <w:tcBorders/>
            <w:shd w:fill="FFFFFF" w:val="clear"/>
            <w:tcMar>
              <w:bottom w:w="0" w:type="dxa"/>
            </w:tcMar>
            <w:vAlign w:val="center"/>
          </w:tcPr>
          <w:p>
            <w:pPr>
              <w:pStyle w:val="TableContents"/>
              <w:bidi w:val="0"/>
              <w:spacing w:before="0" w:after="283"/>
              <w:jc w:val="left"/>
              <w:rPr/>
            </w:pPr>
            <w:r>
              <w:rPr/>
              <w:t> </w:t>
            </w:r>
          </w:p>
        </w:tc>
        <w:tc>
          <w:tcPr>
            <w:tcW w:w="4940"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w:t>
            </w:r>
          </w:p>
        </w:tc>
      </w:tr>
      <w:tr>
        <w:trPr/>
        <w:tc>
          <w:tcPr>
            <w:tcW w:w="2480" w:type="dxa"/>
            <w:tcBorders/>
            <w:shd w:fill="CCEEFF" w:val="clear"/>
            <w:tcMar>
              <w:bottom w:w="0" w:type="dxa"/>
            </w:tcMar>
            <w:vAlign w:val="center"/>
          </w:tcPr>
          <w:p>
            <w:pPr>
              <w:pStyle w:val="TableContents"/>
              <w:bidi w:val="0"/>
              <w:spacing w:before="0" w:after="283"/>
              <w:jc w:val="left"/>
              <w:rPr>
                <w:sz w:val="20"/>
              </w:rPr>
            </w:pPr>
            <w:r>
              <w:rPr>
                <w:sz w:val="20"/>
              </w:rPr>
              <w:t>Wing Fung Alfred Siu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sz w:val="20"/>
              </w:rPr>
            </w:pPr>
            <w:r>
              <w:rPr>
                <w:sz w:val="20"/>
              </w:rPr>
              <w:t>Chairman of the Board of Directors, Chief Executive Officer</w:t>
            </w:r>
          </w:p>
        </w:tc>
      </w:tr>
      <w:tr>
        <w:trPr/>
        <w:tc>
          <w:tcPr>
            <w:tcW w:w="2480" w:type="dxa"/>
            <w:tcBorders/>
            <w:shd w:fill="FFFFFF" w:val="clear"/>
            <w:tcMar>
              <w:bottom w:w="0" w:type="dxa"/>
            </w:tcMar>
            <w:vAlign w:val="center"/>
          </w:tcPr>
          <w:p>
            <w:pPr>
              <w:pStyle w:val="TableContents"/>
              <w:bidi w:val="0"/>
              <w:spacing w:before="0" w:after="283"/>
              <w:jc w:val="left"/>
              <w:rPr>
                <w:sz w:val="20"/>
              </w:rPr>
            </w:pPr>
            <w:r>
              <w:rPr>
                <w:sz w:val="20"/>
              </w:rPr>
              <w:t>Hei Yue Tina Fong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sz w:val="20"/>
              </w:rPr>
            </w:pPr>
            <w:r>
              <w:rPr>
                <w:sz w:val="20"/>
              </w:rPr>
              <w:t>45</w:t>
            </w:r>
          </w:p>
        </w:tc>
        <w:tc>
          <w:tcPr>
            <w:tcW w:w="90" w:type="dxa"/>
            <w:tcBorders/>
            <w:shd w:fill="FFFFFF" w:val="clear"/>
            <w:tcMar>
              <w:bottom w:w="0" w:type="dxa"/>
            </w:tcMar>
            <w:vAlign w:val="center"/>
          </w:tcPr>
          <w:p>
            <w:pPr>
              <w:pStyle w:val="TableContents"/>
              <w:bidi w:val="0"/>
              <w:spacing w:before="0" w:after="283"/>
              <w:jc w:val="left"/>
              <w:rPr/>
            </w:pPr>
            <w:r>
              <w:rPr/>
              <w:t> </w:t>
            </w:r>
          </w:p>
        </w:tc>
        <w:tc>
          <w:tcPr>
            <w:tcW w:w="4940" w:type="dxa"/>
            <w:tcBorders/>
            <w:shd w:fill="FFFFFF" w:val="clear"/>
            <w:tcMar>
              <w:bottom w:w="0" w:type="dxa"/>
            </w:tcMar>
            <w:vAlign w:val="center"/>
          </w:tcPr>
          <w:p>
            <w:pPr>
              <w:pStyle w:val="TableContents"/>
              <w:bidi w:val="0"/>
              <w:spacing w:before="0" w:after="283"/>
              <w:jc w:val="left"/>
              <w:rPr>
                <w:sz w:val="20"/>
              </w:rPr>
            </w:pPr>
            <w:r>
              <w:rPr>
                <w:sz w:val="20"/>
              </w:rPr>
              <w:t>Director, Chief Marketing Officer</w:t>
            </w:r>
          </w:p>
        </w:tc>
      </w:tr>
      <w:tr>
        <w:trPr/>
        <w:tc>
          <w:tcPr>
            <w:tcW w:w="2480" w:type="dxa"/>
            <w:tcBorders/>
            <w:shd w:fill="CCEEFF" w:val="clear"/>
            <w:tcMar>
              <w:bottom w:w="0" w:type="dxa"/>
            </w:tcMar>
            <w:vAlign w:val="center"/>
          </w:tcPr>
          <w:p>
            <w:pPr>
              <w:pStyle w:val="TableContents"/>
              <w:bidi w:val="0"/>
              <w:spacing w:before="0" w:after="283"/>
              <w:jc w:val="left"/>
              <w:rPr>
                <w:sz w:val="20"/>
              </w:rPr>
            </w:pPr>
            <w:r>
              <w:rPr>
                <w:sz w:val="20"/>
              </w:rPr>
              <w:t>Hok Man Jefferson Au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80" w:type="dxa"/>
            <w:tcBorders/>
            <w:shd w:fill="FFFFFF" w:val="clear"/>
            <w:tcMar>
              <w:bottom w:w="0" w:type="dxa"/>
            </w:tcMar>
            <w:vAlign w:val="center"/>
          </w:tcPr>
          <w:p>
            <w:pPr>
              <w:pStyle w:val="TableContents"/>
              <w:bidi w:val="0"/>
              <w:spacing w:before="0" w:after="283"/>
              <w:jc w:val="left"/>
              <w:rPr>
                <w:sz w:val="20"/>
              </w:rPr>
            </w:pPr>
            <w:r>
              <w:rPr>
                <w:sz w:val="20"/>
              </w:rPr>
              <w:t>Florianna Ann Chi Wan Chan</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sz w:val="20"/>
              </w:rPr>
            </w:pPr>
            <w:r>
              <w:rPr>
                <w:sz w:val="20"/>
              </w:rPr>
              <w:t>45</w:t>
            </w:r>
          </w:p>
        </w:tc>
        <w:tc>
          <w:tcPr>
            <w:tcW w:w="90" w:type="dxa"/>
            <w:tcBorders/>
            <w:shd w:fill="FFFFFF" w:val="clear"/>
            <w:tcMar>
              <w:bottom w:w="0" w:type="dxa"/>
            </w:tcMar>
            <w:vAlign w:val="center"/>
          </w:tcPr>
          <w:p>
            <w:pPr>
              <w:pStyle w:val="TableContents"/>
              <w:bidi w:val="0"/>
              <w:spacing w:before="0" w:after="283"/>
              <w:jc w:val="left"/>
              <w:rPr/>
            </w:pPr>
            <w:r>
              <w:rPr/>
              <w:t> </w:t>
            </w:r>
          </w:p>
        </w:tc>
        <w:tc>
          <w:tcPr>
            <w:tcW w:w="494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80" w:type="dxa"/>
            <w:tcBorders/>
            <w:shd w:fill="CCEEFF" w:val="clear"/>
            <w:tcMar>
              <w:bottom w:w="0" w:type="dxa"/>
            </w:tcMar>
            <w:vAlign w:val="center"/>
          </w:tcPr>
          <w:p>
            <w:pPr>
              <w:pStyle w:val="TableContents"/>
              <w:bidi w:val="0"/>
              <w:spacing w:before="0" w:after="283"/>
              <w:jc w:val="left"/>
              <w:rPr>
                <w:sz w:val="20"/>
              </w:rPr>
            </w:pPr>
            <w:r>
              <w:rPr>
                <w:sz w:val="20"/>
              </w:rPr>
              <w:t>Chun Wa Tam</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80" w:type="dxa"/>
            <w:tcBorders/>
            <w:shd w:fill="FFFFFF" w:val="clear"/>
            <w:tcMar>
              <w:bottom w:w="0" w:type="dxa"/>
            </w:tcMar>
            <w:vAlign w:val="center"/>
          </w:tcPr>
          <w:p>
            <w:pPr>
              <w:pStyle w:val="TableContents"/>
              <w:bidi w:val="0"/>
              <w:spacing w:before="0" w:after="283"/>
              <w:jc w:val="left"/>
              <w:rPr>
                <w:sz w:val="20"/>
              </w:rPr>
            </w:pPr>
            <w:r>
              <w:rPr>
                <w:sz w:val="20"/>
              </w:rPr>
              <w:t>Lee Sze Mun</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sz w:val="20"/>
              </w:rPr>
            </w:pPr>
            <w:r>
              <w:rPr>
                <w:sz w:val="20"/>
              </w:rPr>
              <w:t>47</w:t>
            </w:r>
          </w:p>
        </w:tc>
        <w:tc>
          <w:tcPr>
            <w:tcW w:w="90" w:type="dxa"/>
            <w:tcBorders/>
            <w:shd w:fill="FFFFFF" w:val="clear"/>
            <w:tcMar>
              <w:bottom w:w="0" w:type="dxa"/>
            </w:tcMar>
            <w:vAlign w:val="center"/>
          </w:tcPr>
          <w:p>
            <w:pPr>
              <w:pStyle w:val="TableContents"/>
              <w:bidi w:val="0"/>
              <w:spacing w:before="0" w:after="283"/>
              <w:jc w:val="left"/>
              <w:rPr/>
            </w:pPr>
            <w:r>
              <w:rPr/>
              <w:t> </w:t>
            </w:r>
          </w:p>
        </w:tc>
        <w:tc>
          <w:tcPr>
            <w:tcW w:w="494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80" w:type="dxa"/>
            <w:tcBorders/>
            <w:shd w:fill="CCEEFF" w:val="clear"/>
            <w:tcMar>
              <w:bottom w:w="0" w:type="dxa"/>
            </w:tcMar>
            <w:vAlign w:val="center"/>
          </w:tcPr>
          <w:p>
            <w:pPr>
              <w:pStyle w:val="TableContents"/>
              <w:bidi w:val="0"/>
              <w:spacing w:before="0" w:after="283"/>
              <w:jc w:val="left"/>
              <w:rPr>
                <w:sz w:val="20"/>
              </w:rPr>
            </w:pPr>
            <w:r>
              <w:rPr>
                <w:sz w:val="20"/>
              </w:rPr>
              <w:t>Kong Yiu Cheung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pPr>
            <w:r>
              <w:rPr/>
              <w:t>Director</w:t>
            </w:r>
          </w:p>
        </w:tc>
      </w:tr>
      <w:tr>
        <w:trPr/>
        <w:tc>
          <w:tcPr>
            <w:tcW w:w="2480" w:type="dxa"/>
            <w:tcBorders/>
            <w:shd w:fill="FFFFFF" w:val="clear"/>
            <w:tcMar>
              <w:bottom w:w="0" w:type="dxa"/>
            </w:tcMar>
            <w:vAlign w:val="center"/>
          </w:tcPr>
          <w:p>
            <w:pPr>
              <w:pStyle w:val="TableContents"/>
              <w:bidi w:val="0"/>
              <w:spacing w:before="0" w:after="283"/>
              <w:jc w:val="left"/>
              <w:rPr>
                <w:sz w:val="20"/>
              </w:rPr>
            </w:pPr>
            <w:r>
              <w:rPr>
                <w:sz w:val="20"/>
              </w:rPr>
              <w:t>Lam Chun Tung Patrick</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sz w:val="20"/>
              </w:rPr>
            </w:pPr>
            <w:r>
              <w:rPr>
                <w:sz w:val="20"/>
              </w:rPr>
              <w:t>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494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80" w:type="dxa"/>
            <w:tcBorders/>
            <w:shd w:fill="CCEEFF" w:val="clear"/>
            <w:tcMar>
              <w:bottom w:w="0" w:type="dxa"/>
            </w:tcMar>
            <w:vAlign w:val="center"/>
          </w:tcPr>
          <w:p>
            <w:pPr>
              <w:pStyle w:val="TableContents"/>
              <w:bidi w:val="0"/>
              <w:spacing w:before="0" w:after="283"/>
              <w:jc w:val="left"/>
              <w:rPr>
                <w:sz w:val="20"/>
              </w:rPr>
            </w:pPr>
            <w:r>
              <w:rPr>
                <w:sz w:val="20"/>
              </w:rPr>
              <w:t>Lau Tsz Hin Vincent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80" w:type="dxa"/>
            <w:tcBorders/>
            <w:shd w:fill="FFFFFF" w:val="clear"/>
            <w:tcMar>
              <w:bottom w:w="0" w:type="dxa"/>
            </w:tcMar>
            <w:vAlign w:val="center"/>
          </w:tcPr>
          <w:p>
            <w:pPr>
              <w:pStyle w:val="TableContents"/>
              <w:bidi w:val="0"/>
              <w:spacing w:before="0" w:after="283"/>
              <w:jc w:val="left"/>
              <w:rPr>
                <w:sz w:val="20"/>
              </w:rPr>
            </w:pPr>
            <w:r>
              <w:rPr>
                <w:sz w:val="20"/>
              </w:rPr>
              <w:t>Ho Fai Chung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sz w:val="20"/>
              </w:rPr>
            </w:pPr>
            <w:r>
              <w:rPr>
                <w:sz w:val="20"/>
              </w:rPr>
              <w:t>63</w:t>
            </w:r>
          </w:p>
        </w:tc>
        <w:tc>
          <w:tcPr>
            <w:tcW w:w="90" w:type="dxa"/>
            <w:tcBorders/>
            <w:shd w:fill="FFFFFF" w:val="clear"/>
            <w:tcMar>
              <w:bottom w:w="0" w:type="dxa"/>
            </w:tcMar>
            <w:vAlign w:val="center"/>
          </w:tcPr>
          <w:p>
            <w:pPr>
              <w:pStyle w:val="TableContents"/>
              <w:bidi w:val="0"/>
              <w:spacing w:before="0" w:after="283"/>
              <w:jc w:val="left"/>
              <w:rPr/>
            </w:pPr>
            <w:r>
              <w:rPr/>
              <w:t> </w:t>
            </w:r>
          </w:p>
        </w:tc>
        <w:tc>
          <w:tcPr>
            <w:tcW w:w="4940" w:type="dxa"/>
            <w:tcBorders/>
            <w:shd w:fill="FFFFFF" w:val="clear"/>
            <w:tcMar>
              <w:bottom w:w="0" w:type="dxa"/>
            </w:tcMar>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Wing Fung Alfred Siu</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NewGenIvf’s co-founder, Mr. Wing Fung Alfred Siu, has served as the Chairman of the Board and the Chief Executive Officer of NewGenIvf (before the Closing, Legacy NewGenIvf) since 2019. Prior to establishing Legacy NewGenIvf in 2019, Mr. Siu served as a director of First Fertility PGS Center Co., Ltd. since 2014. Mr. Siu received his master’s degree in science and bachelor’s degree in science from Stanford University.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Hei Yue Tina Fong. </w:t>
      </w:r>
      <w:r>
        <w:rPr>
          <w:rFonts w:ascii="Times New Roman;Times;Serif" w:hAnsi="Times New Roman;Times;Serif"/>
          <w:b w:val="false"/>
          <w:i w:val="false"/>
          <w:caps w:val="false"/>
          <w:smallCaps w:val="false"/>
          <w:sz w:val="20"/>
        </w:rPr>
        <w:t>Ms. Fong has served as a Director and the Chief Marketing Officer of NewGenIvf (before the Closing, Legacy NewGenIvf) since 2019. Prior to establishing NewGenIvf in 2019, Ms. Fong served as a director of First Fertility PGS Center Co., Ltd. since 2014. Ms. Fong received her bachelor’s degree in marketing from Indiana University.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 Fai Chung</w:t>
      </w:r>
      <w:r>
        <w:rPr>
          <w:rFonts w:ascii="Times New Roman;Times;Serif" w:hAnsi="Times New Roman;Times;Serif"/>
          <w:b w:val="false"/>
          <w:i w:val="false"/>
          <w:caps w:val="false"/>
          <w:smallCaps w:val="false"/>
          <w:sz w:val="20"/>
        </w:rPr>
        <w:t>. Mr. Chung has served as NewGenIvf’s Chief Financial Officer since October 10, 2024. Mr. Chung has over 30 years of working experience in Asia. He is a certified public accountant in the U.S. Born in Hong Kong, Mr. Chung holds a Bachelor of Law degree from University of London and a Master’s degree in Accounting and Finance from Lancaster University (UK). Mr. Chung also holds a Master’s degree in International and Public Affairs from Hong Kong University. He started his career with Price Waterhouse (“PwC”) in Hong Kong and then joined a number of companies to take up financial control as well as general management jobs in industries including fashion, office products, telecommunications/internet and advertising. He had worked and based in China, Taiwan, Singapore and Malaysia before and had extensive regional financial controlling exposure in Asia.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Hok Man Jefferson Au</w:t>
      </w:r>
      <w:r>
        <w:rPr>
          <w:rFonts w:ascii="Times New Roman;Times;Serif" w:hAnsi="Times New Roman;Times;Serif"/>
          <w:b w:val="false"/>
          <w:i w:val="false"/>
          <w:caps w:val="false"/>
          <w:smallCaps w:val="false"/>
          <w:sz w:val="20"/>
        </w:rPr>
        <w:t>. Mr. Au has served as NewGenIvf’s independent director since April 3, 2024. Mr. Au has served as the Assistant Financial Controller and the Company Secretary at Coolpoint Innonism Holding Limited since May 2017 and a director of JWMG CPA Limited, Certified Public Accountants since August 2014. He previously worked as the audit supervisor at Clement C.W. Chan &amp; Co., Certified Public Accountants from September 2010 to March 2014. Mr. Au obtained his honours diploma in accounting from Hong Kong Shue Yan University (formerly known as Hong Kong Shue Yan College) and received his Master of Science in professional accountancy from the University of London. Mr. Au is a member of the Hong Kong Institute of Certified Public Accountants and an associate of the Association of Chartered Certified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Florianna Ann Chi Wan Chan</w:t>
      </w:r>
      <w:r>
        <w:rPr>
          <w:rFonts w:ascii="Times New Roman;Times;Serif" w:hAnsi="Times New Roman;Times;Serif"/>
          <w:b w:val="false"/>
          <w:i w:val="false"/>
          <w:caps w:val="false"/>
          <w:smallCaps w:val="false"/>
          <w:sz w:val="20"/>
        </w:rPr>
        <w:t xml:space="preserve"> has served as NewGenIVF’s independent director since April 15, 2025. Ms Chan has over 20 years of experience in project management, real estate development, and luxury hospitality, she is a proven leader in driving growth and operational excellence. Since 2015, Ms. Chan has led Lab Concept Company Limited, a subsidiary of The Lane Crawford Joyce Group, where she successfully restructured operations, spearheaded rebranding, and digitized processes, achieving significant revenue growth. Previously, she held senior roles at VCC Company Limited, Eton Properties, and Crown Macau, excelling in real estate development, marketing, and VIP services. She holds a Bachelor of Hospitality Management from Central Queensland University in Australia and an Advanced Diploma from William Angliss Institute of TAFE. Fluent in Cantonese, Mandarin, and English, Ms. Chan brings a deep understanding of Asia Pacific markets and a strategic vision that will drive the Company’s continued growth and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Tam Chun Wa</w:t>
      </w:r>
      <w:r>
        <w:rPr>
          <w:rFonts w:ascii="Times New Roman;Times;Serif" w:hAnsi="Times New Roman;Times;Serif"/>
          <w:b w:val="false"/>
          <w:i w:val="false"/>
          <w:caps w:val="false"/>
          <w:smallCaps w:val="false"/>
          <w:sz w:val="20"/>
        </w:rPr>
        <w:t>. Mr. Tam has served as NewGenIvf’s independent director since November 29, 2024. Mr. Tam is currently the chief financial officer, the company secretary, and the authorised representative of China Asia Valley Group Limited since December 2023. Mr. Tam was appointed as an independent non-executive director of Green Energy Group Limited on 24 August 2011. Mr. Tam was also the chief financial officer, the company secretary and the authorised representative of Perfect Group International Holdings Limited from February 2017 to November 2023. The shares of these three companies are listed on the Main Board of the Stock Exchange with stock codes 63, 979 and 3326 respectively. He was the executive director of Chinasing Investment Holdings Limited from February 2009 to August 2015, a company whose shares were listed on the Main Board of Singapore Exchange Limited. Mr. Tam obtained a Master degree of Business Administration from the University of Sydney. Mr. Tam is also a member of Hong Kong Institute of Certified Public Accountants, CPA (Australia) and Institute of Singapore Chartered Accountants. Mr. Tam has more than 30 years in the areas of auditing, accounting, tax, investment banking and company secretarial 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Lee Sze Mun. </w:t>
      </w:r>
      <w:r>
        <w:rPr>
          <w:rFonts w:ascii="Times New Roman;Times;Serif" w:hAnsi="Times New Roman;Times;Serif"/>
          <w:b w:val="false"/>
          <w:i w:val="false"/>
          <w:caps w:val="false"/>
          <w:smallCaps w:val="false"/>
          <w:sz w:val="20"/>
        </w:rPr>
        <w:t>Ms. Lee has served as an independent director of NewGenIvf since June 1, 2026. With over 22 years of experience in financial accounting, taxation, and group consolidation, she is a Fellow Member of ACCA (FCCA) and holds a BA (Hons) in Accounting and Finance from Leeds Beckett University (formerly Leeds Metropolitan University). Ms. Lee currently serves as Assistant Manager (Finance Control) at a statutory body responsible for regulating and overseeing retirement schemes. Her previous experience includes senior finance roles at a construction company that primarily undertakes government projects, as well as at a German-based multinational shipowner. She also brings audit assurance experience gained from working at a registered CPA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Lau Tsz Hin Vincent. </w:t>
      </w:r>
      <w:r>
        <w:rPr>
          <w:rFonts w:ascii="Times New Roman;Times;Serif" w:hAnsi="Times New Roman;Times;Serif"/>
          <w:b w:val="false"/>
          <w:i w:val="false"/>
          <w:caps w:val="false"/>
          <w:smallCaps w:val="false"/>
          <w:sz w:val="20"/>
        </w:rPr>
        <w:t>Mr. Lau has served as NewGenIvf’s independent director since June 8, 2026. Since 2025, he has served as Co-Founder and Chief Operating Officer of K25.ai. From 2024 to 2025, he served as Vice President, Business Strategy Office at OSL Group. From 2019 to 2023, he served at OKEx, Bitfinex and Digital Vision Brands. Mr. Lau holds a Bachelor of Business Administration.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Lam Chun Tung Patrick. </w:t>
      </w:r>
      <w:r>
        <w:rPr>
          <w:rFonts w:ascii="Times New Roman;Times;Serif" w:hAnsi="Times New Roman;Times;Serif"/>
          <w:b w:val="false"/>
          <w:i w:val="false"/>
          <w:caps w:val="false"/>
          <w:smallCaps w:val="false"/>
          <w:sz w:val="20"/>
        </w:rPr>
        <w:t>Mr. Lam has served as NewGenIvf’s independent director since June 8, 2026. Since 2025, he has served as Co-Founder and Chief Strategy Officer of K25.ai. From 2023 to 2025, he served as a Quantitative Trader at Keyrock S.A. From 2020 to 2022, he served at HKEX across listed issuer regulation, strategy and data governance. Mr. Lam holds a Bachelor of Science in Risk Management and Business Intelligence.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Andy Cheung (Cheung Kong Yiu).</w:t>
      </w:r>
      <w:r>
        <w:rPr>
          <w:rFonts w:ascii="Times New Roman;Times;Serif" w:hAnsi="Times New Roman;Times;Serif"/>
          <w:b w:val="false"/>
          <w:i w:val="false"/>
          <w:caps w:val="false"/>
          <w:smallCaps w:val="false"/>
          <w:sz w:val="20"/>
        </w:rPr>
        <w:t> Mr. Cheung has served as NewGenIvf’s director since June 8, 2026. Since 2024, he has served as Founder and Chief Executive Officer of K25.ai. From 2025 to 2026, he served as a Board Member of Prenetics Global Limited. From 2017 to 2020, he served as Chief Operating Officer of OKEx. Earlier in his career, he held senior leadership roles at iClick Interactive and Groupon. Mr. Cheung holds a Bachelor of Information Technology.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appointed by, and serve at the discretion of,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Wing Fung Alfred Siu and Ms. Hei Yue Tina Fong are husband and wife. Other than as disclosed in this prospectus, none of the directors or executive officers has a family relationship as defined in Item 401 of Regulation 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our knowledge, none of our directors or executive officers has, during the past ten years, been involved in any legal proceedings described in subparagraph (f) of Item 401 of Regulation S-K. Our directors and officers have not been involved in any transactions with us or any of our affiliates or associates which are required to be disclosed pursuant to the rules and regulations of the SEC.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paid an aggregate of approximately US$1,800,000 in cash compensation, including benefits, to our directors and executive officers as a group, respectively. Our directors and executive officers do not receive pension, retirement or other similar benefits, and we have not set aside or accrued any amount to provide such benefits to our executive officers. Our subsidiary in Hong Kong is required by the applicable local laws and regulations to make contributions to Mandatory Provident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 share incentive plan on April 3, 2024, which was subsequently amended by the approval of our Board on March 28, 2025 (the “Share Incentive Plan” or “Plan”). The following summarizes the material terms of the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Subject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aggregate number of Shares that are available for awards shall initially be 1,054,260 ordinary shares of the Company (117 ordinary shares as adjusted for reverse stock splits in May 2025, August 2025, December 2025, January 2026, March 2026 and July 2026), and has been increased by the Board to 691,574 ordinary shares of the Company as of the date of this Report. Under the Plan, the total maximum Shares subject to the Plan may be increased by the Board or the Compensation Committee of the Board (the “Committee”) from time to time to allow for the total maximum number of Shares subject to the Plan to be 20% of the then outstanding ordinary shares of the Company at the time of such increase. The number of Shares may be made available from Shares held in treasury or authorized but unissued shares of the Company not reserved for any other purpose. As of this prospectus date, Siu Wing Fung Alfred and Hei Yue Fong Tina had each received 18,951 Class B shares (adjusted for Reverse Stock Split) through the Company’s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Incentive Plan shall be administered by the Committee. The Committee shall have full discretionary authority to administer the Share Incentive Plan, including but not limited to the authority to: (i) interpret the provisions of the Share Incentive Plan, (ii) prescribe, amend and rescind rules and regulations relating to the Share Incentive Plan, (iii) correct any defect, supply any omission, or reconcile any inconsistency in any Award or agreement covering an Award in the manner and to the extent it deems desirable to carry the Share Incentive Plan into effect, and (iv) make all other determinations necessary or advisable for the administration of the Share Incentive Plan. The Committee’s decisions (including any failure to make decisions) shall be binding upon all persons, including the Company, shareholders, Employers, and each Employee, Director, Consultant or Participant, and shall be given deference in any proceeding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Incentive Plan is open to any Employee, Director or Consultant who, in the opinion of the Committee, has the capacity to contribute to the success of the Company is eligible to be a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Effective Date, Amendment, Modification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Incentive Plan shall become effective on the date of its adoption by the Board or a committee of the Board duly authorized by the Board (the “Effective Date”). The Share Incentive Plan will expire on the tenth anniversary of the Effective Date, and no Award may be granted pursuant to the Share Incentive Plan after, the tenth anniversary of the Effective Date, unless otherwise determined by the Committee. Any Awards that are outstanding on the tenth anniversary of the Effective Date shall remain in force according to the terms of the Share Incentive Plan and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the Board or the Committee may terminate, amend or modify the Share Incentive Plan; provided, however, that to the extent necessary to comply with Applicable Laws, the Company shall obtain shareholder approval of any Plan amendment in such a manner and to such a degree as required, unless the Board decides to follow home country practice not to seek the shareholder approval for any amendment or modification of the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amount of compensation, including base salary, discretionary bonus, equity compensation, contractual benefits and contributions to defined contribution plans, which was paid, earned and/or accrued during the fiscal years ended December 31, 2025 and 2024, for each of the officers and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760"/>
        <w:gridCol w:w="90"/>
        <w:gridCol w:w="258"/>
        <w:gridCol w:w="1262"/>
        <w:gridCol w:w="90"/>
        <w:gridCol w:w="90"/>
        <w:gridCol w:w="218"/>
        <w:gridCol w:w="1302"/>
        <w:gridCol w:w="135"/>
      </w:tblGrid>
      <w:tr>
        <w:trPr/>
        <w:tc>
          <w:tcPr>
            <w:tcW w:w="6760"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2024</w:t>
              <w:br/>
              <w:t>Compensation</w:t>
              <w:br/>
              <w:t>US$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2025</w:t>
              <w:br/>
              <w:t>Compensation</w:t>
              <w:br/>
              <w:t>US$</w:t>
            </w:r>
          </w:p>
        </w:tc>
        <w:tc>
          <w:tcPr>
            <w:tcW w:w="135" w:type="dxa"/>
            <w:tcBorders/>
            <w:tcMar>
              <w:bottom w:w="0" w:type="dxa"/>
            </w:tcMar>
            <w:vAlign w:val="center"/>
          </w:tcPr>
          <w:p>
            <w:pPr>
              <w:pStyle w:val="TableContents"/>
              <w:bidi w:val="0"/>
              <w:spacing w:before="0" w:after="283"/>
              <w:jc w:val="left"/>
              <w:rPr/>
            </w:pPr>
            <w:r>
              <w:rPr/>
              <w:t> </w:t>
            </w:r>
          </w:p>
        </w:tc>
      </w:tr>
      <w:tr>
        <w:trPr/>
        <w:tc>
          <w:tcPr>
            <w:tcW w:w="6760" w:type="dxa"/>
            <w:tcBorders/>
            <w:tcMar>
              <w:bottom w:w="0" w:type="dxa"/>
            </w:tcMar>
            <w:vAlign w:val="center"/>
          </w:tcPr>
          <w:p>
            <w:pPr>
              <w:pStyle w:val="TableContents"/>
              <w:bidi w:val="0"/>
              <w:spacing w:before="0" w:after="283"/>
              <w:jc w:val="left"/>
              <w:rPr/>
            </w:pPr>
            <w:r>
              <w:rPr/>
              <w:t>Directors and Officers</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6760" w:type="dxa"/>
            <w:tcBorders/>
            <w:shd w:fill="CCEEFF" w:val="clear"/>
            <w:tcMar>
              <w:bottom w:w="0" w:type="dxa"/>
            </w:tcMar>
            <w:vAlign w:val="center"/>
          </w:tcPr>
          <w:p>
            <w:pPr>
              <w:pStyle w:val="TableContents"/>
              <w:bidi w:val="0"/>
              <w:spacing w:before="0" w:after="283"/>
              <w:jc w:val="left"/>
              <w:rPr/>
            </w:pPr>
            <w:r>
              <w:rPr/>
              <w:t>Mr Wing Fung Alfred Siu</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right"/>
              <w:rPr/>
            </w:pPr>
            <w:r>
              <w:rPr/>
              <w:t>190,000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1302" w:type="dxa"/>
            <w:tcBorders/>
            <w:shd w:fill="CCEEFF" w:val="clear"/>
            <w:tcMar>
              <w:bottom w:w="0" w:type="dxa"/>
            </w:tcMar>
            <w:vAlign w:val="center"/>
          </w:tcPr>
          <w:p>
            <w:pPr>
              <w:pStyle w:val="TableContents"/>
              <w:bidi w:val="0"/>
              <w:spacing w:before="0" w:after="283"/>
              <w:jc w:val="right"/>
              <w:rPr/>
            </w:pPr>
            <w:r>
              <w:rPr/>
              <w:t>325,000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760" w:type="dxa"/>
            <w:tcBorders/>
            <w:shd w:fill="FFFFFF" w:val="clear"/>
            <w:tcMar>
              <w:bottom w:w="0" w:type="dxa"/>
            </w:tcMar>
            <w:vAlign w:val="center"/>
          </w:tcPr>
          <w:p>
            <w:pPr>
              <w:pStyle w:val="TableContents"/>
              <w:bidi w:val="0"/>
              <w:spacing w:before="0" w:after="283"/>
              <w:jc w:val="left"/>
              <w:rPr/>
            </w:pPr>
            <w:r>
              <w:rPr/>
              <w:t>Director’s bonus of Mr Wing Fung Alfred Siu</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262"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8" w:type="dxa"/>
            <w:tcBorders/>
            <w:shd w:fill="FFFFFF" w:val="clear"/>
            <w:tcMar>
              <w:bottom w:w="0" w:type="dxa"/>
            </w:tcMar>
            <w:vAlign w:val="center"/>
          </w:tcPr>
          <w:p>
            <w:pPr>
              <w:pStyle w:val="TableContents"/>
              <w:bidi w:val="0"/>
              <w:spacing w:before="0" w:after="283"/>
              <w:jc w:val="left"/>
              <w:rPr/>
            </w:pPr>
            <w:r>
              <w:rPr/>
              <w:t> </w:t>
            </w:r>
          </w:p>
        </w:tc>
        <w:tc>
          <w:tcPr>
            <w:tcW w:w="1302" w:type="dxa"/>
            <w:tcBorders/>
            <w:shd w:fill="FFFFFF" w:val="clear"/>
            <w:tcMar>
              <w:bottom w:w="0" w:type="dxa"/>
            </w:tcMar>
            <w:vAlign w:val="center"/>
          </w:tcPr>
          <w:p>
            <w:pPr>
              <w:pStyle w:val="TableContents"/>
              <w:bidi w:val="0"/>
              <w:spacing w:before="0" w:after="283"/>
              <w:jc w:val="right"/>
              <w:rPr/>
            </w:pPr>
            <w:r>
              <w:rPr/>
              <w:t>750,000</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6760" w:type="dxa"/>
            <w:tcBorders/>
            <w:shd w:fill="CCEEFF" w:val="clear"/>
            <w:tcMar>
              <w:bottom w:w="0" w:type="dxa"/>
            </w:tcMar>
            <w:vAlign w:val="center"/>
          </w:tcPr>
          <w:p>
            <w:pPr>
              <w:pStyle w:val="TableContents"/>
              <w:bidi w:val="0"/>
              <w:spacing w:before="0" w:after="283"/>
              <w:jc w:val="left"/>
              <w:rPr/>
            </w:pPr>
            <w:r>
              <w:rPr/>
              <w:t>Director’s welfare, accommodation and insurance to Mr Wing Fung Alfred Siu</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1302" w:type="dxa"/>
            <w:tcBorders/>
            <w:shd w:fill="CCEEFF" w:val="clear"/>
            <w:tcMar>
              <w:bottom w:w="0" w:type="dxa"/>
            </w:tcMar>
            <w:vAlign w:val="center"/>
          </w:tcPr>
          <w:p>
            <w:pPr>
              <w:pStyle w:val="TableContents"/>
              <w:bidi w:val="0"/>
              <w:spacing w:before="0" w:after="283"/>
              <w:jc w:val="right"/>
              <w:rPr/>
            </w:pPr>
            <w:r>
              <w:rPr/>
              <w:t>393,103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760" w:type="dxa"/>
            <w:tcBorders/>
            <w:shd w:fill="FFFFFF" w:val="clear"/>
            <w:tcMar>
              <w:bottom w:w="0" w:type="dxa"/>
            </w:tcMar>
            <w:vAlign w:val="center"/>
          </w:tcPr>
          <w:p>
            <w:pPr>
              <w:pStyle w:val="TableContents"/>
              <w:bidi w:val="0"/>
              <w:spacing w:before="0" w:after="283"/>
              <w:jc w:val="left"/>
              <w:rPr/>
            </w:pPr>
            <w:r>
              <w:rPr/>
              <w:t>Hei Yue Tina Fong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8" w:type="dxa"/>
            <w:tcBorders>
              <w:bottom w:val="single" w:sz="12" w:space="0" w:color="000000"/>
            </w:tcBorders>
            <w:shd w:fill="FFFFFF" w:val="clear"/>
            <w:vAlign w:val="center"/>
          </w:tcPr>
          <w:p>
            <w:pPr>
              <w:pStyle w:val="TableContents"/>
              <w:bidi w:val="0"/>
              <w:spacing w:before="0" w:after="283"/>
              <w:jc w:val="left"/>
              <w:rPr/>
            </w:pPr>
            <w:r>
              <w:rPr/>
              <w:t> </w:t>
            </w:r>
          </w:p>
        </w:tc>
        <w:tc>
          <w:tcPr>
            <w:tcW w:w="1262" w:type="dxa"/>
            <w:tcBorders>
              <w:bottom w:val="single" w:sz="12" w:space="0" w:color="000000"/>
            </w:tcBorders>
            <w:shd w:fill="FFFFFF" w:val="clear"/>
            <w:vAlign w:val="center"/>
          </w:tcPr>
          <w:p>
            <w:pPr>
              <w:pStyle w:val="TableContents"/>
              <w:bidi w:val="0"/>
              <w:spacing w:before="0" w:after="283"/>
              <w:jc w:val="right"/>
              <w:rPr/>
            </w:pPr>
            <w:r>
              <w:rPr/>
              <w:t>190,000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8" w:type="dxa"/>
            <w:tcBorders>
              <w:bottom w:val="single" w:sz="12" w:space="0" w:color="000000"/>
            </w:tcBorders>
            <w:shd w:fill="FFFFFF" w:val="clear"/>
            <w:vAlign w:val="center"/>
          </w:tcPr>
          <w:p>
            <w:pPr>
              <w:pStyle w:val="TableContents"/>
              <w:bidi w:val="0"/>
              <w:spacing w:before="0" w:after="283"/>
              <w:jc w:val="left"/>
              <w:rPr/>
            </w:pPr>
            <w:r>
              <w:rPr/>
              <w:t> </w:t>
            </w:r>
          </w:p>
        </w:tc>
        <w:tc>
          <w:tcPr>
            <w:tcW w:w="1302" w:type="dxa"/>
            <w:tcBorders>
              <w:bottom w:val="single" w:sz="12" w:space="0" w:color="000000"/>
            </w:tcBorders>
            <w:shd w:fill="FFFFFF" w:val="clear"/>
            <w:vAlign w:val="center"/>
          </w:tcPr>
          <w:p>
            <w:pPr>
              <w:pStyle w:val="TableContents"/>
              <w:bidi w:val="0"/>
              <w:spacing w:before="0" w:after="283"/>
              <w:jc w:val="right"/>
              <w:rPr/>
            </w:pPr>
            <w:r>
              <w:rPr/>
              <w:t>325,000</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6760" w:type="dxa"/>
            <w:tcBorders/>
            <w:shd w:fill="CCEEFF" w:val="clear"/>
            <w:tcMar>
              <w:bottom w:w="0" w:type="dxa"/>
            </w:tcMar>
            <w:vAlign w:val="center"/>
          </w:tcPr>
          <w:p>
            <w:pPr>
              <w:pStyle w:val="TableContents"/>
              <w:bidi w:val="0"/>
              <w:spacing w:before="0" w:after="283"/>
              <w:jc w:val="left"/>
              <w:rPr>
                <w:b/>
              </w:rPr>
            </w:pPr>
            <w:r>
              <w:rPr>
                <w:b/>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62" w:type="dxa"/>
            <w:tcBorders>
              <w:bottom w:val="double" w:sz="10" w:space="0" w:color="000000"/>
            </w:tcBorders>
            <w:shd w:fill="CCEEFF" w:val="clear"/>
            <w:vAlign w:val="center"/>
          </w:tcPr>
          <w:p>
            <w:pPr>
              <w:pStyle w:val="TableContents"/>
              <w:bidi w:val="0"/>
              <w:spacing w:before="0" w:after="283"/>
              <w:jc w:val="right"/>
              <w:rPr>
                <w:b/>
              </w:rPr>
            </w:pPr>
            <w:r>
              <w:rPr>
                <w:b/>
              </w:rPr>
              <w:t>380,000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302" w:type="dxa"/>
            <w:tcBorders>
              <w:bottom w:val="double" w:sz="10" w:space="0" w:color="000000"/>
            </w:tcBorders>
            <w:shd w:fill="CCEEFF" w:val="clear"/>
            <w:vAlign w:val="center"/>
          </w:tcPr>
          <w:p>
            <w:pPr>
              <w:pStyle w:val="TableContents"/>
              <w:bidi w:val="0"/>
              <w:spacing w:before="0" w:after="283"/>
              <w:jc w:val="right"/>
              <w:rPr>
                <w:b/>
              </w:rPr>
            </w:pPr>
            <w:r>
              <w:rPr>
                <w:b/>
              </w:rPr>
              <w:t>1,793,103</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Practices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established three committees under the Board: an audit committee (“Audit Committee”), a Compensation Committee (“Compensation Committee”) and a nominating and corporate governance committee (“Nominating and Corporate Governance Committee). We have adopted a charter for each of the three committees. Each committee’s members and functions are described below.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Our Audit Committee consists of Mr. Hok Man Jefferson Au (Chairman of Audit Committee), Ms, Florianna Ann Chi Wan Chan, and Mr. Tam Chun Wa. We have determined that all of these individuals satisfy the “independence” requirements of NASDAQ Rule 5605 and Rule 10A-3 under the Exchange Act. Our Board has determined that Mr. Hok Man Jefferson Au qualifies as an audit committee financial expert and has the accounting or financial management expertise as required under Item 407(d)(5)(ii) and (iii) of Regulation S-K. The audit committee will oversee our accounting and financial reporting processes and the audits of the financial statements of our company. The Audit Committee will be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105"/>
        <w:gridCol w:w="200"/>
        <w:gridCol w:w="79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both"/>
              <w:rPr>
                <w:sz w:val="20"/>
              </w:rPr>
            </w:pPr>
            <w:r>
              <w:rPr>
                <w:sz w:val="20"/>
              </w:rPr>
              <w:t>establishing clear hiring policies for employees or former employees of the independent auditors;</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reviewing and recommending to the Board for approval, the appointment, reappointment or removal of the independent auditor, after considering its annual performance evaluation of the independent auditor;</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approving the remuneration and terms of engagement of the independent auditor and pre-approving all auditing and non-auditing services permitted to be performed by the Company’s independent auditors at least annually;</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obtaining a written report from the Company’s independent auditor describing matters relating to its independence and quality control procedures;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reviewing with the independent registered public accounting firm any audit problems or difficulties and management’s response;</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discussing with the Company’s independent auditor, among other things, the audits of the financial statements, including whether any material information should be disclosed, in addition to issues regarding accounting and auditing principles and practices;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reviewing and approving all proposed related party transactions, as defined in Item 404 of Regulation S-K under the Securities Act;</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reviewing and recommending the financial statements for inclusion within the Company’s quarterly earnings releases and to the Board for inclusion in its annual reports;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discussing the annual audited financial statements with management and the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05"/>
        <w:gridCol w:w="200"/>
        <w:gridCol w:w="59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sz w:val="20"/>
              </w:rPr>
            </w:pPr>
            <w:r>
              <w:rPr>
                <w:sz w:val="20"/>
              </w:rPr>
              <w:t>reviewing policies with respect to risk assessment and risk management;</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reviewing the adequacy and effectiveness of the Company’s accounting and internal control policies and procedures and any special steps taken to monitor and control major financial risk exposures;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105"/>
        <w:gridCol w:w="200"/>
        <w:gridCol w:w="64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both"/>
              <w:rPr>
                <w:sz w:val="20"/>
              </w:rPr>
            </w:pPr>
            <w:r>
              <w:rPr>
                <w:sz w:val="20"/>
              </w:rPr>
              <w:t>periodically reviewing and reassessing the adequacy of the committee charter;</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105"/>
        <w:gridCol w:w="200"/>
        <w:gridCol w:w="91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sz w:val="20"/>
              </w:rPr>
            </w:pPr>
            <w:r>
              <w:rPr>
                <w:sz w:val="20"/>
              </w:rPr>
              <w:t>approving annual audit plans, and undertaking an annual performance evaluation of the internal audit function;</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105"/>
        <w:gridCol w:w="200"/>
        <w:gridCol w:w="75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sz w:val="20"/>
              </w:rPr>
            </w:pPr>
            <w:r>
              <w:rPr>
                <w:sz w:val="20"/>
              </w:rPr>
              <w:t>establishing and overseeing procedures for the handling of complaints and whistleblowing;</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meeting separately and periodically with management, the internal auditors and the independent registered public accounting firm;</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monitoring compliance with the Company’s code of business conduct and ethics, including reviewing the adequacy and effectiveness of its procedures to ensure proper compliance;</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105"/>
        <w:gridCol w:w="200"/>
        <w:gridCol w:w="33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sz w:val="20"/>
              </w:rPr>
            </w:pPr>
            <w:r>
              <w:rPr>
                <w:sz w:val="20"/>
              </w:rPr>
              <w:t>reporting periodically to the Board; and</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105"/>
        <w:gridCol w:w="200"/>
        <w:gridCol w:w="95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sz w:val="20"/>
              </w:rPr>
            </w:pPr>
            <w:r>
              <w:rPr>
                <w:sz w:val="20"/>
              </w:rPr>
              <w:t>such other matters that are specifically delegated to the Company’s Audit Committee by the Board from time to time.</w:t>
            </w:r>
          </w:p>
        </w:tc>
      </w:tr>
    </w:tbl>
    <w:p>
      <w:pPr>
        <w:pStyle w:val="TextBody"/>
        <w:shd w:fill="FFFFFF" w:val="clear"/>
        <w:bidi w:val="0"/>
        <w:spacing w:before="0" w:after="0"/>
        <w:ind w:left="9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audit committee’s current charter is available at our corporate website at www.newgenivf.com. </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Committee</w:t>
      </w:r>
      <w:r>
        <w:rPr>
          <w:rFonts w:ascii="Times New Roman;Times;Serif" w:hAnsi="Times New Roman;Times;Serif"/>
          <w:b w:val="false"/>
          <w:i w:val="false"/>
          <w:caps w:val="false"/>
          <w:smallCaps w:val="false"/>
          <w:sz w:val="20"/>
        </w:rPr>
        <w:t>. Our Compensation Committee (“Compensation Committee”) consists of Mr. Wing Fung Alfred Siu, Ms. Hei Yue Tina Fong, and Ms Florianna Ann Chi Wan Chan. The Chairman of the Compensation Committee is Mr. Siu. The Company has determined that Ms. Chan satisfies the “independence” requirements of Rule 5605(c)(2) of the Nasdaq Stock Market Listing Rules. The Compensation Committee assists the Board in reviewing and approving compensation structure, including all forms of compensation relating to the Company’s directors and executive officers. The Company’s Chief Executive Officer may not be present at any committee meeting during which their compensation is deliberated upon. The Compensation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05"/>
        <w:gridCol w:w="200"/>
        <w:gridCol w:w="80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283"/>
              <w:jc w:val="both"/>
              <w:rPr>
                <w:sz w:val="20"/>
              </w:rPr>
            </w:pPr>
            <w:r>
              <w:rPr>
                <w:sz w:val="20"/>
              </w:rPr>
              <w:t>reviewing and evaluating the Company’s executive compensation and benefits policies generally;</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105"/>
        <w:gridCol w:w="200"/>
        <w:gridCol w:w="94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sz w:val="20"/>
              </w:rPr>
            </w:pPr>
            <w:r>
              <w:rPr>
                <w:sz w:val="20"/>
              </w:rPr>
              <w:t>reviewing and recommending any incentive compensation or equity plans, programs or other similar arrangements;</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105"/>
        <w:gridCol w:w="200"/>
        <w:gridCol w:w="77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sz w:val="20"/>
              </w:rPr>
            </w:pPr>
            <w:r>
              <w:rPr>
                <w:sz w:val="20"/>
              </w:rPr>
              <w:t>periodically reviewing and reassessing the adequacy of the Compensation Committee charter;</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selecting compensation consultant, legal counsel or other adviser only after taking into consideration all factors relevant to that person’s independence from management;</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105"/>
        <w:gridCol w:w="200"/>
        <w:gridCol w:w="33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sz w:val="20"/>
              </w:rPr>
            </w:pPr>
            <w:r>
              <w:rPr>
                <w:sz w:val="20"/>
              </w:rPr>
              <w:t>reporting periodically to the Board;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105"/>
        <w:gridCol w:w="200"/>
        <w:gridCol w:w="93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sz w:val="20"/>
              </w:rPr>
            </w:pPr>
            <w:r>
              <w:rPr>
                <w:sz w:val="20"/>
              </w:rPr>
              <w:t>such other matters that are specifically delegated to the Compensation Committee by the Board from time to time.</w:t>
            </w:r>
          </w:p>
        </w:tc>
      </w:tr>
    </w:tbl>
    <w:p>
      <w:pPr>
        <w:pStyle w:val="TextBody"/>
        <w:shd w:fill="FFFFFF" w:val="clear"/>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Compensation Committee’s current charter is available at our corporate website at: www.newgenivf.com.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Nominating and Corporate Governance Committee</w:t>
      </w:r>
      <w:r>
        <w:rPr>
          <w:rFonts w:ascii="Times New Roman;Times;Serif" w:hAnsi="Times New Roman;Times;Serif"/>
          <w:b w:val="false"/>
          <w:i w:val="false"/>
          <w:caps w:val="false"/>
          <w:smallCaps w:val="false"/>
          <w:sz w:val="20"/>
        </w:rPr>
        <w:t>. The Company’s Nominating and Corporate Governance Committee consist of Mr. Wing Fung Alfred Siu, Ms. Hei Yue Tina Fong, and Mr. Hok Man Jefferson Au. The Chairman of the Nominating and Corporate Governance Committee is Mr. Siu. The Company has determined that Mr. Au satisfies the “independence” requirements of Rule 5605(c)(2) of the Nasdaq Stock Market Listing Rules. The Nominating and Corporate Governance Committee assists the Board of Directors in selecting individuals qualified to become the Company’s directors and in determining the composition of the Board of Directors and its committees. The Nominating and Corporate Governance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recommending nominees to the Board for election or re-election to the Board, or for appointment to fill any vacancy or newly created directorships on the Board;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reviewing periodically with the Board the current composition of the Board with regards to characteristics such as judgment, experience, expertise, diversity and background;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recommending to the Board of criteria with respect to nomination or appointment of members of its Board of Directors and chairs and members of its committees or other corporate governance matters as may be required pursuant to any SEC or Nasdaq Stock Market Listing Rules, or otherwise considered desirable and appropriate;</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recommending to the Board the names of directors to serve as members of the Audit Committee and the Compensation Committee, as well as of the Nominating and Corporate Governance Committee itself;</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105"/>
        <w:gridCol w:w="200"/>
        <w:gridCol w:w="55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both"/>
              <w:rPr>
                <w:sz w:val="20"/>
              </w:rPr>
            </w:pPr>
            <w:r>
              <w:rPr>
                <w:sz w:val="20"/>
              </w:rPr>
              <w:t>periodically and reassessing the adequacy of the committee charter;</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105"/>
        <w:gridCol w:w="200"/>
        <w:gridCol w:w="90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sz w:val="20"/>
              </w:rPr>
            </w:pPr>
            <w:r>
              <w:rPr>
                <w:sz w:val="20"/>
              </w:rPr>
              <w:t>overseeing compliance with the corporate governance guidelines and code of business conduct and ethics;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105"/>
        <w:gridCol w:w="200"/>
        <w:gridCol w:w="64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sz w:val="20"/>
              </w:rPr>
            </w:pPr>
            <w:r>
              <w:rPr>
                <w:sz w:val="20"/>
              </w:rPr>
              <w:t>overseeing and leading the self-evaluation of the Board in its performance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105"/>
        <w:gridCol w:w="200"/>
        <w:gridCol w:w="20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sz w:val="20"/>
              </w:rPr>
            </w:pPr>
            <w:r>
              <w:rPr>
                <w:sz w:val="20"/>
              </w:rPr>
              <w:t>effectiveness as a whole.</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Nominating and Corporate Governance Committee’s current charter is available at our corporate website at www.newgenivf.com.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Duties and Functions of Directors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laws of the British Virgin Islands, the Company’s directors owe fiduciary duties to the Company, including duty to act honestly and in good faith in what the directors believe to be in the best interests of the company, duty to exercise powers for a proper purpose and directors shall not act, or agree to act, in a matter that contravenes the BVI Act or the Memorandum and Articles of Association, duty to exercise the care, diligence and skill that a reasonable director would exercise in the circumstances, and duty to avoid conflicts of interest. In fulfilling their duty of care to the Company, the Company’s directors must ensure compliance with the Company’s Memorandum and Articles of Association, as amended and restated from time to time. The Company has the right to seek damages if a duty owed by its directors is breached. In limited exceptional circumstances, a shareholder may have the right to seek damages in the Company’s name if a duty owed by the Company’s directors is breached. The functions and powers of the Board include, among other things, (i) convening shareholder meetings at such times and in such manner and places as the director considers necessary or desirable, (ii) declaring dividends, (iii) appointing directors or officers and determining their terms of offices and responsibilities, and (iv) approving the transfer of shares of the Company, including the registering of such shares in the Company’s share register.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Officers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officers are elected by and serve at the discretion of the Board. Each director holds office for the term fixed by the resolution of shareholders or the resolution of directors appointing him until such time as his successor takes office or until the earlier of his death, resignation or removal from office by resolution of directors with or without cause or be removed by the shareholders for cause only by a resolution approved at a duly convened and constituted meeting of the shareholders of the Company by the affirmative vote of not less than 75% of the votes of the shares entitled to vote thereon which were present at the meeting and were voted. The directors may at any time appoint any person to be a director either to fill a vacancy or as an addition to the existing directors. Where the directors appoint a person as director to fill a vacancy, the term shall not exceed the term that remained when the person who has ceased to be a director ceased to hold office. A vacancy in relation to directors occurs if a director dies or otherwise ceases to hold office prior to the expiration of his term of office.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Transactions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subject to any separate requirements for Audit Committee approval under applicable laws or applicable Nasdaq Stock Market Listing Rules, vote on a matter relating to the transaction in which he or she is interested, provided that the interest of any directors in such transaction is disclosed by him or her to all other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Agreements </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director agreements with our directors, which require us to maintain director and officer liability insurance for our directors, provide reimbursements for business related travel and accommodation and other reasonable expenses, and an annual remuneration of between $20,000 to $25,000 for our independent directors, and a total of $380,000 and $1.76m for both of our executive directors in the years of 2024 and 2025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87 full-time employees as of December 31, 2025, of which 72 are based in Thailand, Cambodia and Kyrgyzstan. NewGenIvf aims to attract and retain employees with the skills, and experience necessary to implement its growth strategy. The following table sets forth the number of its employees in Thailand, Cambodia and Kyrgyzstan by function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4404" w:type="dxa"/>
        <w:jc w:val="left"/>
        <w:tblInd w:w="0" w:type="dxa"/>
        <w:tblLayout w:type="fixed"/>
        <w:tblCellMar>
          <w:top w:w="0" w:type="dxa"/>
          <w:left w:w="0" w:type="dxa"/>
          <w:bottom w:w="28" w:type="dxa"/>
          <w:right w:w="0" w:type="dxa"/>
        </w:tblCellMar>
      </w:tblPr>
      <w:tblGrid>
        <w:gridCol w:w="2960"/>
        <w:gridCol w:w="90"/>
        <w:gridCol w:w="288"/>
        <w:gridCol w:w="931"/>
        <w:gridCol w:w="135"/>
      </w:tblGrid>
      <w:tr>
        <w:trPr/>
        <w:tc>
          <w:tcPr>
            <w:tcW w:w="2960" w:type="dxa"/>
            <w:tcBorders>
              <w:bottom w:val="single" w:sz="12" w:space="0" w:color="000000"/>
            </w:tcBorders>
            <w:vAlign w:val="center"/>
          </w:tcPr>
          <w:p>
            <w:pPr>
              <w:pStyle w:val="TableContents"/>
              <w:bidi w:val="0"/>
              <w:spacing w:before="0" w:after="283"/>
              <w:jc w:val="both"/>
              <w:rPr>
                <w:b/>
              </w:rPr>
            </w:pPr>
            <w:r>
              <w:rPr>
                <w:b/>
              </w:rPr>
              <w:t>Function</w:t>
            </w:r>
          </w:p>
        </w:tc>
        <w:tc>
          <w:tcPr>
            <w:tcW w:w="90" w:type="dxa"/>
            <w:tcBorders/>
            <w:tcMar>
              <w:bottom w:w="0" w:type="dxa"/>
            </w:tcMar>
            <w:vAlign w:val="center"/>
          </w:tcPr>
          <w:p>
            <w:pPr>
              <w:pStyle w:val="TableContents"/>
              <w:bidi w:val="0"/>
              <w:spacing w:before="0" w:after="283"/>
              <w:jc w:val="left"/>
              <w:rPr/>
            </w:pPr>
            <w:r>
              <w:rPr/>
              <w:t> </w:t>
            </w:r>
          </w:p>
        </w:tc>
        <w:tc>
          <w:tcPr>
            <w:tcW w:w="121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employees</w:t>
            </w:r>
          </w:p>
        </w:tc>
        <w:tc>
          <w:tcPr>
            <w:tcW w:w="135" w:type="dxa"/>
            <w:tcBorders/>
            <w:tcMar>
              <w:bottom w:w="0" w:type="dxa"/>
            </w:tcMar>
            <w:vAlign w:val="center"/>
          </w:tcPr>
          <w:p>
            <w:pPr>
              <w:pStyle w:val="TableContents"/>
              <w:bidi w:val="0"/>
              <w:spacing w:before="0" w:after="283"/>
              <w:jc w:val="left"/>
              <w:rPr/>
            </w:pPr>
            <w:r>
              <w:rPr/>
              <w:t> </w:t>
            </w:r>
          </w:p>
        </w:tc>
      </w:tr>
      <w:tr>
        <w:trPr/>
        <w:tc>
          <w:tcPr>
            <w:tcW w:w="2960" w:type="dxa"/>
            <w:tcBorders/>
            <w:tcMar>
              <w:bottom w:w="0" w:type="dxa"/>
            </w:tcMar>
            <w:vAlign w:val="center"/>
          </w:tcPr>
          <w:p>
            <w:pPr>
              <w:pStyle w:val="TableContents"/>
              <w:bidi w:val="0"/>
              <w:spacing w:before="0" w:after="283"/>
              <w:jc w:val="both"/>
              <w:rPr>
                <w:b/>
              </w:rPr>
            </w:pPr>
            <w:r>
              <w:rPr>
                <w:b/>
              </w:rPr>
              <w:t>Thailand</w:t>
            </w:r>
          </w:p>
        </w:tc>
        <w:tc>
          <w:tcPr>
            <w:tcW w:w="90" w:type="dxa"/>
            <w:tcBorders/>
            <w:tcMar>
              <w:bottom w:w="0" w:type="dxa"/>
            </w:tcMar>
            <w:vAlign w:val="center"/>
          </w:tcPr>
          <w:p>
            <w:pPr>
              <w:pStyle w:val="TableContents"/>
              <w:bidi w:val="0"/>
              <w:spacing w:before="0" w:after="283"/>
              <w:jc w:val="left"/>
              <w:rPr/>
            </w:pPr>
            <w:r>
              <w:rPr/>
              <w:t> </w:t>
            </w:r>
          </w:p>
        </w:tc>
        <w:tc>
          <w:tcPr>
            <w:tcW w:w="1219"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both"/>
              <w:rPr/>
            </w:pPr>
            <w:r>
              <w:rPr/>
              <w:t>Medical professionals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931" w:type="dxa"/>
            <w:tcBorders/>
            <w:shd w:fill="CCEEFF" w:val="clear"/>
            <w:tcMar>
              <w:bottom w:w="0" w:type="dxa"/>
            </w:tcMar>
            <w:vAlign w:val="center"/>
          </w:tcPr>
          <w:p>
            <w:pPr>
              <w:pStyle w:val="TableContents"/>
              <w:bidi w:val="0"/>
              <w:spacing w:before="0" w:after="283"/>
              <w:jc w:val="right"/>
              <w:rPr/>
            </w:pPr>
            <w:r>
              <w:rPr/>
              <w:t>16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both"/>
              <w:rPr/>
            </w:pPr>
            <w:r>
              <w:rPr/>
              <w:t>Administrative staff and others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8" w:type="dxa"/>
            <w:tcBorders>
              <w:bottom w:val="single" w:sz="12" w:space="0" w:color="000000"/>
            </w:tcBorders>
            <w:shd w:fill="FFFFFF" w:val="clear"/>
            <w:vAlign w:val="center"/>
          </w:tcPr>
          <w:p>
            <w:pPr>
              <w:pStyle w:val="TableContents"/>
              <w:bidi w:val="0"/>
              <w:spacing w:before="0" w:after="283"/>
              <w:jc w:val="left"/>
              <w:rPr/>
            </w:pPr>
            <w:r>
              <w:rPr/>
              <w:t> </w:t>
            </w:r>
          </w:p>
        </w:tc>
        <w:tc>
          <w:tcPr>
            <w:tcW w:w="931" w:type="dxa"/>
            <w:tcBorders>
              <w:bottom w:val="single" w:sz="12" w:space="0" w:color="000000"/>
            </w:tcBorders>
            <w:shd w:fill="FFFFFF" w:val="clear"/>
            <w:vAlign w:val="center"/>
          </w:tcPr>
          <w:p>
            <w:pPr>
              <w:pStyle w:val="TableContents"/>
              <w:bidi w:val="0"/>
              <w:spacing w:before="0" w:after="283"/>
              <w:jc w:val="right"/>
              <w:rPr/>
            </w:pPr>
            <w:r>
              <w:rPr/>
              <w:t>22</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both"/>
              <w:rPr>
                <w:b/>
              </w:rPr>
            </w:pPr>
            <w:r>
              <w:rPr>
                <w:b/>
              </w:rPr>
              <w:t>Sub-total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931" w:type="dxa"/>
            <w:tcBorders/>
            <w:shd w:fill="CCEEFF" w:val="clear"/>
            <w:tcMar>
              <w:bottom w:w="0" w:type="dxa"/>
            </w:tcMar>
            <w:vAlign w:val="center"/>
          </w:tcPr>
          <w:p>
            <w:pPr>
              <w:pStyle w:val="TableContents"/>
              <w:bidi w:val="0"/>
              <w:spacing w:before="0" w:after="283"/>
              <w:jc w:val="right"/>
              <w:rPr/>
            </w:pPr>
            <w:r>
              <w:rPr/>
              <w:t>38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both"/>
              <w:rPr>
                <w:b/>
              </w:rPr>
            </w:pPr>
            <w:r>
              <w:rPr>
                <w:b/>
              </w:rPr>
              <w:t>Cambodia</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931"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both"/>
              <w:rPr/>
            </w:pPr>
            <w:r>
              <w:rPr/>
              <w:t>Medical professionals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931" w:type="dxa"/>
            <w:tcBorders/>
            <w:shd w:fill="CCEEFF" w:val="clear"/>
            <w:tcMar>
              <w:bottom w:w="0" w:type="dxa"/>
            </w:tcMar>
            <w:vAlign w:val="center"/>
          </w:tcPr>
          <w:p>
            <w:pPr>
              <w:pStyle w:val="TableContents"/>
              <w:bidi w:val="0"/>
              <w:spacing w:before="0" w:after="283"/>
              <w:jc w:val="right"/>
              <w:rPr/>
            </w:pPr>
            <w:r>
              <w:rPr/>
              <w:t>13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both"/>
              <w:rPr/>
            </w:pPr>
            <w:r>
              <w:rPr/>
              <w:t>Administrative staff and others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8" w:type="dxa"/>
            <w:tcBorders>
              <w:bottom w:val="single" w:sz="12" w:space="0" w:color="000000"/>
            </w:tcBorders>
            <w:shd w:fill="FFFFFF" w:val="clear"/>
            <w:vAlign w:val="center"/>
          </w:tcPr>
          <w:p>
            <w:pPr>
              <w:pStyle w:val="TableContents"/>
              <w:bidi w:val="0"/>
              <w:spacing w:before="0" w:after="283"/>
              <w:jc w:val="left"/>
              <w:rPr/>
            </w:pPr>
            <w:r>
              <w:rPr/>
              <w:t> </w:t>
            </w:r>
          </w:p>
        </w:tc>
        <w:tc>
          <w:tcPr>
            <w:tcW w:w="931" w:type="dxa"/>
            <w:tcBorders>
              <w:bottom w:val="single" w:sz="12" w:space="0" w:color="000000"/>
            </w:tcBorders>
            <w:shd w:fill="FFFFFF" w:val="clear"/>
            <w:vAlign w:val="center"/>
          </w:tcPr>
          <w:p>
            <w:pPr>
              <w:pStyle w:val="TableContents"/>
              <w:bidi w:val="0"/>
              <w:spacing w:before="0" w:after="283"/>
              <w:jc w:val="right"/>
              <w:rPr/>
            </w:pPr>
            <w:r>
              <w:rPr/>
              <w:t>12</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both"/>
              <w:rPr>
                <w:b/>
              </w:rPr>
            </w:pPr>
            <w:r>
              <w:rPr>
                <w:b/>
              </w:rPr>
              <w:t>Sub-total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931" w:type="dxa"/>
            <w:tcBorders/>
            <w:shd w:fill="CCEEFF" w:val="clear"/>
            <w:tcMar>
              <w:bottom w:w="0" w:type="dxa"/>
            </w:tcMar>
            <w:vAlign w:val="center"/>
          </w:tcPr>
          <w:p>
            <w:pPr>
              <w:pStyle w:val="TableContents"/>
              <w:bidi w:val="0"/>
              <w:spacing w:before="0" w:after="283"/>
              <w:jc w:val="right"/>
              <w:rPr/>
            </w:pPr>
            <w:r>
              <w:rPr/>
              <w:t>25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both"/>
              <w:rPr>
                <w:b/>
              </w:rPr>
            </w:pPr>
            <w:r>
              <w:rPr>
                <w:b/>
              </w:rPr>
              <w:t>Kyrgyzstan</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931"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both"/>
              <w:rPr/>
            </w:pPr>
            <w:r>
              <w:rPr/>
              <w:t>Medical professionals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931" w:type="dxa"/>
            <w:tcBorders/>
            <w:shd w:fill="CCEEFF" w:val="clear"/>
            <w:tcMar>
              <w:bottom w:w="0" w:type="dxa"/>
            </w:tcMar>
            <w:vAlign w:val="center"/>
          </w:tcPr>
          <w:p>
            <w:pPr>
              <w:pStyle w:val="TableContents"/>
              <w:bidi w:val="0"/>
              <w:spacing w:before="0" w:after="283"/>
              <w:jc w:val="right"/>
              <w:rPr/>
            </w:pPr>
            <w:r>
              <w:rPr/>
              <w:t>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both"/>
              <w:rPr/>
            </w:pPr>
            <w:r>
              <w:rPr/>
              <w:t>Administrative staff and others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8" w:type="dxa"/>
            <w:tcBorders>
              <w:bottom w:val="single" w:sz="12" w:space="0" w:color="000000"/>
            </w:tcBorders>
            <w:shd w:fill="FFFFFF" w:val="clear"/>
            <w:vAlign w:val="center"/>
          </w:tcPr>
          <w:p>
            <w:pPr>
              <w:pStyle w:val="TableContents"/>
              <w:bidi w:val="0"/>
              <w:spacing w:before="0" w:after="283"/>
              <w:jc w:val="left"/>
              <w:rPr/>
            </w:pPr>
            <w:r>
              <w:rPr/>
              <w:t> </w:t>
            </w:r>
          </w:p>
        </w:tc>
        <w:tc>
          <w:tcPr>
            <w:tcW w:w="931" w:type="dxa"/>
            <w:tcBorders>
              <w:bottom w:val="single" w:sz="12" w:space="0" w:color="000000"/>
            </w:tcBorders>
            <w:shd w:fill="FFFFFF" w:val="clear"/>
            <w:vAlign w:val="center"/>
          </w:tcPr>
          <w:p>
            <w:pPr>
              <w:pStyle w:val="TableContents"/>
              <w:bidi w:val="0"/>
              <w:spacing w:before="0" w:after="283"/>
              <w:jc w:val="right"/>
              <w:rPr/>
            </w:pPr>
            <w:r>
              <w:rPr/>
              <w:t>7</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both"/>
              <w:rPr>
                <w:b/>
              </w:rPr>
            </w:pPr>
            <w:r>
              <w:rPr>
                <w:b/>
              </w:rPr>
              <w:t>Sub-total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931" w:type="dxa"/>
            <w:tcBorders/>
            <w:shd w:fill="CCEEFF" w:val="clear"/>
            <w:tcMar>
              <w:bottom w:w="0" w:type="dxa"/>
            </w:tcMar>
            <w:vAlign w:val="center"/>
          </w:tcPr>
          <w:p>
            <w:pPr>
              <w:pStyle w:val="TableContents"/>
              <w:bidi w:val="0"/>
              <w:spacing w:before="0" w:after="283"/>
              <w:jc w:val="right"/>
              <w:rPr/>
            </w:pPr>
            <w:r>
              <w:rPr/>
              <w:t>10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both"/>
              <w:rPr>
                <w:b/>
              </w:rPr>
            </w:pPr>
            <w:r>
              <w:rPr>
                <w:b/>
              </w:rPr>
              <w:t>Hong Kong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931"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both"/>
              <w:rPr/>
            </w:pPr>
            <w:r>
              <w:rPr/>
              <w:t>Administrative staff and others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8" w:type="dxa"/>
            <w:tcBorders>
              <w:bottom w:val="single" w:sz="12" w:space="0" w:color="000000"/>
            </w:tcBorders>
            <w:shd w:fill="CCEEFF" w:val="clear"/>
            <w:vAlign w:val="center"/>
          </w:tcPr>
          <w:p>
            <w:pPr>
              <w:pStyle w:val="TableContents"/>
              <w:bidi w:val="0"/>
              <w:spacing w:before="0" w:after="283"/>
              <w:jc w:val="left"/>
              <w:rPr/>
            </w:pPr>
            <w:r>
              <w:rPr/>
              <w:t> </w:t>
            </w:r>
          </w:p>
        </w:tc>
        <w:tc>
          <w:tcPr>
            <w:tcW w:w="931" w:type="dxa"/>
            <w:tcBorders>
              <w:bottom w:val="single" w:sz="12" w:space="0" w:color="000000"/>
            </w:tcBorders>
            <w:shd w:fill="CCEEFF" w:val="clear"/>
            <w:vAlign w:val="center"/>
          </w:tcPr>
          <w:p>
            <w:pPr>
              <w:pStyle w:val="TableContents"/>
              <w:bidi w:val="0"/>
              <w:spacing w:before="0" w:after="283"/>
              <w:jc w:val="right"/>
              <w:rPr/>
            </w:pPr>
            <w:r>
              <w:rPr/>
              <w:t>14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both"/>
              <w:rPr>
                <w:b/>
              </w:rPr>
            </w:pPr>
            <w:r>
              <w:rPr>
                <w:b/>
              </w:rPr>
              <w:t>Total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8" w:type="dxa"/>
            <w:tcBorders>
              <w:bottom w:val="double" w:sz="10" w:space="0" w:color="000000"/>
            </w:tcBorders>
            <w:shd w:fill="FFFFFF" w:val="clear"/>
            <w:vAlign w:val="center"/>
          </w:tcPr>
          <w:p>
            <w:pPr>
              <w:pStyle w:val="TableContents"/>
              <w:bidi w:val="0"/>
              <w:spacing w:before="0" w:after="283"/>
              <w:jc w:val="left"/>
              <w:rPr/>
            </w:pPr>
            <w:r>
              <w:rPr/>
              <w:t> </w:t>
            </w:r>
          </w:p>
        </w:tc>
        <w:tc>
          <w:tcPr>
            <w:tcW w:w="931" w:type="dxa"/>
            <w:tcBorders>
              <w:bottom w:val="double" w:sz="10" w:space="0" w:color="000000"/>
            </w:tcBorders>
            <w:shd w:fill="FFFFFF" w:val="clear"/>
            <w:vAlign w:val="center"/>
          </w:tcPr>
          <w:p>
            <w:pPr>
              <w:pStyle w:val="TableContents"/>
              <w:bidi w:val="0"/>
              <w:spacing w:before="0" w:after="283"/>
              <w:jc w:val="right"/>
              <w:rPr>
                <w:b/>
              </w:rPr>
            </w:pPr>
            <w:r>
              <w:rPr>
                <w:b/>
              </w:rPr>
              <w:t>87</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maintain a good working relationship with our employees and we have not experienced any significant labor disputes.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k_007"/>
      <w:bookmarkEnd w:id="8"/>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Related Party Transactions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related parties of the Company is as follows:</w:t>
      </w:r>
    </w:p>
    <w:p>
      <w:pPr>
        <w:pStyle w:val="TextBody"/>
        <w:bidi w:val="0"/>
        <w:spacing w:before="0" w:after="0"/>
        <w:ind w:left="0" w:right="0" w:firstLine="72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4655"/>
        <w:gridCol w:w="90"/>
        <w:gridCol w:w="2600"/>
      </w:tblGrid>
      <w:tr>
        <w:trPr/>
        <w:tc>
          <w:tcPr>
            <w:tcW w:w="4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Relationship</w:t>
            </w:r>
          </w:p>
        </w:tc>
      </w:tr>
      <w:tr>
        <w:trPr/>
        <w:tc>
          <w:tcPr>
            <w:tcW w:w="4655" w:type="dxa"/>
            <w:tcBorders/>
            <w:shd w:fill="CCEEFF" w:val="clear"/>
            <w:vAlign w:val="center"/>
          </w:tcPr>
          <w:p>
            <w:pPr>
              <w:pStyle w:val="TableContents"/>
              <w:bidi w:val="0"/>
              <w:spacing w:before="0" w:after="283"/>
              <w:jc w:val="left"/>
              <w:rPr>
                <w:sz w:val="20"/>
              </w:rPr>
            </w:pPr>
            <w:r>
              <w:rPr>
                <w:sz w:val="20"/>
              </w:rPr>
              <w:t>Mr. Siu, Wing Fung Alfred and Ms. Fong, Hei Yue Tina*</w:t>
            </w:r>
          </w:p>
        </w:tc>
        <w:tc>
          <w:tcPr>
            <w:tcW w:w="90"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left"/>
              <w:rPr>
                <w:sz w:val="20"/>
              </w:rPr>
            </w:pPr>
            <w:r>
              <w:rPr>
                <w:sz w:val="20"/>
              </w:rPr>
              <w:t>Shareholders and directors</w:t>
            </w:r>
          </w:p>
        </w:tc>
      </w:tr>
      <w:tr>
        <w:trPr/>
        <w:tc>
          <w:tcPr>
            <w:tcW w:w="4655" w:type="dxa"/>
            <w:tcBorders/>
            <w:shd w:fill="FFFFFF" w:val="clear"/>
            <w:vAlign w:val="center"/>
          </w:tcPr>
          <w:p>
            <w:pPr>
              <w:pStyle w:val="TableContents"/>
              <w:bidi w:val="0"/>
              <w:spacing w:before="0" w:after="283"/>
              <w:jc w:val="left"/>
              <w:rPr>
                <w:sz w:val="20"/>
              </w:rPr>
            </w:pPr>
            <w:r>
              <w:rPr>
                <w:sz w:val="20"/>
              </w:rPr>
              <w:t>Harcourt Limited  </w:t>
            </w:r>
          </w:p>
        </w:tc>
        <w:tc>
          <w:tcPr>
            <w:tcW w:w="90"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left"/>
              <w:rPr>
                <w:sz w:val="20"/>
              </w:rPr>
            </w:pPr>
            <w:r>
              <w:rPr>
                <w:sz w:val="20"/>
              </w:rPr>
              <w:t>Controlled by Mr. Siu</w:t>
            </w:r>
          </w:p>
        </w:tc>
      </w:tr>
      <w:tr>
        <w:trPr/>
        <w:tc>
          <w:tcPr>
            <w:tcW w:w="4655" w:type="dxa"/>
            <w:tcBorders/>
            <w:shd w:fill="CCEEFF" w:val="clear"/>
            <w:vAlign w:val="center"/>
          </w:tcPr>
          <w:p>
            <w:pPr>
              <w:pStyle w:val="TableContents"/>
              <w:bidi w:val="0"/>
              <w:spacing w:before="0" w:after="283"/>
              <w:jc w:val="left"/>
              <w:rPr>
                <w:sz w:val="20"/>
              </w:rPr>
            </w:pPr>
            <w:r>
              <w:rPr>
                <w:sz w:val="20"/>
              </w:rPr>
              <w:t>Mr. Daniel Wai To Siu</w:t>
            </w:r>
          </w:p>
        </w:tc>
        <w:tc>
          <w:tcPr>
            <w:tcW w:w="90"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left"/>
              <w:rPr>
                <w:sz w:val="20"/>
              </w:rPr>
            </w:pPr>
            <w:r>
              <w:rPr>
                <w:sz w:val="20"/>
              </w:rPr>
              <w:t>Mr. Siu’s son</w:t>
            </w:r>
          </w:p>
        </w:tc>
      </w:tr>
      <w:tr>
        <w:trPr/>
        <w:tc>
          <w:tcPr>
            <w:tcW w:w="4655" w:type="dxa"/>
            <w:tcBorders/>
            <w:shd w:fill="FFFFFF" w:val="clear"/>
            <w:vAlign w:val="center"/>
          </w:tcPr>
          <w:p>
            <w:pPr>
              <w:pStyle w:val="TableContents"/>
              <w:bidi w:val="0"/>
              <w:spacing w:before="0" w:after="283"/>
              <w:jc w:val="left"/>
              <w:rPr>
                <w:sz w:val="20"/>
              </w:rPr>
            </w:pPr>
            <w:r>
              <w:rPr>
                <w:sz w:val="20"/>
              </w:rPr>
              <w:t>Mr. Jaspar Siu</w:t>
            </w:r>
          </w:p>
        </w:tc>
        <w:tc>
          <w:tcPr>
            <w:tcW w:w="90"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left"/>
              <w:rPr>
                <w:sz w:val="20"/>
              </w:rPr>
            </w:pPr>
            <w:r>
              <w:rPr>
                <w:sz w:val="20"/>
              </w:rPr>
              <w:t>Mr. Siu’s son</w:t>
            </w:r>
          </w:p>
        </w:tc>
      </w:tr>
      <w:tr>
        <w:trPr/>
        <w:tc>
          <w:tcPr>
            <w:tcW w:w="4655" w:type="dxa"/>
            <w:tcBorders/>
            <w:shd w:fill="CCEEFF" w:val="clear"/>
            <w:vAlign w:val="center"/>
          </w:tcPr>
          <w:p>
            <w:pPr>
              <w:pStyle w:val="TableContents"/>
              <w:bidi w:val="0"/>
              <w:spacing w:before="0" w:after="283"/>
              <w:jc w:val="left"/>
              <w:rPr/>
            </w:pPr>
            <w:r>
              <w:rPr/>
              <w:t>Mr. Kong Yiu Cheung</w:t>
            </w:r>
          </w:p>
        </w:tc>
        <w:tc>
          <w:tcPr>
            <w:tcW w:w="90"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left"/>
              <w:rPr/>
            </w:pPr>
            <w:r>
              <w:rPr/>
              <w:t>Shareholders and directors</w:t>
            </w:r>
          </w:p>
        </w:tc>
      </w:tr>
    </w:tbl>
    <w:p>
      <w:pPr>
        <w:pStyle w:val="TextBody"/>
        <w:bidi w:val="0"/>
        <w:spacing w:before="0" w:after="0"/>
        <w:ind w:left="0" w:right="0" w:firstLine="72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170"/>
        <w:gridCol w:w="2795"/>
      </w:tblGrid>
      <w:tr>
        <w:trPr/>
        <w:tc>
          <w:tcPr>
            <w:tcW w:w="170" w:type="dxa"/>
            <w:tcBorders/>
            <w:vAlign w:val="center"/>
          </w:tcPr>
          <w:p>
            <w:pPr>
              <w:pStyle w:val="TableContents"/>
              <w:bidi w:val="0"/>
              <w:spacing w:before="0" w:after="283"/>
              <w:jc w:val="left"/>
              <w:rPr>
                <w:sz w:val="20"/>
              </w:rPr>
            </w:pPr>
            <w:r>
              <w:rPr>
                <w:sz w:val="20"/>
              </w:rPr>
              <w:t>*</w:t>
            </w:r>
          </w:p>
        </w:tc>
        <w:tc>
          <w:tcPr>
            <w:tcW w:w="2795" w:type="dxa"/>
            <w:tcBorders/>
            <w:vAlign w:val="center"/>
          </w:tcPr>
          <w:p>
            <w:pPr>
              <w:pStyle w:val="TableContents"/>
              <w:bidi w:val="0"/>
              <w:spacing w:before="0" w:after="283"/>
              <w:jc w:val="both"/>
              <w:rPr>
                <w:sz w:val="20"/>
              </w:rPr>
            </w:pPr>
            <w:r>
              <w:rPr>
                <w:sz w:val="20"/>
              </w:rPr>
              <w:t>Ms. Fong is the spouse of Mr. Siu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Mr. Wing Fung Alfred Siu and Ms. Hei Yue Tina Fong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recorded remuneration to its directors, Mr. Siu and Ms. Fong. The total remuneration to Mr. Siu, Wing Fung Alfred and Ms Hei Yue Tina Fong was US$380,000 and US$1.76m (including a one-time bonus of $750,000 for maintaining Nasdaq listing status and achieving targeted share capitalization level and benefits paid) during the year ended December 31,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Harcourt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NewGenIvf entered into a service agreement with Harcourt Limited, which is controlled by Mr Siu and Ms Fong, and paid a total of $230,772 as administrative support fee. This service agreement was duly approved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Mr. Daniel Siu and Mr. Jaspar Siu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Mr. Daniel Siu and Mr. Jaspar Siu provided consulting services for NewGenIvf with respect to fund raising and other capital activities, and received a total of $219,045 and $65,000 respectively.</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Mr. Kong Yiu Cheung and PredicXion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and until the date of this prospectus, the Company had acquired a 2% minority equity interest and made deposits for another 11% equity interest in PredicXion from Mr. Kong Yiu Cheung. A total of $2,287,500 cash consideration had been paid and a total of 3,722,223 Class A ordinary shares of the Company (as adjusted for the Reverse Stock Splits) had been issued to Mr. Cheung for the transactions. Mr Cheung has been appointed a director of the Company since June 8, 2026.</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42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k_008"/>
      <w:bookmarkEnd w:id="9"/>
      <w:r>
        <w:rPr>
          <w:rFonts w:ascii="Times New Roman;Times;Serif" w:hAnsi="Times New Roman;Times;Serif"/>
          <w:b/>
          <w:i w:val="false"/>
          <w:caps w:val="false"/>
          <w:smallCaps w:val="false"/>
          <w:sz w:val="20"/>
        </w:rPr>
        <w:t>LISTING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currently trade on Nasdaq under the symbol “NIVF.” As of the date of this prospectus, our only listed class of securities are our Class A Ordinary Shares. All of our Class A Ordinary Shares, including those to be offered in the Best Efforts Offering pursuant to this prospectus, have the same rights and privileges. For more information, see “</w:t>
      </w:r>
      <w:r>
        <w:rPr>
          <w:rFonts w:ascii="Times New Roman;Times;Serif" w:hAnsi="Times New Roman;Times;Serif"/>
          <w:b w:val="false"/>
          <w:i/>
          <w:caps w:val="false"/>
          <w:smallCaps w:val="false"/>
          <w:sz w:val="20"/>
        </w:rPr>
        <w:t>Description of Share Capital—Ordinary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k_009"/>
      <w:bookmarkEnd w:id="10"/>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 assumed offering price of $[●] per Class A Ordinary Share (the last reported sale price rounded to the nearest whole cent of our ordinary shares as reported on the Nasdaq Capital Market on [●], 2026), we estimate that we will receive gross proceeds from this offering of approximately $10,000,000, and net proceeds of approximately $9,000,000, after deducting placement agent fees and estimated offering expenses of approximately $1,000,000 payable by us. However, because this is a best-efforts offering and there is no minimum offering amount required as a condition to the closing of this offering, the actual offering amount, the placement agent’s fees and net proceeds to us are not presently determinable and may be substantially less than the maximum amounts set forth on the cover page of this prospectus.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investment in K25.ai, restructuring of debt securities, working capital, including manufacturing and deployment of Nodexus machines in cell sorting business, and other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must rely on the judgment of our management, who will have broad discretion regarding the application of the remaining net proceeds of this offering after repayment of our outstanding debt obligations. The amounts and timing of our actual expenditures will depend upon numerous factors, including market conditions, cash generated by our operations (if any), business developments and the rate of our growth. We may find it necessary or advisable to use portions of the proceeds of this offering for other purposes. Pending these uses, we intend to invest the net proceeds of this offering in a money market or other interest-bearing account.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k_010"/>
      <w:bookmarkEnd w:id="11"/>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or paid any cash dividend on our Class A Ordinary Shares as of the date of this prospectus. We currently intend to retain any future earnings and do not expect to pay any dividends in the near future. Any further determination to pay dividends on our ordinary shares would be at the discretion of our Board of Directors, subject to applicable laws, and would depend on our financial condition, results of operations, capital requirements, general business conditions, and other factors that our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k_011"/>
      <w:bookmarkEnd w:id="12"/>
      <w:r>
        <w:rPr>
          <w:rFonts w:ascii="Times New Roman;Times;Serif" w:hAnsi="Times New Roman;Times;Serif"/>
          <w:b/>
          <w:i w:val="false"/>
          <w:caps w:val="false"/>
          <w:smallCaps w:val="false"/>
          <w:sz w:val="20"/>
        </w:rPr>
        <w:t>CAPITALIZATION AND INDEBTEDNESS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the Company’s capitalization as of December 31, 2025 *</w:t>
      </w:r>
    </w:p>
    <w:p>
      <w:pPr>
        <w:pStyle w:val="TextBody"/>
        <w:bidi w:val="0"/>
        <w:spacing w:before="0" w:after="0"/>
        <w:ind w:left="0" w:right="0" w:firstLine="720"/>
        <w:jc w:val="both"/>
        <w:rPr>
          <w:caps w:val="false"/>
          <w:smallCaps w:val="false"/>
        </w:rPr>
      </w:pPr>
      <w:r>
        <w:rPr>
          <w:caps w:val="false"/>
          <w:smallCaps w:val="false"/>
        </w:rPr>
        <w:t> </w:t>
      </w:r>
    </w:p>
    <w:tbl>
      <w:tblPr>
        <w:tblW w:w="10099" w:type="dxa"/>
        <w:jc w:val="left"/>
        <w:tblInd w:w="0" w:type="dxa"/>
        <w:tblLayout w:type="fixed"/>
        <w:tblCellMar>
          <w:top w:w="0" w:type="dxa"/>
          <w:left w:w="0" w:type="dxa"/>
          <w:bottom w:w="0" w:type="dxa"/>
          <w:right w:w="0" w:type="dxa"/>
        </w:tblCellMar>
      </w:tblPr>
      <w:tblGrid>
        <w:gridCol w:w="4670"/>
        <w:gridCol w:w="90"/>
        <w:gridCol w:w="90"/>
        <w:gridCol w:w="1130"/>
        <w:gridCol w:w="125"/>
        <w:gridCol w:w="90"/>
        <w:gridCol w:w="169"/>
        <w:gridCol w:w="2130"/>
        <w:gridCol w:w="125"/>
        <w:gridCol w:w="90"/>
        <w:gridCol w:w="90"/>
        <w:gridCol w:w="1130"/>
        <w:gridCol w:w="170"/>
      </w:tblGrid>
      <w:tr>
        <w:trPr/>
        <w:tc>
          <w:tcPr>
            <w:tcW w:w="4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Proforma Adjustment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Adjusted</w:t>
            </w:r>
          </w:p>
        </w:tc>
        <w:tc>
          <w:tcPr>
            <w:tcW w:w="170"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Cash and Cash equivalents (Note 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758,621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2130" w:type="dxa"/>
            <w:tcBorders/>
            <w:shd w:fill="CCEEFF" w:val="clear"/>
            <w:vAlign w:val="center"/>
          </w:tcPr>
          <w:p>
            <w:pPr>
              <w:pStyle w:val="TableContents"/>
              <w:bidi w:val="0"/>
              <w:spacing w:before="0" w:after="283"/>
              <w:jc w:val="right"/>
              <w:rPr/>
            </w:pPr>
            <w:r>
              <w:rPr/>
              <w:t>3,520,540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4,279,161</w:t>
            </w:r>
          </w:p>
        </w:tc>
        <w:tc>
          <w:tcPr>
            <w:tcW w:w="17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EQUITY</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Share capital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2130" w:type="dxa"/>
            <w:tcBorders/>
            <w:shd w:fill="CCEEFF" w:val="clear"/>
            <w:vAlign w:val="center"/>
          </w:tcPr>
          <w:p>
            <w:pPr>
              <w:pStyle w:val="TableContents"/>
              <w:bidi w:val="0"/>
              <w:spacing w:before="0" w:after="283"/>
              <w:jc w:val="right"/>
              <w:rPr/>
            </w:pPr>
            <w:r>
              <w:rPr/>
              <w:t>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w:t>
            </w:r>
          </w:p>
        </w:tc>
        <w:tc>
          <w:tcPr>
            <w:tcW w:w="17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Additional paid-in capital (Note 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17,881,176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130" w:type="dxa"/>
            <w:tcBorders/>
            <w:shd w:fill="FFFFFF" w:val="clear"/>
            <w:vAlign w:val="center"/>
          </w:tcPr>
          <w:p>
            <w:pPr>
              <w:pStyle w:val="TableContents"/>
              <w:bidi w:val="0"/>
              <w:spacing w:before="0" w:after="283"/>
              <w:jc w:val="right"/>
              <w:rPr/>
            </w:pPr>
            <w:r>
              <w:rPr/>
              <w:t>13,460,940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31,342,116</w:t>
            </w:r>
          </w:p>
        </w:tc>
        <w:tc>
          <w:tcPr>
            <w:tcW w:w="17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Retained Earnings (Note 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8,893,414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2130" w:type="dxa"/>
            <w:tcBorders/>
            <w:shd w:fill="CCEEFF" w:val="clear"/>
            <w:vAlign w:val="center"/>
          </w:tcPr>
          <w:p>
            <w:pPr>
              <w:pStyle w:val="TableContents"/>
              <w:bidi w:val="0"/>
              <w:spacing w:before="0" w:after="283"/>
              <w:jc w:val="right"/>
              <w:rPr/>
            </w:pPr>
            <w:r>
              <w:rPr/>
              <w:t>(1,008,103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7,885,311</w:t>
            </w:r>
          </w:p>
        </w:tc>
        <w:tc>
          <w:tcPr>
            <w:tcW w:w="17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Accumulated other comprehensive (loss) income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(143,071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130" w:type="dxa"/>
            <w:tcBorders/>
            <w:shd w:fill="FFFFFF" w:val="clear"/>
            <w:vAlign w:val="center"/>
          </w:tcPr>
          <w:p>
            <w:pPr>
              <w:pStyle w:val="TableContents"/>
              <w:bidi w:val="0"/>
              <w:spacing w:before="0" w:after="283"/>
              <w:jc w:val="right"/>
              <w:rPr/>
            </w:pPr>
            <w:r>
              <w:rPr/>
              <w:t>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(143,071</w:t>
            </w:r>
          </w:p>
        </w:tc>
        <w:tc>
          <w:tcPr>
            <w:tcW w:w="170" w:type="dxa"/>
            <w:tcBorders/>
            <w:shd w:fill="FFFFFF" w:val="clear"/>
            <w:vAlign w:val="center"/>
          </w:tcPr>
          <w:p>
            <w:pPr>
              <w:pStyle w:val="TableContents"/>
              <w:bidi w:val="0"/>
              <w:spacing w:before="0" w:after="283"/>
              <w:jc w:val="left"/>
              <w:rPr/>
            </w:pPr>
            <w:r>
              <w:rPr/>
              <w:t>)</w:t>
            </w:r>
          </w:p>
        </w:tc>
      </w:tr>
      <w:tr>
        <w:trPr/>
        <w:tc>
          <w:tcPr>
            <w:tcW w:w="4670" w:type="dxa"/>
            <w:tcBorders/>
            <w:shd w:fill="CCEEFF" w:val="clear"/>
            <w:vAlign w:val="center"/>
          </w:tcPr>
          <w:p>
            <w:pPr>
              <w:pStyle w:val="TableContents"/>
              <w:bidi w:val="0"/>
              <w:spacing w:before="0" w:after="283"/>
              <w:jc w:val="left"/>
              <w:rPr/>
            </w:pPr>
            <w:r>
              <w:rPr/>
              <w:t>Total capitalization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26,631,519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2130" w:type="dxa"/>
            <w:tcBorders/>
            <w:shd w:fill="CCEEFF" w:val="clear"/>
            <w:vAlign w:val="center"/>
          </w:tcPr>
          <w:p>
            <w:pPr>
              <w:pStyle w:val="TableContents"/>
              <w:bidi w:val="0"/>
              <w:spacing w:before="0" w:after="283"/>
              <w:jc w:val="right"/>
              <w:rPr/>
            </w:pPr>
            <w:r>
              <w:rPr/>
              <w:t>8,432,897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39,084,356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indebtedness as of December 31, 2025 *</w:t>
      </w:r>
    </w:p>
    <w:p>
      <w:pPr>
        <w:pStyle w:val="TextBody"/>
        <w:bidi w:val="0"/>
        <w:spacing w:before="0" w:after="0"/>
        <w:ind w:left="0" w:right="0" w:firstLine="720"/>
        <w:jc w:val="both"/>
        <w:rPr>
          <w:caps w:val="false"/>
          <w:smallCaps w:val="false"/>
        </w:rPr>
      </w:pPr>
      <w:r>
        <w:rPr>
          <w:caps w:val="false"/>
          <w:smallCaps w:val="false"/>
        </w:rPr>
        <w:t> </w:t>
      </w:r>
    </w:p>
    <w:tbl>
      <w:tblPr>
        <w:tblW w:w="8844" w:type="dxa"/>
        <w:jc w:val="left"/>
        <w:tblInd w:w="0" w:type="dxa"/>
        <w:tblLayout w:type="fixed"/>
        <w:tblCellMar>
          <w:top w:w="0" w:type="dxa"/>
          <w:left w:w="0" w:type="dxa"/>
          <w:bottom w:w="0" w:type="dxa"/>
          <w:right w:w="0" w:type="dxa"/>
        </w:tblCellMar>
      </w:tblPr>
      <w:tblGrid>
        <w:gridCol w:w="3605"/>
        <w:gridCol w:w="90"/>
        <w:gridCol w:w="90"/>
        <w:gridCol w:w="1010"/>
        <w:gridCol w:w="90"/>
        <w:gridCol w:w="90"/>
        <w:gridCol w:w="174"/>
        <w:gridCol w:w="2125"/>
        <w:gridCol w:w="125"/>
        <w:gridCol w:w="90"/>
        <w:gridCol w:w="90"/>
        <w:gridCol w:w="1130"/>
        <w:gridCol w:w="135"/>
      </w:tblGrid>
      <w:tr>
        <w:trPr/>
        <w:tc>
          <w:tcPr>
            <w:tcW w:w="3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Proforma Adjustment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Adjusted</w:t>
            </w:r>
          </w:p>
        </w:tc>
        <w:tc>
          <w:tcPr>
            <w:tcW w:w="13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US$</w:t>
            </w:r>
          </w:p>
        </w:tc>
        <w:tc>
          <w:tcPr>
            <w:tcW w:w="13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Account payable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779,280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1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779,280</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Accrued liabilities and other payables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711,892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12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711,892</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111,981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1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111,981</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Operating lease liabilities, current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238,105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12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238,105</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Convertible notes (Note 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256,056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125" w:type="dxa"/>
            <w:tcBorders/>
            <w:shd w:fill="CCEEFF" w:val="clear"/>
            <w:vAlign w:val="center"/>
          </w:tcPr>
          <w:p>
            <w:pPr>
              <w:pStyle w:val="TableContents"/>
              <w:bidi w:val="0"/>
              <w:spacing w:before="0" w:after="283"/>
              <w:jc w:val="right"/>
              <w:rPr/>
            </w:pPr>
            <w:r>
              <w:rPr/>
              <w:t>8,051,601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8,307,657</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Embedded derivative liability</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262,616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12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262,616</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2,359,930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125" w:type="dxa"/>
            <w:tcBorders>
              <w:bottom w:val="double" w:sz="10" w:space="0" w:color="000000"/>
            </w:tcBorders>
            <w:shd w:fill="CCEEFF" w:val="clear"/>
            <w:tcMar>
              <w:bottom w:w="28" w:type="dxa"/>
            </w:tcMar>
            <w:vAlign w:val="center"/>
          </w:tcPr>
          <w:p>
            <w:pPr>
              <w:pStyle w:val="TableContents"/>
              <w:bidi w:val="0"/>
              <w:spacing w:before="0" w:after="283"/>
              <w:jc w:val="right"/>
              <w:rPr/>
            </w:pPr>
            <w:r>
              <w:rPr/>
              <w:t>8,051,601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10,411,531</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12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Non-current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1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Lease liabilities, operating leases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272,359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12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272,359</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Convertible notes (Note 4)</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4,097,366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25" w:type="dxa"/>
            <w:tcBorders>
              <w:bottom w:val="single" w:sz="12" w:space="0" w:color="000000"/>
            </w:tcBorders>
            <w:shd w:fill="CCEEFF" w:val="clear"/>
            <w:tcMar>
              <w:bottom w:w="28" w:type="dxa"/>
            </w:tcMar>
            <w:vAlign w:val="center"/>
          </w:tcPr>
          <w:p>
            <w:pPr>
              <w:pStyle w:val="TableContents"/>
              <w:bidi w:val="0"/>
              <w:spacing w:before="0" w:after="283"/>
              <w:jc w:val="right"/>
              <w:rPr/>
            </w:pPr>
            <w:r>
              <w:rPr/>
              <w:t>(3,099,442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997,924</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Total non-current liabilities</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pPr>
            <w:r>
              <w:rPr/>
              <w:t>4,369,725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125" w:type="dxa"/>
            <w:tcBorders>
              <w:bottom w:val="double" w:sz="10" w:space="0" w:color="000000"/>
            </w:tcBorders>
            <w:shd w:fill="FFFFFF" w:val="clear"/>
            <w:tcMar>
              <w:bottom w:w="28" w:type="dxa"/>
            </w:tcMar>
            <w:vAlign w:val="center"/>
          </w:tcPr>
          <w:p>
            <w:pPr>
              <w:pStyle w:val="TableContents"/>
              <w:bidi w:val="0"/>
              <w:spacing w:before="0" w:after="283"/>
              <w:jc w:val="right"/>
              <w:rPr/>
            </w:pPr>
            <w:r>
              <w:rPr/>
              <w:t>(3,099,442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pPr>
            <w:r>
              <w:rPr/>
              <w:t>1,270,283</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1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Total Indebtedness</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pPr>
            <w:r>
              <w:rPr/>
              <w:t>6,729,655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125" w:type="dxa"/>
            <w:tcBorders>
              <w:bottom w:val="double" w:sz="10" w:space="0" w:color="000000"/>
            </w:tcBorders>
            <w:shd w:fill="FFFFFF" w:val="clear"/>
            <w:tcMar>
              <w:bottom w:w="28" w:type="dxa"/>
            </w:tcMar>
            <w:vAlign w:val="center"/>
          </w:tcPr>
          <w:p>
            <w:pPr>
              <w:pStyle w:val="TableContents"/>
              <w:bidi w:val="0"/>
              <w:spacing w:before="0" w:after="283"/>
              <w:jc w:val="right"/>
              <w:rPr/>
            </w:pPr>
            <w:r>
              <w:rPr/>
              <w:t>4,952,159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pPr>
            <w:r>
              <w:rPr/>
              <w:t>11,681,814</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A proforma capitalization and indebtedness table as of December 31, 2025 is presented here to reflect the financial impact of material subsequent events until the date of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Proforma adjustments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The Company received $4,019,940 through equity of credit line with White Lion Capital; received $2,413,100 from issuance of convertible bonds; paid a total of $2,287,500 for the deposit and investment in PredicXion; and paid a total of $625,000 for the Repurchase and Forbearance Agreement with JAK Opportunities VI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The Company issued Class A shares at the consideration of 4,019,940 through equity of credit line with White Lion Capital; issued Class A shares at the consideration of $7,500,000 for the deposit and investment in PredicXion and had a total of $1,941,000 of convertible bond converted into Class A shares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The Company made an unrealized gain of $3,000,000 in the 2% equity investment in PredicXion and made a loss of $4,008,103 with the Amendment and Exchange Agreement with JAK Opportunities VI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The Company issued a total of $2,320,112 of convertible bond to various investors and a total of $256,056 convertible bond was converted into Class A shares during the period. Based on the Repurchase and Forbearance Agreement with JAK Opportunities VI LLC, a total of $4,097,366 of convertible bond was extinguished. Based on the Amendment and Exchange Agreement with JAK Opportunities VI LLC, the Company had issued convertible bond of $7,105,469 and $120,000 of which was converted to Class A shares as of the date of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&amp; EARNING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presented as of December 31, 2025:*</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70"/>
        <w:gridCol w:w="90"/>
        <w:gridCol w:w="182"/>
        <w:gridCol w:w="1083"/>
        <w:gridCol w:w="90"/>
        <w:gridCol w:w="90"/>
        <w:gridCol w:w="95"/>
        <w:gridCol w:w="1155"/>
        <w:gridCol w:w="125"/>
        <w:gridCol w:w="90"/>
        <w:gridCol w:w="90"/>
        <w:gridCol w:w="1010"/>
        <w:gridCol w:w="135"/>
      </w:tblGrid>
      <w:tr>
        <w:trPr/>
        <w:tc>
          <w:tcPr>
            <w:tcW w:w="59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 xml:space="preserve">Existing </w:t>
              <w:br/>
              <w:t>shareholder</w:t>
              <w:br/>
              <w:t>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Proforma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59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31/12/2025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Adjusted</w:t>
            </w:r>
          </w:p>
        </w:tc>
        <w:tc>
          <w:tcPr>
            <w:tcW w:w="135" w:type="dxa"/>
            <w:tcBorders/>
            <w:vAlign w:val="center"/>
          </w:tcPr>
          <w:p>
            <w:pPr>
              <w:pStyle w:val="TableContents"/>
              <w:bidi w:val="0"/>
              <w:spacing w:before="0" w:after="283"/>
              <w:jc w:val="left"/>
              <w:rPr/>
            </w:pPr>
            <w:r>
              <w:rPr/>
              <w:t> </w:t>
            </w:r>
          </w:p>
        </w:tc>
      </w:tr>
      <w:tr>
        <w:trPr/>
        <w:tc>
          <w:tcPr>
            <w:tcW w:w="5970" w:type="dxa"/>
            <w:tcBorders/>
            <w:shd w:fill="CCEEFF" w:val="clear"/>
            <w:vAlign w:val="center"/>
          </w:tcPr>
          <w:p>
            <w:pPr>
              <w:pStyle w:val="TableContents"/>
              <w:bidi w:val="0"/>
              <w:spacing w:before="0" w:after="283"/>
              <w:jc w:val="left"/>
              <w:rPr/>
            </w:pPr>
            <w:r>
              <w:rPr/>
              <w:t>Total comprehensive income attributable to the shareholders of the company</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9,717,462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(1,008,103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8,709,359</w:t>
            </w:r>
          </w:p>
        </w:tc>
        <w:tc>
          <w:tcPr>
            <w:tcW w:w="135" w:type="dxa"/>
            <w:tcBorders/>
            <w:shd w:fill="CCEEFF" w:val="clear"/>
            <w:vAlign w:val="center"/>
          </w:tcPr>
          <w:p>
            <w:pPr>
              <w:pStyle w:val="TableContents"/>
              <w:bidi w:val="0"/>
              <w:spacing w:before="0" w:after="283"/>
              <w:jc w:val="left"/>
              <w:rPr/>
            </w:pPr>
            <w:r>
              <w:rPr/>
              <w:t> </w:t>
            </w:r>
          </w:p>
        </w:tc>
      </w:tr>
      <w:tr>
        <w:trPr/>
        <w:tc>
          <w:tcPr>
            <w:tcW w:w="5970" w:type="dxa"/>
            <w:tcBorders/>
            <w:shd w:fill="FFFFFF" w:val="clear"/>
            <w:vAlign w:val="center"/>
          </w:tcPr>
          <w:p>
            <w:pPr>
              <w:pStyle w:val="TableContents"/>
              <w:bidi w:val="0"/>
              <w:spacing w:before="0" w:after="283"/>
              <w:jc w:val="left"/>
              <w:rPr/>
            </w:pPr>
            <w:r>
              <w:rPr/>
              <w:t>Earning per share – basic*</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644.20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(65.74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578.46</w:t>
            </w:r>
          </w:p>
        </w:tc>
        <w:tc>
          <w:tcPr>
            <w:tcW w:w="135" w:type="dxa"/>
            <w:tcBorders/>
            <w:shd w:fill="FFFFFF" w:val="clear"/>
            <w:vAlign w:val="center"/>
          </w:tcPr>
          <w:p>
            <w:pPr>
              <w:pStyle w:val="TableContents"/>
              <w:bidi w:val="0"/>
              <w:spacing w:before="0" w:after="283"/>
              <w:jc w:val="left"/>
              <w:rPr/>
            </w:pPr>
            <w:r>
              <w:rPr/>
              <w:t> </w:t>
            </w:r>
          </w:p>
        </w:tc>
      </w:tr>
      <w:tr>
        <w:trPr/>
        <w:tc>
          <w:tcPr>
            <w:tcW w:w="5970" w:type="dxa"/>
            <w:tcBorders/>
            <w:shd w:fill="CCEEFF" w:val="clear"/>
            <w:vAlign w:val="center"/>
          </w:tcPr>
          <w:p>
            <w:pPr>
              <w:pStyle w:val="TableContents"/>
              <w:bidi w:val="0"/>
              <w:spacing w:before="0" w:after="283"/>
              <w:jc w:val="left"/>
              <w:rPr/>
            </w:pPr>
            <w:r>
              <w:rPr/>
              <w:t>- diluted</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9.12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(0.93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8.19</w:t>
            </w:r>
          </w:p>
        </w:tc>
        <w:tc>
          <w:tcPr>
            <w:tcW w:w="135" w:type="dxa"/>
            <w:tcBorders/>
            <w:shd w:fill="CCEEFF" w:val="clear"/>
            <w:vAlign w:val="center"/>
          </w:tcPr>
          <w:p>
            <w:pPr>
              <w:pStyle w:val="TableContents"/>
              <w:bidi w:val="0"/>
              <w:spacing w:before="0" w:after="283"/>
              <w:jc w:val="left"/>
              <w:rPr/>
            </w:pPr>
            <w:r>
              <w:rPr/>
              <w:t> </w:t>
            </w:r>
          </w:p>
        </w:tc>
      </w:tr>
      <w:tr>
        <w:trPr/>
        <w:tc>
          <w:tcPr>
            <w:tcW w:w="5970" w:type="dxa"/>
            <w:tcBorders/>
            <w:shd w:fill="FFFFFF" w:val="clear"/>
            <w:vAlign w:val="center"/>
          </w:tcPr>
          <w:p>
            <w:pPr>
              <w:pStyle w:val="TableContents"/>
              <w:bidi w:val="0"/>
              <w:spacing w:before="0" w:after="283"/>
              <w:jc w:val="left"/>
              <w:rPr/>
            </w:pPr>
            <w:r>
              <w:rPr/>
              <w:t>Weighted average shares outstanding – Basic*</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15,336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15,336</w:t>
            </w:r>
          </w:p>
        </w:tc>
        <w:tc>
          <w:tcPr>
            <w:tcW w:w="135" w:type="dxa"/>
            <w:tcBorders/>
            <w:shd w:fill="FFFFFF" w:val="clear"/>
            <w:vAlign w:val="center"/>
          </w:tcPr>
          <w:p>
            <w:pPr>
              <w:pStyle w:val="TableContents"/>
              <w:bidi w:val="0"/>
              <w:spacing w:before="0" w:after="283"/>
              <w:jc w:val="left"/>
              <w:rPr/>
            </w:pPr>
            <w:r>
              <w:rPr/>
              <w:t> </w:t>
            </w:r>
          </w:p>
        </w:tc>
      </w:tr>
      <w:tr>
        <w:trPr/>
        <w:tc>
          <w:tcPr>
            <w:tcW w:w="5970" w:type="dxa"/>
            <w:tcBorders/>
            <w:shd w:fill="CCEEFF" w:val="clear"/>
            <w:vAlign w:val="center"/>
          </w:tcPr>
          <w:p>
            <w:pPr>
              <w:pStyle w:val="TableContents"/>
              <w:bidi w:val="0"/>
              <w:spacing w:before="0" w:after="283"/>
              <w:jc w:val="left"/>
              <w:rPr/>
            </w:pPr>
            <w:r>
              <w:rPr/>
              <w:t>- diluted</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1,083,340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1,083,340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w:t>
            </w:r>
          </w:p>
        </w:tc>
        <w:tc>
          <w:tcPr>
            <w:tcW w:w="998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proforma comprehensive income and earning per share table as of December 31, 2025 is presented here to reflect the financial impact of material subsequent events until the date of this Prospectus.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existing shareholder audited column, 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in March 2026 of 1 share for every 4 shares issued and in July 2026 of 1 share for every 3 shares issued respectively.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Proforma adjustment is made to reflect that the Company made an unrealized gain of $3,000,000 in the 2% equity investment in PredicXion and realized a loss of $4,008,103 with the Amendment and Exchange Agreement with JAK Opportunities VI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k_012"/>
      <w:bookmarkEnd w:id="13"/>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results of operations and financial condition should be read together with our consolidated financial statements and the notes thereto and other financial information, which are included elsewhere in this registration statement. Our financial statements have been prepared in accordance with U.S. generally accepted accounting principles (“U.S. GAAP”). In addition, our financial statements and the financial information included in this registration statement reflect our organizational transactions and have been prepared as if our current corporate structure had been in place throughout the relevant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contains forward-looking statements. These forward-looking statements are subject to various factors, risks and uncertainties that could cause actual results to differ materially from those reflected in these forward-looking statements. Further, as a result of these factors, risks and uncertainties, the forward-looking events may not occur. Relevant factors, risks and uncertainties include, but are not limited to, those discussed in the section entitled “Business,” “Risk Factors” and elsewhere in this registration statement. Readers are cautioned not to place undue reliance on forward-looking statements, which reflect management’s beliefs and opinions as of the date of this registration statement. We are not obligated to publicly update or revise any forward -looking statements, whether as a result of new information, future events or otherwise. See “Cautionary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an assisted reproductive services (“ARS”) provider in Asia Pacific. Since the establishment of its first clinic in Thailand in 2014, it has established itself as a long-standing ARS provider in the region. NewGenIvf’s mission is to assist couples and individuals across Asia Pacific, regardless of fertility challenges that they may face, to fulfil their dreams of building families and to increase their access to fertility treatments. Its strategic presence in Thailand, Cambodia, and Kyrgyzstan positions the company to take advantage of opportunities across Asia Pacific.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still in the early stage of materializing its long-term objective of building a comprehensive, sophisticated and high-end ARS platform for its clients and providing personalized solutions based on NewGenIvf’s brands and client-generated services. NewGenIvf plans to offer full fertility services for fertility tourists across Asia Pacific, continue to invest in laboratories and facilities updates, increase its brand awareness and market share, as well as expand service reach through acquisitions and partnerships, which NewGenIvf believes will help expand its client base and enhance expertise attraction, and in turn strengthen NewGenIvf’s monetization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NewGenIvf’s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results of operation are principally affected by the following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ARS market in Asia-Pacific region is highly regulated. The implementation and enforcement of laws, regulations and government policies in Thailand, Cambodia, Kyrgyzstan and other applicable jurisdictions significantly impact the design, pricing and sale of fertility services and cost of compliance for clinics across Asia Pacific. Medical facilities providing fertility services generally must be filed and registered with the relevant supervision institutions and such filing and registration must be renewed periodically. Any change in laws, regulations or policies in relation to such filing or registration could affect NewGenIvf’s ability and plans to launch new services and renew registration for existing services. The regulatory framework for medical facilities and services, especially those involving ARS, is, and will continue, evolving. Any changes in the applicable regulatory frameworks in the jurisdictions where NewGenIvf operates may materially affect its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and competitive landscape of Asia Pacific’s ARS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has historically been primarily derived from clients in Asia Pacific. As such, NewGenIvf’s financial performance and future growth depend primarily on the demand for ARS, as well as changes in its competitive landscape, in Asia Pacific. Population growth, infertility rates, and demand for facility treatments in the region will ultimately determine the demand for NewGenIvf’s services. According to CIC, infertility is increasingly becoming prevalent globally, primarily driven by increasing average age of first birth, as well as various lifestyle and environmental factors. Driven by an increased infertility rate and growing demand for children without birth defects, resulting from improving living standards and improved awareness about birth defects and prevention, the global ARS market is expected to continue to grow. Furthermore, according to CIC, a growing number of governments around the world has granted legal recognition to same-sex marriages, which brings more desires for having children to form a complete family. According to CIC, because of the fertility rate and recent government incentive policies, such as the Three-child Policy of China in 2021, the ARS market increased significantly in Asia Pacific. Leveraging its status as a long-standing ARS provider in Asia Pacific, NewGenIvf expects to continue to be well positioned to capture the expected growth in the demand for ARS in the area.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NewGenIvf owns and uses MicroSort technology in Thailand and Cambodia, which is a form of pre-conception gender selection technology for humans. While NewGenIvf expects to benefit from first-mover advantages for this technology in the two regions, market entry by potential competitors or faster-than-expected development of potential competitors may affect its market position and demand for its services and cause downward pricing pressure on its treatments, which may in turn materially and adversely affect its results of operations. Meanwhile, ARS market could also be affected by the macroeconomic environment and geopolitical events. Uncertainty in the macroeconomic environment and the outbreak of US and Israel war with Iran in March 2026, resulting from a range of events and trends, including the rise in global inflation and interest rates, supply chain disruptions, geopolitical pressures, including the unknown impact of current and future trade regulations, changes in Asian-Pacific relations, fluctuation in foreign exchange rates, and associated global economic conditions may result in volatility in ARS market and NewGenIvf’s operating performance. For example, NewGenIvf derives a substantial portion of its revenue from Chinese clients and as such, its failure to maintain PRC-sourced revenues and access to new and existing clients from the PRC could materially and adversely affect its results of operations and competitive position. However, the near-term growth prospects of the PRC economy are unclear due to the uncertain effects of ongoing economic stress caused by trade and national security policies, and the elevated levels of private and public indebtedness, among others. A prolonged downturn or slow-growth in the PRC economy generally could materially and adversely affect NewGenIvf’s results of operations and there is a significant likelihood that NewGenIvf’s actual results over the time periods and under the scenarios covered by the projections would be different.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 of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costs primarily include clinic costs, cost of goods sold, selling and marketing expenses and general and administrative expenses, details of which are set out below.</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i/>
                <w:sz w:val="20"/>
              </w:rPr>
              <w:t>Clinic costs. </w:t>
            </w:r>
            <w:r>
              <w:rPr>
                <w:sz w:val="20"/>
              </w:rPr>
              <w:t>NewGenIvf’s clinic costs primarily consisted of sub-contracting charges, office supplies and staff salaries and bonus, most of which are recognized during the provision of IVF services. Its clinic costs represented approximately 54.8% and 66.6% of its revenue for the years ended December 31, 2024 and 2025, respectively. As NewGenIvf gradually expands the scale of its operation and presence in Asia Pacific, its clinic costs is expected to increase in the foreseeable future, which will affect its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i/>
                <w:sz w:val="20"/>
              </w:rPr>
              <w:t>Cost of goods sold. </w:t>
            </w:r>
            <w:r>
              <w:rPr>
                <w:sz w:val="20"/>
              </w:rPr>
              <w:t>NewGenIvf’s cost of goods sold primarily consisted of purchase and direct cost for IVF treatment services and surrogacy and ancillary caring services, most of which are recognized during the provision of IVF treatment services. Its cost of goods sold represented approximately 11.6% and 13.2% of the revenue for the years ended December 31, 2024 and 2025, respectively. NewGenIvf expects its cost of goods sold to increase in the foreseeable future as it gradually grows its revenues and expand its sales network.</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i/>
                <w:sz w:val="20"/>
              </w:rPr>
              <w:t>Selling and marketing expenses. </w:t>
            </w:r>
            <w:r>
              <w:rPr>
                <w:sz w:val="20"/>
              </w:rPr>
              <w:t>NewGenIvf’s selling and marketing expenses primarily consisted of social media expense. Its selling and marketing expenses represented approximately 3.8% and 25.2% of its revenue for the years ended December 31, 2024 and 2025, respectively. NewGenIvf expects its selling and marketing expenses to increase as it plans to expand its sales and scale its operation in Asia-Pacific.</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i/>
                <w:sz w:val="20"/>
              </w:rPr>
              <w:t>General and administrative expenses. </w:t>
            </w:r>
            <w:r>
              <w:rPr>
                <w:sz w:val="20"/>
              </w:rPr>
              <w:t>NewGenIvf’s general and administrative expenses primarily consisted of write-off of agency deposit, legal and professional fees, depreciation in operating lease right-of-use (“ROU”) assets, staff salaries and director fees. Its general and administrative expenses represented approximately 51.2% and 222.01% of its revenue for the years ended December 31, 2024 and 2025, respectively. NewGenIvf expects its general and administrative expenses to increase in line with its expansion plan.</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expects its cost structure to evolve as it develops and expands its business. As NewGenIvf continues to develop new services and technologies, NewGenIvf expects to incur additional costs in relation to its raw materials procurement, production and sales and marketing, among other things. Moreover, to support NewGenIvf’s business growth, it expects to increase its headcount, particularly for its lab and nurse team, and incur higher staff costs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maintain trust of clients and reputation in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NewGenIvf’s business will depend to a large extent on its ability to gain broad acceptance of its services from clients. Reputation is crucial in keeping existing clients and attracting new clients. NewGenIvf’s reputation depends on a number of factors, including for example the success, effectiveness, quality and pricing of its services, service offerings of its competitors, the effectiveness of its marketing efforts to drive awareness and the demand for fertility services, which eventually will affect its ability to maintain clients and attract new clients. Therefore, NewGenIvf’s success will depend to a large extent on its ability to maintain its reputation in the industry and its clients’ trust, which would affect the number of its clients and treatment cycles that will in turn affect its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the medical facilities in its network are increasingly recognized among clients, for their service quality, technological expertise and patient experience. NewGenIvf also hopes to keep its clients by providing discounts in treatment services and via the “success guarantee” program for egg donation services in Cambodia and surrogacy services in Kyrgyzstan, which provides treatments to clients until a success is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increasingly recognized reputation, NewGenIvf believes that there is substantial opportunity to continue to grow its revenue through attracting new clients. NewGenIvf’s addressable market is couples who want to have children, egg freezing patients, LGBT groups and couples with genetic abnormalities, particularly those in Asia Pacific. NewGenIvf believes that its current client base represents a small percentage of its total market opportunity. NewGenIvf intends to attract new clients by, among other things, making significant investments in sales and marketing to engage, educate and drive awareness of the unmet need of fertility treatment among its potential clients and by its customer-reference discounts mechanism. Additionally, NewGenIvf believes that its expanding presence has resulted in a heightened awareness of the need to offer fertility services and the value it provides to its clients, which it believes will help facilitate its growth. In addition, NewGenIvf is continuously utilizing its established client relationships to evaluate other potential services that could benefit its clients and simultaneously drive its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traveling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from international clients is a critical component of NewGenIvf’s revenue. International traveling to Thailand, Cambodia and Kyrgyzstan may be affected by a number of factors, including local and global political, economic and cultural conditions. In </w:t>
      </w:r>
      <w:r>
        <w:rPr>
          <w:rFonts w:ascii="Times New Roman;Times;Serif" w:hAnsi="Times New Roman;Times;Serif"/>
          <w:b/>
          <w:i w:val="false"/>
          <w:caps w:val="false"/>
          <w:smallCaps w:val="false"/>
          <w:sz w:val="20"/>
        </w:rPr>
        <w:t>Thailand</w:t>
      </w:r>
      <w:r>
        <w:rPr>
          <w:rFonts w:ascii="Times New Roman;Times;Serif" w:hAnsi="Times New Roman;Times;Serif"/>
          <w:b w:val="false"/>
          <w:i w:val="false"/>
          <w:caps w:val="false"/>
          <w:smallCaps w:val="false"/>
          <w:sz w:val="20"/>
        </w:rPr>
        <w:t>, the political landscape has recently consolidated under a conservative government following February 2026 elections, with Prime Minister Anutin Charnvirakul’s Bhumjaithai Party securing victory by emphasizing nationalism and border security amid ongoing tensions with Cambodia. These border disputes have prompted multiple governments, including Austria and the UK, to issue advisories warning against travel to the Thai-Cambodia border region and parts of southern Thailand. In </w:t>
      </w:r>
      <w:r>
        <w:rPr>
          <w:rFonts w:ascii="Times New Roman;Times;Serif" w:hAnsi="Times New Roman;Times;Serif"/>
          <w:b/>
          <w:i w:val="false"/>
          <w:caps w:val="false"/>
          <w:smallCaps w:val="false"/>
          <w:sz w:val="20"/>
        </w:rPr>
        <w:t>Cambodia</w:t>
      </w:r>
      <w:r>
        <w:rPr>
          <w:rFonts w:ascii="Times New Roman;Times;Serif" w:hAnsi="Times New Roman;Times;Serif"/>
          <w:b w:val="false"/>
          <w:i w:val="false"/>
          <w:caps w:val="false"/>
          <w:smallCaps w:val="false"/>
          <w:sz w:val="20"/>
        </w:rPr>
        <w:t>, authorities strongly assert the country remains “safe, secure, and stable” for tourists, with major destinations like Phnom Penh and Siem Reap operating normally despite diplomatic tensions with Thailand. However, the government has made defending territorial integrity its “highest priority” as it seeks international attention regarding the border dispute. In </w:t>
      </w:r>
      <w:r>
        <w:rPr>
          <w:rFonts w:ascii="Times New Roman;Times;Serif" w:hAnsi="Times New Roman;Times;Serif"/>
          <w:b/>
          <w:i w:val="false"/>
          <w:caps w:val="false"/>
          <w:smallCaps w:val="false"/>
          <w:sz w:val="20"/>
        </w:rPr>
        <w:t>Kyrgyzstan</w:t>
      </w:r>
      <w:r>
        <w:rPr>
          <w:rFonts w:ascii="Times New Roman;Times;Serif" w:hAnsi="Times New Roman;Times;Serif"/>
          <w:b w:val="false"/>
          <w:i w:val="false"/>
          <w:caps w:val="false"/>
          <w:smallCaps w:val="false"/>
          <w:sz w:val="20"/>
        </w:rPr>
        <w:t>, travelers face a different set of considerations, including recent security agency restructuring and detentions that signal political consolidation at the highest levels. The Chinese embassy has advised visitors to exercise heightened vigilance, respect local laws, avoid border areas prone to natural hazards, and be aware of potential scams, reflecting ongoing regional stability concerns. The recent war involving the US, Israel, and Iran has severely disrupted international travel, beginning with the immediate closure of airspace over several Middle Eastern countries and the suspension of flights through critical hubs like Dubai and Doha, which has stranded hundreds of thousands of passengers. This has forced airlines to cancel thousands of flights or take longer, more expensive routes, leading to a surge in ticket prices and the imposition of new fuel surcharges that are affecting travelers globally. Governments have responded by issuing widespread “do not travel” warnings for the region and organizing evacuations, while embassies have halted routine visa services, further complicating international mobility. The compounded effect is a climate of uncertainty where even trips not destined for the Middle East face potential delays, higher costs, and complex rebooking challenges. Together, these factors create a dynamic travel environment where regional tensions, domestic politics, and economic conditions intersect to shape the risk landscape for international visitors. These conditions may cause NewGenIvf difficulty in attracting clients from the PRC to travel to Thailand, Cambodia and Kyrgyzstan for NewGenIvf’s services, which could materially and adversely affect NewGenIvf’s operations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revenues were derived from two types of services: IVF treatment services and surrogacy and ancillary caring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NewGenIvf’s revenue by the types of services, in absolute amounts and as percentages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2345"/>
        <w:gridCol w:w="90"/>
        <w:gridCol w:w="90"/>
        <w:gridCol w:w="1010"/>
        <w:gridCol w:w="90"/>
        <w:gridCol w:w="90"/>
        <w:gridCol w:w="90"/>
        <w:gridCol w:w="590"/>
        <w:gridCol w:w="90"/>
        <w:gridCol w:w="90"/>
        <w:gridCol w:w="90"/>
        <w:gridCol w:w="1010"/>
        <w:gridCol w:w="90"/>
        <w:gridCol w:w="90"/>
        <w:gridCol w:w="90"/>
        <w:gridCol w:w="590"/>
        <w:gridCol w:w="135"/>
      </w:tblGrid>
      <w:tr>
        <w:trPr/>
        <w:tc>
          <w:tcPr>
            <w:tcW w:w="23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1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sz w:val="20"/>
              </w:rPr>
            </w:pPr>
            <w:r>
              <w:rPr>
                <w:sz w:val="20"/>
              </w:rPr>
              <w:t>IVF treatment services</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5,433,375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3,905,863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82.6</w:t>
            </w:r>
          </w:p>
        </w:tc>
        <w:tc>
          <w:tcPr>
            <w:tcW w:w="13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Fertility referral services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820,570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17.4</w:t>
            </w:r>
          </w:p>
        </w:tc>
        <w:tc>
          <w:tcPr>
            <w:tcW w:w="13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b/>
              </w:rPr>
            </w:pPr>
            <w:r>
              <w:rPr>
                <w:b/>
              </w:rPr>
              <w:t>Total revenues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5,433,375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4,726,433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sz w:val="20"/>
              </w:rPr>
            </w:pPr>
            <w:r>
              <w:rPr>
                <w:sz w:val="20"/>
              </w:rPr>
              <w:t>(1)</w:t>
            </w:r>
          </w:p>
        </w:tc>
        <w:tc>
          <w:tcPr>
            <w:tcW w:w="9944" w:type="dxa"/>
            <w:tcBorders/>
            <w:vAlign w:val="center"/>
          </w:tcPr>
          <w:p>
            <w:pPr>
              <w:pStyle w:val="TableContents"/>
              <w:bidi w:val="0"/>
              <w:spacing w:before="0" w:after="283"/>
              <w:jc w:val="both"/>
              <w:rPr>
                <w:sz w:val="20"/>
              </w:rPr>
            </w:pPr>
            <w:r>
              <w:rPr>
                <w:sz w:val="20"/>
              </w:rPr>
              <w:t>Include an insignificant amount of revenue derived from consultation customers who used NewGenIvf’s non-IVF treatment and insignificant services, such as check-ups services, blood test services and other minor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revenue from facilities located in various geographic regions. The following table sets forth a breakdown of NewGenIvf’s revenue based on the locations where the revenue originated, in absolute amounts and as percentages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595"/>
        <w:gridCol w:w="90"/>
        <w:gridCol w:w="90"/>
        <w:gridCol w:w="1010"/>
        <w:gridCol w:w="90"/>
        <w:gridCol w:w="90"/>
        <w:gridCol w:w="90"/>
        <w:gridCol w:w="590"/>
        <w:gridCol w:w="90"/>
        <w:gridCol w:w="90"/>
        <w:gridCol w:w="90"/>
        <w:gridCol w:w="1010"/>
        <w:gridCol w:w="90"/>
        <w:gridCol w:w="90"/>
        <w:gridCol w:w="90"/>
        <w:gridCol w:w="710"/>
        <w:gridCol w:w="135"/>
      </w:tblGrid>
      <w:tr>
        <w:trPr/>
        <w:tc>
          <w:tcPr>
            <w:tcW w:w="1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2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China/HK SAR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41,555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0.9</w:t>
            </w:r>
          </w:p>
        </w:tc>
        <w:tc>
          <w:tcPr>
            <w:tcW w:w="135"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283"/>
              <w:jc w:val="left"/>
              <w:rPr/>
            </w:pPr>
            <w:r>
              <w:rPr/>
              <w:t>Kyrgyzstan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2,656,596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48.9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2,312,348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48.9</w:t>
            </w:r>
          </w:p>
        </w:tc>
        <w:tc>
          <w:tcPr>
            <w:tcW w:w="135"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U.S.A.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45,480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w:t>
            </w:r>
          </w:p>
        </w:tc>
        <w:tc>
          <w:tcPr>
            <w:tcW w:w="135"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283"/>
              <w:jc w:val="left"/>
              <w:rPr/>
            </w:pPr>
            <w:r>
              <w:rPr/>
              <w:t>Cambodia</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601,526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11.1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635,188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13.4</w:t>
            </w:r>
          </w:p>
        </w:tc>
        <w:tc>
          <w:tcPr>
            <w:tcW w:w="135"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Thailand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2,175,253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1,691,862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35.8</w:t>
            </w:r>
          </w:p>
        </w:tc>
        <w:tc>
          <w:tcPr>
            <w:tcW w:w="135"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283"/>
              <w:jc w:val="left"/>
              <w:rPr>
                <w:b/>
              </w:rPr>
            </w:pPr>
            <w:r>
              <w:rPr>
                <w:b/>
              </w:rPr>
              <w:t>Total revenues</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4,726,433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results are affected by, among others, changes in sales price and the fluctuation of foreign currency rates with US dollars. Based on the breakdown of the revenue contribution in terms of currencies used by customers for 2025, a 10% change in foreign currency rates with US dollars would cause approximately 9.99% change in NewGenIvf’s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revenue from IVF treatment services provided at facilities that NewGenIvf operated in Thailand and Cambodia. In addition, NewGenIvf’s revenue from IVF treatment service amounted to US$5,433,375 and US$3,905,863, representing approximately 100% and 82.6% of its total revenues in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 involves the performance of a series of medical treatment and procedures and eventually brings benefits to clients when embryo is successfully implanted. Revenue from IVF treatment is recognized at a point in time when different treatment and/or procedure completed in clinic. The completion of the respective treatments and/or procedures are evidenced by treatment cards and reports maintained in the patient files indicating successful completion of respective promised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generated revenue of US$820,570 from fertility referral services, approximately 17.4% of its total revenue in 2025. Fertility referral service revenue is recognized at a point in time when the customers are referred to our agents and commission is received from 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NewGenIvf’s cost of revenue by the nature of the cost, in absolute amounts and as percentages of total cost of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270"/>
        <w:gridCol w:w="90"/>
        <w:gridCol w:w="90"/>
        <w:gridCol w:w="1010"/>
        <w:gridCol w:w="90"/>
        <w:gridCol w:w="90"/>
        <w:gridCol w:w="90"/>
        <w:gridCol w:w="590"/>
        <w:gridCol w:w="90"/>
        <w:gridCol w:w="90"/>
        <w:gridCol w:w="90"/>
        <w:gridCol w:w="1010"/>
        <w:gridCol w:w="90"/>
        <w:gridCol w:w="90"/>
        <w:gridCol w:w="90"/>
        <w:gridCol w:w="590"/>
        <w:gridCol w:w="135"/>
      </w:tblGrid>
      <w:tr>
        <w:trPr/>
        <w:tc>
          <w:tcPr>
            <w:tcW w:w="2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1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b/>
              </w:rPr>
            </w:pPr>
            <w:r>
              <w:rPr>
                <w:b/>
              </w:rPr>
              <w:t>Cost of revenues</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Cost of goods sold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629,620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622,386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16.5</w:t>
            </w:r>
          </w:p>
        </w:tc>
        <w:tc>
          <w:tcPr>
            <w:tcW w:w="13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Clinic costs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2,976,861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82.5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3,148,201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83.5</w:t>
            </w:r>
          </w:p>
        </w:tc>
        <w:tc>
          <w:tcPr>
            <w:tcW w:w="13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b/>
              </w:rPr>
            </w:pPr>
            <w:r>
              <w:rPr>
                <w:b/>
              </w:rPr>
              <w:t>Total cost of revenues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3,606,481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3,770,587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Cost of goods sold. </w:t>
      </w:r>
      <w:r>
        <w:rPr>
          <w:rFonts w:ascii="Times New Roman;Times;Serif" w:hAnsi="Times New Roman;Times;Serif"/>
          <w:b w:val="false"/>
          <w:i w:val="false"/>
          <w:caps w:val="false"/>
          <w:smallCaps w:val="false"/>
          <w:sz w:val="20"/>
        </w:rPr>
        <w:t>Cost of goods sold primarily consisted of purchase and direct cost for IVF treatment services and ancillary caring services. NewGenIvf’s cost of goods was mostly recognized during the provision of 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Clinic costs. </w:t>
      </w:r>
      <w:r>
        <w:rPr>
          <w:rFonts w:ascii="Times New Roman;Times;Serif" w:hAnsi="Times New Roman;Times;Serif"/>
          <w:b w:val="false"/>
          <w:i w:val="false"/>
          <w:caps w:val="false"/>
          <w:smallCaps w:val="false"/>
          <w:sz w:val="20"/>
        </w:rPr>
        <w:t>Clinic costs primarily consisted of sub-contracting charges, office supplies and staff salaries and bonus of NewGenIvf’s clinics. Sub-contracting charges represented fees paid to agents who supervised and managed the whole IVF services for customers who utilized third party independent clinics, recruited surrogate mothers and assisted in the documentation, consulting and medical treatment arrangement throughout treatment procedure of surrogacy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gross profit in absolute amounts and its gross margin as percentages of total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1190"/>
        <w:gridCol w:w="90"/>
        <w:gridCol w:w="90"/>
        <w:gridCol w:w="1010"/>
        <w:gridCol w:w="90"/>
        <w:gridCol w:w="90"/>
        <w:gridCol w:w="90"/>
        <w:gridCol w:w="470"/>
        <w:gridCol w:w="90"/>
        <w:gridCol w:w="90"/>
        <w:gridCol w:w="90"/>
        <w:gridCol w:w="1010"/>
        <w:gridCol w:w="90"/>
        <w:gridCol w:w="90"/>
        <w:gridCol w:w="90"/>
        <w:gridCol w:w="470"/>
        <w:gridCol w:w="135"/>
      </w:tblGrid>
      <w:tr>
        <w:trPr/>
        <w:tc>
          <w:tcPr>
            <w:tcW w:w="1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1,826,894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33.6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955,846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20.2</w:t>
            </w:r>
          </w:p>
        </w:tc>
        <w:tc>
          <w:tcPr>
            <w:tcW w:w="13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b/>
              </w:rPr>
            </w:pPr>
            <w:r>
              <w:rPr>
                <w:b/>
              </w:rPr>
              <w:t>Revenues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b/>
              </w:rPr>
            </w:pPr>
            <w:r>
              <w:rPr>
                <w:b/>
              </w:rPr>
              <w:t>5,433,375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b/>
              </w:rPr>
            </w:pPr>
            <w:r>
              <w:rPr>
                <w:b/>
              </w:rPr>
              <w:t>4,726,433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expects that gross profit and gross margin will continue to be affected by various factors including the geographic locations where treatments are performed, as well as the pricing with its clients, agent subcontracting charges and the costs of the supplies provided by major pharmaceutical companies, all of which are negotiated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operating expenses consist of selling and marketing expenses and general and administrative expenses. NewGenIvf’s selling and marketing expenses are primarily social media expenses. NewGenIvf’s general and administrative expenses mainly include depreciation in operating lease ROU assets, consultant and legal fees, embedded derivative fair value expense, write off of certain receivables and staff salaries.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other income consists primarily of bargain purchase gain on acquisition of the MicroSort and Nodexus businesses, offset partially by the losses arising from investment in digital assets and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interest expense is incurred mainly in relation to its interest-bearing convertible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British Virgin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incorporated in the British Virgin Islands and is not subject to tax on income or capital gains under current British Virgin Islands law. In addition, upon payment of dividends to shareholders, no British Virgin Islands withholding tax will be imposed.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two-tiered profits tax rates regime, Hong Kong tax residents are subject to Hong Kong profits tax in respect of profits arising in or derived from Hong Kong at 8.25% for the first HK$2 million of profits of the qualifying group entity, and profits above HK$2 million will be taxed at 16.5%. The profits of group entities not qualifying for the two-tiered profits tax rates regime will continue to be taxed at a flat rate of 16.5%.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Hong Kong profits tax is calculated at 8.25% on the first HK$2 million of the estimated assessable profits and at 16.5% on the remaining estimated assessable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incorporated in Thailand are taxed on worldwide income. A company incorporated outside of Thailand is taxed on its profits arising from or in consequence of the business carried on in Thailand. The Thailand corporate income tax rate is 20%. A foreign company not carrying on business in Thailand is subject to a final withholding tax on certain types of assessable income (e.g., interest, dividends, royalties, rentals, and service fees) paid from or in Thailand. The rate of withholding tax is generally 15%, except for dividends, which is 10%, while other rates may apply under the provisions of a double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rate of corporate income tax for companies and permanent establishments in Cambodia who are classified as medium and large taxpayers is 20%. For companies and permanent establishments who are classified as small taxpayers, the corporate income tax rates are progressive rates from 0% to 20%. In view of the annual turnover of the company, which ranges from KHR1 billion to KHR6 billion for service and commercial sectors, the company is considered a medium-sized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Non-resident legal entities carrying out business activities through a permanent establishment in Kyrgyzstan are subject to profit tax on the income attributed to the activities of that permanent establishments. Profit tax is calculated at a rate of 10% of aggregate annual income less allowed deductions.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U.S.A</w:t>
      </w:r>
      <w:r>
        <w:rPr>
          <w:rFonts w:ascii="Times New Roman;Times;Serif" w:hAnsi="Times New Roman;Times;Serif"/>
          <w:b w:val="false"/>
          <w:i w:val="false"/>
          <w:caps w:val="false"/>
          <w:smallCaps w:val="false"/>
          <w:sz w:val="20"/>
        </w:rPr>
        <w:t>.</w:t>
      </w:r>
    </w:p>
    <w:p>
      <w:pPr>
        <w:pStyle w:val="TextBody"/>
        <w:bidi w:val="0"/>
        <w:spacing w:before="0" w:after="0"/>
        <w:ind w:left="0" w:right="0" w:firstLine="567"/>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from its U.S. operations at a flat 21% on net income. In addition to federal obligations, there is a graduated state income tax rate that applies to corporate income, with a top rate of 6.6% on income over $60,000. Moreover, when the Company’s US operation pays a dividend to its offshore parent company, the payment is generally subject to a US federal withholding tax, typically at a statutory rate of 30% on the gross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63"/>
        <w:gridCol w:w="90"/>
        <w:gridCol w:w="90"/>
        <w:gridCol w:w="1085"/>
        <w:gridCol w:w="125"/>
        <w:gridCol w:w="90"/>
        <w:gridCol w:w="90"/>
        <w:gridCol w:w="1205"/>
        <w:gridCol w:w="167"/>
      </w:tblGrid>
      <w:tr>
        <w:trPr/>
        <w:tc>
          <w:tcPr>
            <w:tcW w:w="726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67" w:type="dxa"/>
            <w:tcBorders/>
            <w:vAlign w:val="center"/>
          </w:tcPr>
          <w:p>
            <w:pPr>
              <w:pStyle w:val="TableContents"/>
              <w:bidi w:val="0"/>
              <w:spacing w:before="0" w:after="283"/>
              <w:jc w:val="left"/>
              <w:rPr/>
            </w:pPr>
            <w:r>
              <w:rPr/>
              <w:t> </w:t>
            </w:r>
          </w:p>
        </w:tc>
      </w:tr>
      <w:tr>
        <w:trPr/>
        <w:tc>
          <w:tcPr>
            <w:tcW w:w="726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7" w:type="dxa"/>
            <w:tcBorders/>
            <w:vAlign w:val="center"/>
          </w:tcPr>
          <w:p>
            <w:pPr>
              <w:pStyle w:val="TableContents"/>
              <w:bidi w:val="0"/>
              <w:spacing w:before="0" w:after="283"/>
              <w:jc w:val="left"/>
              <w:rPr/>
            </w:pPr>
            <w:r>
              <w:rPr/>
              <w:t> </w:t>
            </w:r>
          </w:p>
        </w:tc>
      </w:tr>
      <w:tr>
        <w:trPr/>
        <w:tc>
          <w:tcPr>
            <w:tcW w:w="726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85"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67"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b/>
              </w:rPr>
            </w:pPr>
            <w:r>
              <w:rPr>
                <w:b/>
              </w:rPr>
              <w:t>Revenues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5,433,375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4,726,433</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shd w:fill="FFFFFF" w:val="clear"/>
            <w:vAlign w:val="center"/>
          </w:tcPr>
          <w:p>
            <w:pPr>
              <w:pStyle w:val="TableContents"/>
              <w:bidi w:val="0"/>
              <w:spacing w:before="0" w:after="283"/>
              <w:jc w:val="left"/>
              <w:rPr/>
            </w:pPr>
            <w:r>
              <w:rPr/>
              <w:t>Cost of revenues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(3,606,481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(3,770,587</w:t>
            </w:r>
          </w:p>
        </w:tc>
        <w:tc>
          <w:tcPr>
            <w:tcW w:w="167" w:type="dxa"/>
            <w:tcBorders/>
            <w:shd w:fill="FFFFFF" w:val="clear"/>
            <w:vAlign w:val="center"/>
          </w:tcPr>
          <w:p>
            <w:pPr>
              <w:pStyle w:val="TableContents"/>
              <w:bidi w:val="0"/>
              <w:spacing w:before="0" w:after="283"/>
              <w:ind w:left="0" w:right="0" w:hanging="180"/>
              <w:jc w:val="left"/>
              <w:rPr/>
            </w:pPr>
            <w:r>
              <w:rPr/>
              <w:t>)</w:t>
            </w:r>
          </w:p>
        </w:tc>
      </w:tr>
      <w:tr>
        <w:trPr/>
        <w:tc>
          <w:tcPr>
            <w:tcW w:w="7263" w:type="dxa"/>
            <w:tcBorders/>
            <w:shd w:fill="CCEEFF" w:val="clear"/>
            <w:vAlign w:val="center"/>
          </w:tcPr>
          <w:p>
            <w:pPr>
              <w:pStyle w:val="TableContents"/>
              <w:bidi w:val="0"/>
              <w:spacing w:before="0" w:after="283"/>
              <w:jc w:val="left"/>
              <w:rPr>
                <w:b/>
              </w:rPr>
            </w:pPr>
            <w:r>
              <w:rPr>
                <w:b/>
              </w:rPr>
              <w:t>Gross profit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1,826,894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955,846</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b/>
              </w:rPr>
            </w:pPr>
            <w:r>
              <w:rPr>
                <w:b/>
              </w:rPr>
              <w:t>Operating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shd w:fill="FFFFFF" w:val="clear"/>
            <w:vAlign w:val="center"/>
          </w:tcPr>
          <w:p>
            <w:pPr>
              <w:pStyle w:val="TableContents"/>
              <w:bidi w:val="0"/>
              <w:spacing w:before="0" w:after="283"/>
              <w:jc w:val="left"/>
              <w:rPr/>
            </w:pPr>
            <w:r>
              <w:rPr/>
              <w:t>Selling and marketing expenses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(206,314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(1,188,711</w:t>
            </w:r>
          </w:p>
        </w:tc>
        <w:tc>
          <w:tcPr>
            <w:tcW w:w="167" w:type="dxa"/>
            <w:tcBorders/>
            <w:shd w:fill="FFFFFF" w:val="clear"/>
            <w:vAlign w:val="center"/>
          </w:tcPr>
          <w:p>
            <w:pPr>
              <w:pStyle w:val="TableContents"/>
              <w:bidi w:val="0"/>
              <w:spacing w:before="0" w:after="283"/>
              <w:ind w:left="0" w:right="0" w:hanging="180"/>
              <w:jc w:val="left"/>
              <w:rPr/>
            </w:pPr>
            <w:r>
              <w:rPr/>
              <w:t>)</w:t>
            </w:r>
          </w:p>
        </w:tc>
      </w:tr>
      <w:tr>
        <w:trPr/>
        <w:tc>
          <w:tcPr>
            <w:tcW w:w="7263"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(2,781,075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(10,493,596</w:t>
            </w:r>
          </w:p>
        </w:tc>
        <w:tc>
          <w:tcPr>
            <w:tcW w:w="167" w:type="dxa"/>
            <w:tcBorders/>
            <w:shd w:fill="CCEEFF" w:val="clear"/>
            <w:vAlign w:val="center"/>
          </w:tcPr>
          <w:p>
            <w:pPr>
              <w:pStyle w:val="TableContents"/>
              <w:bidi w:val="0"/>
              <w:spacing w:before="0" w:after="283"/>
              <w:ind w:left="0" w:right="0" w:hanging="180"/>
              <w:jc w:val="left"/>
              <w:rPr/>
            </w:pPr>
            <w:r>
              <w:rPr/>
              <w:t>)</w:t>
            </w:r>
          </w:p>
        </w:tc>
      </w:tr>
      <w:tr>
        <w:trPr/>
        <w:tc>
          <w:tcPr>
            <w:tcW w:w="726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b/>
                <w:sz w:val="20"/>
              </w:rPr>
            </w:pPr>
            <w:r>
              <w:rPr>
                <w:b/>
                <w:sz w:val="20"/>
              </w:rPr>
              <w:t>Total operating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(2,987,389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(11,682,306</w:t>
            </w:r>
          </w:p>
        </w:tc>
        <w:tc>
          <w:tcPr>
            <w:tcW w:w="167" w:type="dxa"/>
            <w:tcBorders/>
            <w:shd w:fill="CCEEFF" w:val="clear"/>
            <w:vAlign w:val="center"/>
          </w:tcPr>
          <w:p>
            <w:pPr>
              <w:pStyle w:val="TableContents"/>
              <w:bidi w:val="0"/>
              <w:spacing w:before="0" w:after="283"/>
              <w:ind w:left="0" w:right="0" w:hanging="180"/>
              <w:jc w:val="left"/>
              <w:rPr>
                <w:b/>
              </w:rPr>
            </w:pPr>
            <w:r>
              <w:rPr>
                <w:b/>
              </w:rPr>
              <w:t>)</w:t>
            </w:r>
          </w:p>
        </w:tc>
      </w:tr>
      <w:tr>
        <w:trPr/>
        <w:tc>
          <w:tcPr>
            <w:tcW w:w="726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b/>
              </w:rPr>
            </w:pPr>
            <w:r>
              <w:rPr>
                <w:b/>
              </w:rPr>
              <w:t>Operating (loss)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(1,160,495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(10,726,461</w:t>
            </w:r>
          </w:p>
        </w:tc>
        <w:tc>
          <w:tcPr>
            <w:tcW w:w="167" w:type="dxa"/>
            <w:tcBorders/>
            <w:shd w:fill="CCEEFF" w:val="clear"/>
            <w:vAlign w:val="center"/>
          </w:tcPr>
          <w:p>
            <w:pPr>
              <w:pStyle w:val="TableContents"/>
              <w:bidi w:val="0"/>
              <w:spacing w:before="0" w:after="283"/>
              <w:ind w:left="0" w:right="0" w:hanging="180"/>
              <w:jc w:val="left"/>
              <w:rPr>
                <w:b/>
              </w:rPr>
            </w:pPr>
            <w:r>
              <w:rPr>
                <w:b/>
              </w:rPr>
              <w:t>)</w:t>
            </w:r>
          </w:p>
        </w:tc>
      </w:tr>
      <w:tr>
        <w:trPr/>
        <w:tc>
          <w:tcPr>
            <w:tcW w:w="726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b/>
              </w:rPr>
            </w:pPr>
            <w:r>
              <w:rPr>
                <w:b/>
              </w:rPr>
              <w:t>Other income (expenses),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shd w:fill="FFFFFF" w:val="clear"/>
            <w:vAlign w:val="center"/>
          </w:tcPr>
          <w:p>
            <w:pPr>
              <w:pStyle w:val="TableContents"/>
              <w:bidi w:val="0"/>
              <w:spacing w:before="0" w:after="283"/>
              <w:jc w:val="left"/>
              <w:rPr/>
            </w:pPr>
            <w:r>
              <w:rPr/>
              <w:t>Other income (expense), net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971,391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(8,099</w:t>
            </w:r>
          </w:p>
        </w:tc>
        <w:tc>
          <w:tcPr>
            <w:tcW w:w="167" w:type="dxa"/>
            <w:tcBorders/>
            <w:shd w:fill="FFFFFF" w:val="clear"/>
            <w:vAlign w:val="center"/>
          </w:tcPr>
          <w:p>
            <w:pPr>
              <w:pStyle w:val="TableContents"/>
              <w:bidi w:val="0"/>
              <w:spacing w:before="0" w:after="283"/>
              <w:ind w:left="0" w:right="0" w:hanging="180"/>
              <w:jc w:val="left"/>
              <w:rPr/>
            </w:pPr>
            <w:r>
              <w:rPr/>
              <w:t>)</w:t>
            </w:r>
          </w:p>
        </w:tc>
      </w:tr>
      <w:tr>
        <w:trPr/>
        <w:tc>
          <w:tcPr>
            <w:tcW w:w="7263" w:type="dxa"/>
            <w:tcBorders/>
            <w:shd w:fill="CCEEFF" w:val="clear"/>
            <w:vAlign w:val="center"/>
          </w:tcPr>
          <w:p>
            <w:pPr>
              <w:pStyle w:val="TableContents"/>
              <w:bidi w:val="0"/>
              <w:spacing w:before="0" w:after="283"/>
              <w:jc w:val="left"/>
              <w:rPr/>
            </w:pPr>
            <w:r>
              <w:rPr/>
              <w:t>Bargain purchase gain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21,653,835</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shd w:fill="FFFFFF" w:val="clear"/>
            <w:vAlign w:val="center"/>
          </w:tcPr>
          <w:p>
            <w:pPr>
              <w:pStyle w:val="TableContents"/>
              <w:bidi w:val="0"/>
              <w:spacing w:before="0" w:after="283"/>
              <w:jc w:val="left"/>
              <w:rPr/>
            </w:pPr>
            <w:r>
              <w:rPr/>
              <w:t>Loss on digital assets, net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(332,480</w:t>
            </w:r>
          </w:p>
        </w:tc>
        <w:tc>
          <w:tcPr>
            <w:tcW w:w="167" w:type="dxa"/>
            <w:tcBorders/>
            <w:shd w:fill="FFFFFF" w:val="clear"/>
            <w:vAlign w:val="center"/>
          </w:tcPr>
          <w:p>
            <w:pPr>
              <w:pStyle w:val="TableContents"/>
              <w:bidi w:val="0"/>
              <w:spacing w:before="0" w:after="283"/>
              <w:ind w:left="0" w:right="0" w:hanging="180"/>
              <w:jc w:val="left"/>
              <w:rPr/>
            </w:pPr>
            <w:r>
              <w:rPr/>
              <w:t>)</w:t>
            </w:r>
          </w:p>
        </w:tc>
      </w:tr>
      <w:tr>
        <w:trPr/>
        <w:tc>
          <w:tcPr>
            <w:tcW w:w="7263" w:type="dxa"/>
            <w:tcBorders/>
            <w:shd w:fill="CCEEFF" w:val="clear"/>
            <w:vAlign w:val="center"/>
          </w:tcPr>
          <w:p>
            <w:pPr>
              <w:pStyle w:val="TableContents"/>
              <w:bidi w:val="0"/>
              <w:spacing w:before="0" w:after="283"/>
              <w:jc w:val="left"/>
              <w:rPr/>
            </w:pPr>
            <w:r>
              <w:rPr/>
              <w:t>Loss on financial assets,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(700,631</w:t>
            </w:r>
          </w:p>
        </w:tc>
        <w:tc>
          <w:tcPr>
            <w:tcW w:w="167" w:type="dxa"/>
            <w:tcBorders/>
            <w:shd w:fill="CCEEFF" w:val="clear"/>
            <w:vAlign w:val="center"/>
          </w:tcPr>
          <w:p>
            <w:pPr>
              <w:pStyle w:val="TableContents"/>
              <w:bidi w:val="0"/>
              <w:spacing w:before="0" w:after="283"/>
              <w:ind w:left="0" w:right="0" w:hanging="180"/>
              <w:jc w:val="left"/>
              <w:rPr/>
            </w:pPr>
            <w:r>
              <w:rPr/>
              <w:t>)</w:t>
            </w:r>
          </w:p>
        </w:tc>
      </w:tr>
      <w:tr>
        <w:trPr/>
        <w:tc>
          <w:tcPr>
            <w:tcW w:w="7263" w:type="dxa"/>
            <w:tcBorders/>
            <w:shd w:fill="FFFFFF" w:val="clear"/>
            <w:vAlign w:val="center"/>
          </w:tcPr>
          <w:p>
            <w:pPr>
              <w:pStyle w:val="TableContents"/>
              <w:bidi w:val="0"/>
              <w:spacing w:before="0" w:after="283"/>
              <w:jc w:val="left"/>
              <w:rPr/>
            </w:pPr>
            <w:r>
              <w:rPr/>
              <w:t>Gain on embedded derivative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456,731</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6,953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2,251</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shd w:fill="FFFFFF" w:val="clear"/>
            <w:vAlign w:val="center"/>
          </w:tcPr>
          <w:p>
            <w:pPr>
              <w:pStyle w:val="TableContents"/>
              <w:bidi w:val="0"/>
              <w:spacing w:before="0" w:after="283"/>
              <w:jc w:val="left"/>
              <w:rPr/>
            </w:pPr>
            <w:r>
              <w:rPr/>
              <w:t>Finance costs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(778,656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(616,423</w:t>
            </w:r>
          </w:p>
        </w:tc>
        <w:tc>
          <w:tcPr>
            <w:tcW w:w="167" w:type="dxa"/>
            <w:tcBorders/>
            <w:shd w:fill="FFFFFF" w:val="clear"/>
            <w:vAlign w:val="center"/>
          </w:tcPr>
          <w:p>
            <w:pPr>
              <w:pStyle w:val="TableContents"/>
              <w:bidi w:val="0"/>
              <w:spacing w:before="0" w:after="283"/>
              <w:ind w:left="0" w:right="0" w:hanging="180"/>
              <w:jc w:val="left"/>
              <w:rPr/>
            </w:pPr>
            <w:r>
              <w:rPr/>
              <w:t>)</w:t>
            </w:r>
          </w:p>
        </w:tc>
      </w:tr>
      <w:tr>
        <w:trPr/>
        <w:tc>
          <w:tcPr>
            <w:tcW w:w="7263" w:type="dxa"/>
            <w:tcBorders/>
            <w:shd w:fill="CCEEFF" w:val="clear"/>
            <w:vAlign w:val="center"/>
          </w:tcPr>
          <w:p>
            <w:pPr>
              <w:pStyle w:val="TableContents"/>
              <w:bidi w:val="0"/>
              <w:spacing w:before="0" w:after="283"/>
              <w:jc w:val="left"/>
              <w:rPr>
                <w:b/>
              </w:rPr>
            </w:pPr>
            <w:r>
              <w:rPr>
                <w:b/>
              </w:rPr>
              <w:t>Total other income (expenses),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199,688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20,455,184</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b/>
              </w:rPr>
            </w:pPr>
            <w:r>
              <w:rPr>
                <w:b/>
              </w:rPr>
              <w:t>(Loss) Income before taxes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(960,807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9,728,723</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shd w:fill="FFFFFF" w:val="clear"/>
            <w:vAlign w:val="center"/>
          </w:tcPr>
          <w:p>
            <w:pPr>
              <w:pStyle w:val="TableContents"/>
              <w:bidi w:val="0"/>
              <w:spacing w:before="0" w:after="283"/>
              <w:jc w:val="left"/>
              <w:rPr/>
            </w:pPr>
            <w:r>
              <w:rPr/>
              <w:t>Tax income (expense)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486,706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b/>
              </w:rPr>
            </w:pPr>
            <w:r>
              <w:rPr>
                <w:b/>
              </w:rPr>
              <w:t>Net (loss)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(474,101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9,728,723</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shd w:fill="FFFFFF" w:val="clear"/>
            <w:vAlign w:val="center"/>
          </w:tcPr>
          <w:p>
            <w:pPr>
              <w:pStyle w:val="TableContents"/>
              <w:bidi w:val="0"/>
              <w:spacing w:before="0" w:after="283"/>
              <w:jc w:val="left"/>
              <w:rPr/>
            </w:pPr>
            <w:r>
              <w:rPr/>
              <w:t>Less: net income attributable to non-controlling interests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50,542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(150,685</w:t>
            </w:r>
          </w:p>
        </w:tc>
        <w:tc>
          <w:tcPr>
            <w:tcW w:w="167" w:type="dxa"/>
            <w:tcBorders/>
            <w:shd w:fill="FFFFFF" w:val="clear"/>
            <w:vAlign w:val="center"/>
          </w:tcPr>
          <w:p>
            <w:pPr>
              <w:pStyle w:val="TableContents"/>
              <w:bidi w:val="0"/>
              <w:spacing w:before="0" w:after="283"/>
              <w:ind w:left="0" w:right="0" w:hanging="180"/>
              <w:jc w:val="left"/>
              <w:rPr/>
            </w:pPr>
            <w:r>
              <w:rPr/>
              <w:t>)</w:t>
            </w:r>
          </w:p>
        </w:tc>
      </w:tr>
      <w:tr>
        <w:trPr/>
        <w:tc>
          <w:tcPr>
            <w:tcW w:w="7263" w:type="dxa"/>
            <w:tcBorders/>
            <w:shd w:fill="CCEEFF" w:val="clear"/>
            <w:vAlign w:val="center"/>
          </w:tcPr>
          <w:p>
            <w:pPr>
              <w:pStyle w:val="TableContents"/>
              <w:bidi w:val="0"/>
              <w:spacing w:before="0" w:after="283"/>
              <w:jc w:val="left"/>
              <w:rPr>
                <w:b/>
              </w:rPr>
            </w:pPr>
            <w:r>
              <w:rPr>
                <w:b/>
              </w:rPr>
              <w:t>Net (loss) income attributable to the shareholders of the Company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(524,643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9,879,408</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shd w:fill="FFFFFF" w:val="clear"/>
            <w:vAlign w:val="center"/>
          </w:tcPr>
          <w:p>
            <w:pPr>
              <w:pStyle w:val="TableContents"/>
              <w:bidi w:val="0"/>
              <w:spacing w:before="0" w:after="283"/>
              <w:jc w:val="left"/>
              <w:rPr>
                <w:b/>
              </w:rPr>
            </w:pPr>
            <w:r>
              <w:rPr>
                <w:b/>
              </w:rPr>
              <w:t>Other comprehensive income (loss)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32,529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(222,944</w:t>
            </w:r>
          </w:p>
        </w:tc>
        <w:tc>
          <w:tcPr>
            <w:tcW w:w="167" w:type="dxa"/>
            <w:tcBorders/>
            <w:shd w:fill="CCEEFF" w:val="clear"/>
            <w:vAlign w:val="center"/>
          </w:tcPr>
          <w:p>
            <w:pPr>
              <w:pStyle w:val="TableContents"/>
              <w:bidi w:val="0"/>
              <w:spacing w:before="0" w:after="283"/>
              <w:ind w:left="0" w:right="0" w:hanging="180"/>
              <w:jc w:val="left"/>
              <w:rPr/>
            </w:pPr>
            <w:r>
              <w:rPr/>
              <w:t>)</w:t>
            </w:r>
          </w:p>
        </w:tc>
      </w:tr>
      <w:tr>
        <w:trPr/>
        <w:tc>
          <w:tcPr>
            <w:tcW w:w="7263" w:type="dxa"/>
            <w:tcBorders/>
            <w:shd w:fill="FFFFFF" w:val="clear"/>
            <w:vAlign w:val="center"/>
          </w:tcPr>
          <w:p>
            <w:pPr>
              <w:pStyle w:val="TableContents"/>
              <w:bidi w:val="0"/>
              <w:spacing w:before="0" w:after="283"/>
              <w:jc w:val="left"/>
              <w:rPr/>
            </w:pPr>
            <w:r>
              <w:rPr/>
              <w:t>Total comprehensive (loss) income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(441,572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9,505,779</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Less: Total comprehensive income (loss) attributable to non-controlling interests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56,908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(211,683</w:t>
            </w:r>
          </w:p>
        </w:tc>
        <w:tc>
          <w:tcPr>
            <w:tcW w:w="167" w:type="dxa"/>
            <w:tcBorders/>
            <w:shd w:fill="CCEEFF" w:val="clear"/>
            <w:vAlign w:val="center"/>
          </w:tcPr>
          <w:p>
            <w:pPr>
              <w:pStyle w:val="TableContents"/>
              <w:bidi w:val="0"/>
              <w:spacing w:before="0" w:after="283"/>
              <w:ind w:left="0" w:right="0" w:hanging="180"/>
              <w:jc w:val="left"/>
              <w:rPr/>
            </w:pPr>
            <w:r>
              <w:rPr/>
              <w:t>)</w:t>
            </w:r>
          </w:p>
        </w:tc>
      </w:tr>
      <w:tr>
        <w:trPr/>
        <w:tc>
          <w:tcPr>
            <w:tcW w:w="7263" w:type="dxa"/>
            <w:tcBorders/>
            <w:shd w:fill="FFFFFF" w:val="clear"/>
            <w:vAlign w:val="center"/>
          </w:tcPr>
          <w:p>
            <w:pPr>
              <w:pStyle w:val="TableContents"/>
              <w:bidi w:val="0"/>
              <w:spacing w:before="0" w:after="283"/>
              <w:jc w:val="left"/>
              <w:rPr/>
            </w:pPr>
            <w:r>
              <w:rPr/>
              <w:t>Total comprehensive (loss) income attributable to the shareholders of the Company</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(498,480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9,717,462</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shd w:fill="FFFFFF" w:val="clear"/>
            <w:vAlign w:val="center"/>
          </w:tcPr>
          <w:p>
            <w:pPr>
              <w:pStyle w:val="TableContents"/>
              <w:bidi w:val="0"/>
              <w:spacing w:before="0" w:after="283"/>
              <w:jc w:val="left"/>
              <w:rPr/>
            </w:pPr>
            <w:r>
              <w:rPr/>
              <w:t>Earnings per share – basic</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(13,116.08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644.20</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 </w:t>
            </w:r>
            <w:r>
              <w:rPr/>
              <w:t>diluted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(13,116.08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9.12</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shd w:fill="FFFFFF" w:val="clear"/>
            <w:vAlign w:val="center"/>
          </w:tcPr>
          <w:p>
            <w:pPr>
              <w:pStyle w:val="TableContents"/>
              <w:bidi w:val="0"/>
              <w:spacing w:before="0" w:after="283"/>
              <w:jc w:val="left"/>
              <w:rPr/>
            </w:pPr>
            <w:r>
              <w:rPr/>
              <w:t>Weighted average shares outstanding * – basic</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15,336</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 diluted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1,083,340</w:t>
            </w:r>
          </w:p>
        </w:tc>
        <w:tc>
          <w:tcPr>
            <w:tcW w:w="16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2024 year end, the Company carried out a 1-for-20 reverse stock split, a 1-for-10 reverse stock split, a 1-for-5 reverse stock split, a 1-for-5 reverse stock split, a 1-for-3 reverse stock split, a 1-for-4 reverse stock split and a 1-for-3 reverse stock split of its issued and unissued shares which was effected on February 11, 2025, May 5, 2025, August 4, 2025, December 1, 2025, January 26, 2026, March 16, 2026 and July 6, 2026 respectively. The shares above have been adjusted retrospectively for these reverse stock splits.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2024 Compared with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decreased by approximately 13.01% from US$5,433,375 in 2024 to US$4,726,433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IVF treatment service revenue decreased by approximately 28.11% from US$5,433,375 in 2024 to US$3,905,863 in 2025. This decrease was primarily the result of change of management in Thailand clinic and new clinic set-up in Kyrgyzstan focusing on IVF services in late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NewGenIvf’s derived fertility referral services of US$820,570 revenue from referring customers to outside agents for IVF and surrogacy services while no such revenue was recorded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 of revenue increased by approximately 4.55% from US$3,606,481 in 2024 to US$3,770,587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 of goods sold decreased by approximately 1.15% from US$629,620 in 2024 to US$622,386 in 2025, primarily attributed to the decrease on procurement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clinic costs increased by approximately 5.76% from US$2,976,861 in 2024 to US$3,148,201 in 2025, primarily due to clinic staff turnover in Thailand.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gross profit decreased by approximately 47.68% from US$1,826,894 in 2024 to US$955,846 in 2025, primarily attributable to a reorganizing of our cooperation model with subcontractors and the decreased efficiency of our marketing services, resulting in a increase in unit service costs per customer, directly leading to decreases in gross profit margins.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gross margin decreased from 33.6% in 2024 to 20.2% in 2025. This is primarily due to the drop of sales revenue while the overhead costs of clinic was not reduced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operating expenses increased by approximately 291.05% from US$2,987,389 in 2024 to US$11,682,307 in 2025, primarily attributable to (i) professional fees of US$1,861,572 incurred in 2025 being related to real estate development project in United Arab of Emirates, valuation fees on acquisition of Nodexus (ii) staff and director salary and personnel cost of US$2,910,173 in 2025 due to enlargement of sales/marketing force and administrative staff to implement our business expansion pan and bonus related to maintaining listing status in Nasdaq and increasing share capitalization; and (iii) write-off of certain agency deposit and artwork of US$1,105,370.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other income increased from US$971,391 in 2024 to US$21,069,356 in 2025, primarily attributable to a non-cash, bargain purchase gain recognized on the acquisition of Nodexus and Microsort businesses of $21,653,835, gain on embedded derivative of $456,731, loss on investment in digital assets, net of $332,480 and loss on investment on financial assets, net of $700,631.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finance costs decreased by approximately 20.84% from US$778,656 in 2024 to US$616,423 in 2025 as a result of securing a lower interest rate on convertible notes issued during the year and some convertible notes being issued second half of 2025 for financing new business initiatives including real estate development project in United Arab of Emirates, supplement business and tokenization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income (expense)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made no provision for income taxes in 2024 and 2025. There was no assessable income generated from Hong Kong, Thailand and 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excess provision of US$486,706 was reversed as they are no longer deemed to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Net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a net income of US$9,728,723 in 2025 while there was a net loss of US$(474,101)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and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principal sources of liquidity have been cash flows generated from its business operations and external financing via various instruments. As of December 31, 2024 and 2025, NewGenIvf had US$457,740 and US$758,621, respectively, in cash and cash equivalents. NewGenIvf had working capital (defined as total current assets deducted by total current liabilities) of a surplus of $452,391 and US$5,017,221 respectively, as of December 31,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owed US$6,421 to related parties. Nevertheless, NewGenIvf is able to generate sufficient cash flow from its business operations and financing activities to operate and grow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continually seeks to monetize from positive cash flow contracts and increase revenue from its operating activities. NewGenIvf monitors its current and expected liquidity requirements to help ensure that it maintains sufficient cash balances to meet its existing and reasonably likely long-term liquidity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finance its future working capital requirements and capital expenditures from cash generated from operating activities, in addition to funds raised from financing activities. NewGenIvf may, however, require additional cash due to changing business conditions or other future developments, including any investments or acquisitions it may decide to pursue. If its existing cash is insufficient to meet its requirements, NewGenIvf may seek to issue debt or equity securities or obtain additional credit facilities. Financing may be unavailable in the amounts NewGenIvf needs or on terms acceptable to it, if at all. Issuance of additional equity securities, including convertible debt securities, would dilute NewGenIvf’s earnings per share. The incurrence of debt would divert cash for working capital and capital expenditures to service debt obligations and could result in operating and financial covenants that restrict NewGenIvf’s operations and its ability to pay dividends to its shareholders. If NewGenIvf is unable to obtain additional equity or debt financing as required, its business operations and prospects may suffer. Please see “</w:t>
      </w:r>
      <w:r>
        <w:rPr>
          <w:rFonts w:ascii="Times New Roman;Times;Serif" w:hAnsi="Times New Roman;Times;Serif"/>
          <w:b w:val="false"/>
          <w:i/>
          <w:caps w:val="false"/>
          <w:smallCaps w:val="false"/>
          <w:sz w:val="20"/>
        </w:rPr>
        <w:t>Risk Factors — Risks Relating to NewGenIvf’s Business and Industry — NewGenIvf requires a significant amount of capital to fund its operations and growth. If NewGenIvf cannot obtain sufficient capital on acceptable terms, its business, financial condition, and prospects may be materially and adversely affected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NewGenIvf’s selected consolidated cash flow data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6335"/>
        <w:gridCol w:w="90"/>
        <w:gridCol w:w="90"/>
        <w:gridCol w:w="1085"/>
        <w:gridCol w:w="125"/>
        <w:gridCol w:w="90"/>
        <w:gridCol w:w="90"/>
        <w:gridCol w:w="1205"/>
        <w:gridCol w:w="170"/>
      </w:tblGrid>
      <w:tr>
        <w:trPr/>
        <w:tc>
          <w:tcPr>
            <w:tcW w:w="63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170"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85"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70" w:type="dxa"/>
            <w:tcBorders/>
            <w:vAlign w:val="center"/>
          </w:tcPr>
          <w:p>
            <w:pPr>
              <w:pStyle w:val="TableContents"/>
              <w:bidi w:val="0"/>
              <w:spacing w:before="0" w:after="283"/>
              <w:ind w:left="0" w:right="0" w:hanging="180"/>
              <w:jc w:val="left"/>
              <w:rPr/>
            </w:pPr>
            <w:r>
              <w:rPr/>
              <w:t> </w:t>
            </w:r>
          </w:p>
        </w:tc>
      </w:tr>
      <w:tr>
        <w:trPr/>
        <w:tc>
          <w:tcPr>
            <w:tcW w:w="6335" w:type="dxa"/>
            <w:tcBorders/>
            <w:shd w:fill="CCEEFF" w:val="clear"/>
            <w:vAlign w:val="center"/>
          </w:tcPr>
          <w:p>
            <w:pPr>
              <w:pStyle w:val="TableContents"/>
              <w:bidi w:val="0"/>
              <w:spacing w:before="0" w:after="283"/>
              <w:jc w:val="both"/>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(8,264,074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(10,926,056</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6335" w:type="dxa"/>
            <w:tcBorders/>
            <w:shd w:fill="FFFFFF" w:val="clear"/>
            <w:vAlign w:val="center"/>
          </w:tcPr>
          <w:p>
            <w:pPr>
              <w:pStyle w:val="TableContents"/>
              <w:bidi w:val="0"/>
              <w:spacing w:before="0" w:after="283"/>
              <w:jc w:val="both"/>
              <w:rPr/>
            </w:pPr>
            <w:r>
              <w:rPr/>
              <w:t>Net cash used in investing activities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(53,045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(7,559,774</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6335" w:type="dxa"/>
            <w:tcBorders/>
            <w:shd w:fill="CCEEFF" w:val="clear"/>
            <w:vAlign w:val="center"/>
          </w:tcPr>
          <w:p>
            <w:pPr>
              <w:pStyle w:val="TableContents"/>
              <w:bidi w:val="0"/>
              <w:spacing w:before="0" w:after="283"/>
              <w:jc w:val="both"/>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8,675,790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18,992,758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3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6335" w:type="dxa"/>
            <w:tcBorders/>
            <w:shd w:fill="CCEEFF" w:val="clear"/>
            <w:vAlign w:val="center"/>
          </w:tcPr>
          <w:p>
            <w:pPr>
              <w:pStyle w:val="TableContents"/>
              <w:bidi w:val="0"/>
              <w:spacing w:before="0" w:after="283"/>
              <w:jc w:val="both"/>
              <w:rPr/>
            </w:pPr>
            <w:r>
              <w:rPr/>
              <w:t>Net increase in cash and cash equivalents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358,671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506,928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35" w:type="dxa"/>
            <w:tcBorders/>
            <w:shd w:fill="FFFFFF" w:val="clear"/>
            <w:vAlign w:val="center"/>
          </w:tcPr>
          <w:p>
            <w:pPr>
              <w:pStyle w:val="TableContents"/>
              <w:bidi w:val="0"/>
              <w:spacing w:before="0" w:after="283"/>
              <w:jc w:val="both"/>
              <w:rPr/>
            </w:pPr>
            <w:r>
              <w:rPr/>
              <w:t>Effect of foreign currency translation on cash and cash equivalents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44,965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(206,047</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6335" w:type="dxa"/>
            <w:tcBorders/>
            <w:shd w:fill="CCEEFF" w:val="clear"/>
            <w:vAlign w:val="center"/>
          </w:tcPr>
          <w:p>
            <w:pPr>
              <w:pStyle w:val="TableContents"/>
              <w:bidi w:val="0"/>
              <w:spacing w:before="0" w:after="283"/>
              <w:jc w:val="both"/>
              <w:rPr/>
            </w:pPr>
            <w:r>
              <w:rPr/>
              <w:t>Cash and cash equivalents, beginning of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54,104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457,740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35" w:type="dxa"/>
            <w:tcBorders/>
            <w:shd w:fill="FFFFFF" w:val="clear"/>
            <w:vAlign w:val="center"/>
          </w:tcPr>
          <w:p>
            <w:pPr>
              <w:pStyle w:val="TableContents"/>
              <w:bidi w:val="0"/>
              <w:spacing w:before="0" w:after="283"/>
              <w:jc w:val="both"/>
              <w:rPr/>
            </w:pPr>
            <w:r>
              <w:rPr/>
              <w:t>Cash and cash equivalents, end of year</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457,740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758,621</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US$10,926,056 for the year ended December 31, 2025. The difference between NewGenIvf’s net profit of US$9,728,723 for the year ended December 31, 2025 and the net cash used in operating activities was primarily attributable to bargain purchase gain of US$21.7m on acquisition of Nodexus and Microsort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US$8,264,074 for the year ended December 31, 2024. The difference between NewGenIvf’s net loss of US$474,101 for the year ended December 31, 2024 and the net cash used in operating activities was primarily attributable to (i) an increase of agent’s receivable of US$1,191,795, (ii) a cash deposit of US$1,000,000 with a digital trading platform and settlement of charges in relation to the de-spac and business reorganisation.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2025 was US$7,559,774, primarily representing reservation money of US$4.6m paid for the real estate development project in United Arab of Emirates, as well as cash paid for investment in digital assets of $1,000,000, amounts held in custody for investments of $760,000 and cash paid for acquisition of businesses in 2025 of $1,050,000.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2024 was US$53,045, primarily representing purchase of plant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2025 was US$18,992,758, primarily representing issuance of share capital of US$12.6m utilizing equity line of credit, convertible note issuance of US$6.8m and settlement of $500,000 for a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2024 was US$8,675,790, primarily representing issuance of share capital utilizing equity line of credit, convertible note issuance and proceeds from issuance of promissory notes all totaling to an amount of $8,583,597.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main contractual obligations and commitments as of December 31, 2024 and December 31, 2025.</w:t>
      </w:r>
    </w:p>
    <w:p>
      <w:pPr>
        <w:pStyle w:val="TextBody"/>
        <w:bidi w:val="0"/>
        <w:spacing w:before="0" w:after="0"/>
        <w:ind w:left="0" w:right="0" w:firstLine="720"/>
        <w:jc w:val="both"/>
        <w:rPr>
          <w:caps w:val="false"/>
          <w:smallCaps w:val="false"/>
        </w:rPr>
      </w:pPr>
      <w:r>
        <w:rPr>
          <w:caps w:val="false"/>
          <w:smallCaps w:val="false"/>
        </w:rPr>
        <w:t> </w:t>
      </w:r>
    </w:p>
    <w:tbl>
      <w:tblPr>
        <w:tblW w:w="5160" w:type="dxa"/>
        <w:jc w:val="left"/>
        <w:tblInd w:w="0" w:type="dxa"/>
        <w:tblLayout w:type="fixed"/>
        <w:tblCellMar>
          <w:top w:w="0" w:type="dxa"/>
          <w:left w:w="0" w:type="dxa"/>
          <w:bottom w:w="0" w:type="dxa"/>
          <w:right w:w="0" w:type="dxa"/>
        </w:tblCellMar>
      </w:tblPr>
      <w:tblGrid>
        <w:gridCol w:w="2555"/>
        <w:gridCol w:w="90"/>
        <w:gridCol w:w="90"/>
        <w:gridCol w:w="1010"/>
        <w:gridCol w:w="90"/>
        <w:gridCol w:w="90"/>
        <w:gridCol w:w="90"/>
        <w:gridCol w:w="1010"/>
        <w:gridCol w:w="135"/>
      </w:tblGrid>
      <w:tr>
        <w:trPr/>
        <w:tc>
          <w:tcPr>
            <w:tcW w:w="25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13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3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US$</w:t>
            </w:r>
          </w:p>
        </w:tc>
        <w:tc>
          <w:tcPr>
            <w:tcW w:w="13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w:t>
            </w:r>
          </w:p>
        </w:tc>
        <w:tc>
          <w:tcPr>
            <w:tcW w:w="90" w:type="dxa"/>
            <w:tcBorders/>
            <w:vAlign w:val="center"/>
          </w:tcPr>
          <w:p>
            <w:pPr>
              <w:pStyle w:val="TableContents"/>
              <w:bidi w:val="0"/>
              <w:spacing w:before="0" w:after="283"/>
              <w:jc w:val="left"/>
              <w:rPr/>
            </w:pPr>
            <w:r>
              <w:rPr/>
              <w:t> </w:t>
            </w:r>
          </w:p>
        </w:tc>
        <w:tc>
          <w:tcPr>
            <w:tcW w:w="2380" w:type="dxa"/>
            <w:gridSpan w:val="6"/>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less than 1 years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111,321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262,244</w:t>
            </w:r>
          </w:p>
        </w:tc>
        <w:tc>
          <w:tcPr>
            <w:tcW w:w="13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1 – 2 years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184,041</w:t>
            </w:r>
          </w:p>
        </w:tc>
        <w:tc>
          <w:tcPr>
            <w:tcW w:w="13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2.- 5 years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118,800</w:t>
            </w:r>
          </w:p>
        </w:tc>
        <w:tc>
          <w:tcPr>
            <w:tcW w:w="13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121,621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565,085</w:t>
            </w:r>
          </w:p>
        </w:tc>
        <w:tc>
          <w:tcPr>
            <w:tcW w:w="13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bonds-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664,000</w:t>
            </w:r>
          </w:p>
        </w:tc>
        <w:tc>
          <w:tcPr>
            <w:tcW w:w="13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3,150,000</w:t>
            </w:r>
          </w:p>
        </w:tc>
        <w:tc>
          <w:tcPr>
            <w:tcW w:w="13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3,269,625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1,475,000</w:t>
            </w:r>
          </w:p>
        </w:tc>
        <w:tc>
          <w:tcPr>
            <w:tcW w:w="13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5,207,625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5,289,000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bonds have the option of being converted to Class A ordinary shares at the discretion of the holder, any time after issuance. The conversion, however, is subject to certain terms and conditions, including the requirement of the shareholdings not to exceed 4.99 % or 9.99% of the Company’s shares based on the noteholder. As of December 31, 2025, this criterion has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Commitments and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not entered into any financial guarantees or other commitments to guarantee the payment obligations of any third parties, nor any derivative contracts that are indexed to its shares and classified as shareholder’s equity or that are not reflected in its consolidated financial statements. Furthermore, NewGenIvf does not have any retained or contingent interest in assets transferred to an unconsolidated entity that serves as credit, liquidity or market risk support to such entity. NewGenIvf does not have any variable interest in any unconsolidated entity that provides financing, liquidity, market risk or credit support to it or engages in leasing, hedging or product development services with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is a holding company with no material operations of its own. NewGenIvf Group Limited conducts all of its operations through its subsidiaries. As a result, NewGenIvf Group Limited’s ability to pay dividends depends upon dividends paid by its subsidiaries. If our subsidiaries or any newly formed subsidiaries incur debt on their own behalf in the future, the instruments governing their debt may restrict their ability to pay dividends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is permitted under BVI law to provide funding to its subsidiaries in Hong Kong, Thailand, Cambodia and Kyrgyzstan through loans or capital contributions without restrictions on the amount of the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Company’s subsidiaries are currently permitted to pay dividends to the Company in accordance with relevant laws and regulations. Payment of dividends requirements in a company incorporated under the laws of Thailand is governed by the Civil and Commercial Code of Thailand. For example, the company may not declare dividends if the company has incurred losses, the company must appropriate to a reserved fund at each dividend contribution of dividend of at least one-twentieth of the profits until the fund reaches one-tenth of the capital, or the dividends payment must be made to the shareholders within one (1) month from the dividend declaration date. On the capital remittance or payment of dividends to the shareholders from outside of Thailand, it is regulated by the regulations issued by the Bank of Thailand, including the Exchange Control Act B.E. 2485 (1942). The fund remittance from Thailand to a foreign jurisdiction may require an approval from the Bank of Thailand or require notifying the Bank of Thailand for such transfer, depending on the types of the remittance transactions, through the commercial bank in the country. For a company incorporated under the laws of Kyrgyzstan, under Kyrgyz regulations of dividends (net profit), the dividends can be paid once a year depending on the results of the financial year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minimize the credit risk, the management of the Company monitors and ensures that follow-up action is taken to recover overdue debts. The Company considers the probability of default upon initial recognition of asset and whether there has been a significant increase in credit risk on an ongoing basis throughout each reporting period. To assess whether there is a significant increase in credit risk, the Company compares the risk of a default occurring on the asset as at the reporting date with the risk of default as at the date of initial recognition. It considers available reasonable and supportive forward-looking information, such as GDP growth rate and nominal GDP per capita. Based on the impairment assessment performed by the Company, the directors consider the loss allowance for account receivables as of December 31, 2025 and December 31, 2024 to be $21 and $19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concentration of credit risk on liquid funds which are deposited with several banks with high credit ratings. The credit risk on liquid funds is limited because the counterparties are banks with high credit ratings assigned by international credit-rating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Deposits, prepayments and other receivables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impairment for deposits and other receivables, due from shareholders individually based on internal credit rating and ageing of these debtors which, in the opinion of the directors, have no significant increase in credit risk since initial recognition. Based on the impairment assessment performed by the Company, the management consider the loss allowance for deposits and other receivables, due from shareholders as of December 31, 2025 and December 31, 2024 is $5, and $4, respectively. The loss allowance for deposits and other receivables, due from shareholders as of December 30, 2025 and December 31, 2024 is $0, and $0,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interest rate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cash flow interest rate risk through the changes in interest rates related mainly to its variable-rates bank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currently does not have any interest rate hedging policy in relation to fair value interest rate risk and cash flow interest rate risk. The directors monitor NewGenIvf’s exposures on an ongoing basis and will consider hedging the interest rate should the need arises.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Sensitivity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sensitivity analysis below has been determined by assuming that a change in interest rates had occurred at the end of the reporting period and had been applied to the exposure to interest rates for financial instruments in existence at that date. 1% increase or decrease is used when reporting interest rate risk internally to key management personnel and represents management’s assessment of the reasonably possible change in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interest rates had been 1% higher or lower and all other variables were held constant, the Company’s net (loss) income for the period/years ended December 31, 2025 and December 31, 2024 would have increased or decreased by approximately $52,890 and $26,894,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holding of foreign currency assets will affect NewGenIvf’s financial position as a result of a change in foreign currency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monetary assets and liabilities are mainly denominated in HK$, THB and RMB which are the same as the functional currencies of the relevant group entities. Hence, in the opinion of the directors of the Company, the currency risk of US$ is considered insignificant. The Company currently does not have a foreign currency hedging policy to eliminate currency exposures. However, the directors monitor the related foreign currency exposure closely and will consider hedging significant foreign currency exposures should the need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and political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operations are mainly conducted in Thailand, Cambodia and Kyrgyzstan. Accordingly, NewGenIvf’s business, financial condition, and results of operations may be influenced by changes in the political, economic, and legal environments in Thailand, Cambodia and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operations in Thailand, Cambodia and Kyrgyzstan are subject to special considerations and significant risks not typically associated with companies in North America and Western Europe. These include risks associated with, among other things, the political, economic and legal environment and foreign currency exchange. NewGenIvf’s results may be adversely affected by changes in the political and social conditions in Thailand, Cambodia and Kyrgyzstan, and by changes in governmental policies with respect to laws and regulations, anti-inflationary measures, currency conversion, remittances abroad, and rates and methods of taxation, among other things.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war involving the US, Israel, and Iran has severely disrupted international travel, beginning with the immediate closure of airspace over several Middle Eastern countries and the suspension of flights through critical hubs like Dubai and Doha, which has stranded hundreds of thousands of passengers. This has forced airlines to cancel thousands of flights or take longer, more expensive routes, leading to a surge in ticket prices and the imposition of new fuel surcharges that are affecting travelers globally. Governments have responded by issuing widespread “do not travel” warnings for the region and organizing evacuations, while embassies have halted routine visa services, further complicating international mobility. The compounded effect is a climate of uncertainty where even trips not destined for the Middle East face potential delays, higher costs, and complex rebooking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Travel restriction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clients contribute a large portion of NewGenIvf’s revenue. International clients need to travel to Thailand, Cambodia and Kyrgyzstan for treatment services, where NewGenIvf’s operations are mainly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traveling to Thailand, Cambodia and Kyrgyzstan may be affected by a number of factors, including local and global political and economic conditions. Furthermore, an outbreak, or threatened outbreak, of any severe contagious disease may also in turn significantly reduce the demand of traveling or cause extensive travel restrictions. NewGenIvf’s results may be materially and adversely affected if travel restriction was imposed or difficulties in cross-border flow arose.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changes in prices levels. Historically inflation has not materially impacted the Company’s consolidated financial statements; however, significant increases in the price of labor that cannot be passed to the Company’s customers could adversely impact the Company’s results of operations. Moreover, the recent escalation of the US-Israel-Iran conflict poses a significant threat to the global economy, primarily through the disruption of oil supplies, with cascading effects on the real estate sector in the UAE and a broad economic downturn across Asia, including Hong Kong and China. As the conflict intensifies around the Strait of Hormuz—through which nearly 20% of the world’s oil passes—global oil prices have surged past $100 per barrel, raising fears of an extended energy crisis. Such increase in oil prices might lead to domino effect on the overall costs of business operation for NewGenIvf and NewGenIvf might not be able to pass the cost pressure to its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prepares its financial statements in conformity with U.S. GAAP, which requires NewGenIvf to make judgments, estimates and assumptions. NewGenIvf continually evaluates these estimates and assumptions based on the most recently available information, its historical experience and various other assumptions that NewGenIvf’s management believes to be reasonable under the circumstances. Since the use of estimates is an integral component of the financial reporting process, actual results could differ from its expectations as a result of changes in NewGenIvf’s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critical accounting estimates, the judgments and other uncertainties affecting application of those policies and the sensitivity of reported results to changes in conditions and assumptions are factors that should be considered when reviewing NewGenIvf’s financial statements. NewGenIvf’s management believes the following accounting estimates involve the most significant judgments and estimates used in the preparation of their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Business combination and gain on bargain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805, the accounting for business combinations which requires the application of the acquisition method. This method mandates that the acquiring entity recognize all assets acquired and liabilities assumed at their acquisition-date fair values. Gain on a business acquisition is recognized in earnings only in the specific circumstance of a “bargain purchase.” This occurs when the fair value of the identifiable net assets acquired exceeds the total consideration transferred (including the fair value of any non-controlling interest). It requires the acquirer to first meticulously reassess all measurements—including the identification and valuation of assets, liabilities, and the consideration—to ensure the gain is not a measurement error. Once confirmed, the resulting bargain purchase gain is recognized in profit or loss on the acquisition date. This treatment reflects the economic benefit obtained by the acquirer from purchasing net assets for less than their aggregate fair value. Under US GAAP, the distinction between acquiring a business and acquiring a group of assets is determined by a defined screen test. A transaction is accounted for as a business combination only if the acquired set meets the specific definition of a business, which requires an integrated set of activities with, at a minimum, an input and a substantive process that together significantly contribute to the ability to create outputs.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from third parties are measured initially at fair value and those with an infinite life are not amortized. The Company annually evaluates the recoverability of the infinite-lived intangible assets for possible impairment whenever events or circumstances indicate that the carrying amount of such assets may not be recoverable. To test indefinite-lived intangible assets for impairment, the Company first performs a qualitative assessment to determine if it is more likely than not that the carrying amount of each of its indefinite-lived intangible assets exceeds its fair value. If it is, a quantitative assessment is required. Alternatively, the Company may bypass the qualitative assessment and perform a quantitative impairment test. The qualitative assessment requires the consideration of factors such as recent market transactions, macroeconomic conditions and changes in projected future cash flows. The quantitative assessment compares the fair value of an indefinite-lived intangible asset to its carrying amount. If the carrying amount of an indefinite-lived intangible asset exceeds its fair value, an impairment loss is recognized for the excess. Fair values of indefinite-lived intangible assets are determined based on discounted cash flows or appraised values, as appropriate. If such a review indicates that the carrying amount of intangible assets is not recoverable, the carrying amount of such assets is reduced to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did not record an impairment on the intangible.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Convertible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Instruments are categorized as equity or debt based on the terms of the notes. Convertible Notes are recorded at amounts equal to the proceeds of the issuance, including the embedded conversion feature, and net of discounts and unamortized debt issuance in accordance with ASC 480-10-55-44 on the consolidated balance sheets. An evaluation of all conversion, purchase and redemption features contained in a debt instrument is performed to determine if there are any embedded features that require bifurcation as a derivative. The conversion feature is recorded separately as a derivative liability at its fair value, calculated using the Black-Scholes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and offering costs are amortized over the contractual term of the Convertible Notes, to the consolidated statements of operations in accordance with ASC 835-30-45-1A.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subsequently recorded at amortized cost, with interest expense recognized using the effective interest method. The derivative liability, if any is remeasured at fair value at each reporting date and any gain or loss on fair value is recognized in the statement of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introduced expanded income tax disclosure requirements under ASU 2023-09 to improve transparency. Companies will now need to provide a detailed reconciliation of their effective tax rate, breaking down federal, state, and foreign taxes, as well as specific categories like tax credits and foreign earnings. Additionally, businesses must disclose income taxes paid by jurisdiction, offering investors greater clarity on tax obligations. These changes apply to both public and private companies, with annual reporting periods beginning after December 15, 2024 (2025 for calendar-year entities). This update aims to reduce ambiguity in tax reporting and align disclosures with investor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shift in digital asset accounting, ASU 2023-08 requires companies to measure certain crypto assets (e.g., Bitcoin, Ethereum) at fair value rather than applying the previous impairment-only model. This means entities must recognize quarterly fair value adjustments in their financial statements, increasing volatility in reported earnings but improving transparency. The standard applies to fiscal years beginning after December 15, 2024, and impacts both corporate treasuries and investment firms holding cryptocurrencies. This change aligns GAAP closer to fair value accounting seen in other investment holdings, addressing criticisms of the old impairment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public entities to disclose, in a tabular format in the notes to the financial statements, specific information about certain costs included in common expense captions. This standard mandates the disaggregation of natural expenses—such as employee compensation, depreciation, and inventory costs—from broader captions like “cost of services” or “selling, general and administrative expenses.” Although this ASU is effective for annual reporting periods beginning after December 15, 2026, and interim periods thereafter, with early adoption permitted, the Company is currently evaluating the potential impact of this new guidance on its financial statement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which introduces a practical expedient to simplify the application of the current expected credit loss (CECL) model for current accounts receivable and contract assets arising from ASC 606 revenue transactions. Such practical expedient permits entities to assume that current economic conditions as of the balance sheet date will remain unchanged for the remaining life of these short-term assets, eliminating the need to develop and document forward-looking macroeconomic forecasts. For healthcare entities with significant patient accounts receivable, third-party payor contract assets, or government reimbursement receivables, this simplification reduces compliance costs and complexity while continuing to require consideration of historical loss experience and current conditions such as customer-specific financial distress or changes in credit policies. The guidance is effective for annual periods beginning after December 15, 2025, applied prospectively, and early adoption is permitted. The Company plans to adopt this practical expedient and will update its credit loss estimation policies and related disclosures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elsewhere disclosed, the Company does not believe other recently issued but not yet effective accounting standards, if currently adopted, would have a material effect on the Company’s consolidated balance sheet, statement of operations and comprehensive income (loss) and statement of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k_013"/>
      <w:bookmarkEnd w:id="14"/>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assisted reproductive services (“ARS”) provider in Asia-Pacific. Since the opening of our first clinic in Thailand in 2014, we have established ourself as a long-standing ARS provider in this region. Our strategic presence in Thailand, Cambodia, and Kyrgyzstan positions us to take advantage of opportunities across Asia-Pacific. According to China Insights Consultancy (“CIC”), from 2014 to 2022, there was a rising number of women in the key ARS-targeted age group (ages 15 to 49) in Asia Pacific and a growing trend towards later maternal age. The number of married women of reproductive age in Asia Pacific has risen from 816.4 million in 2014 to 833.2 million in 2022. Additionally, according to CIC, there was increasing social acceptance of ARS use in Asia Pacific countries such as China, India, and Thailand during the same period. For example, the number of ARS users in China has risen from 136.8 thousand in 2017 to 184.9 thousand in 2022 approximately and that in Japan has risen from 98.0 thousand in 2017 to 128.5 thousand in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CIC, the prevalence of infertility in Asia-Pacific developing countries is substantial. For example, the infertility rate in Thailand, India and China was about 15.4%, 13.8% and 17.8%, respectively, in 2022. In India, the infertility rate in 2020 was approximately 13.1%, representing an annual growth of 2.6%. The infertility rate in China was around 17.6% in 2020, representing an annual growth of 0.6%. Infertility is increasingly gaining society’s attention as individuals are more openly discussing their struggles. Despite the prevalence of infertility, access to treatment is often limited in the Asia Pacific region. According to CIC, financial challenges, costs of treatment, and limited availability or capacity of fertility medical care are some of the main challenges in the fertility marketplace in Asia-Pacific region. Religious, social and cultural roadblocks can also prevent hopeful couples from realizing their dream to have children. We believe that we can help address some of these key challenges of Asia-Pacific fertility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NewGenIvf, ASCA agreed to waive its termination rights and the right to receive any break-up fee due to Legacy NewGenIvf’s failure to deliver audited financial statements by no later than February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Business Combination was consummated with the Company as the surviving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focus on providing fertility treatments to fulfil the dreams of building families, NewGenIvf mainly offers two services, namely: (i) in vitro fertilization (“IVF”) treatment service, comprising traditional IVF and egg donation; and (ii) fertility referral services. Currently, we have three clinics: one clinic in Thailand, one clinic in Cambodia, and one clinic in Kyrgyzstan.</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b/>
                <w:sz w:val="20"/>
              </w:rPr>
              <w:t xml:space="preserve">IVF treatment service: </w:t>
            </w:r>
            <w:r>
              <w:rPr>
                <w:sz w:val="20"/>
              </w:rPr>
              <w:t>For the years ended December 31, 2025 and 2024, we generated approximately 82.6% and 100% respectively of our revenue from IVF treatments. We primarily provide our clients with conventional IVF/intracytoplasmic sperm injection (“ICSI”) and embryo transfer services. As technology has progressively advanced, we have been able to, through technologies and facilities provided by MicroSort technology, help fulfill the family-balancing dreams of its clients and avoiding certain gender-related hereditary diseases. IVF treatment involves the performance of a series of medical treatment and procedures that are not separately distinct and only brings benefits to clients when embryo is successfully implanted, therefore revenue from IVF treatment is recognized at a point in time when it is completed in clinic. The completion of this treatment is evidenced by a written IVF report indicating successful embryo implantation.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b/>
                <w:sz w:val="20"/>
              </w:rPr>
              <w:t xml:space="preserve">Fertility referral services: </w:t>
            </w:r>
            <w:r>
              <w:rPr>
                <w:sz w:val="20"/>
              </w:rPr>
              <w:t>We also generate revenue from fertility referral services in Kyrgyzstan. For the period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NewGenIvf’s revenue was US$4,726,433 and US$5,433,375, and its net income/(loss) was US$9,728,723 and US$(474,101),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CIC, NewGenIvf’s core market for fertility services is substantial and growing rapidly, driven by, among other things, societal and cultural shifts, such as people starting families later in life and other health-related challenges which could impact couples’ and individuals’ ability to have children. In addition, NewGenIvf believes that continued overall de-stigmatization of infertility will help drive better access to, and stronger demand for, fertility treatment services, thereby further enabling the expansion of NewGenIvf’s addressable market. According to CIC, the market size of fertility treatments in Asia Pacific was increasing steadily and the potential size of the Asia fertility market is expected to reach US$37.4 billion by 2030. NewGenIvf believes its market opportunity is substantial and is continuing to grow as a result of the rising demand for fertility services, the lack of adequate offerings in the market and the increasing awareness of the challenges of infertility.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the following competitive strengths have positioned it to meet growing opportunities in the fertility market across Asia-Pacific, and have differentiated it from its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Broad-range ARS Provider Offering Comprehensive Fertility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almost a decade of experience in the fertility market, NewGenIvf has built a reputation in the IVF industry in Asia-Pacific. NewGenIvf has reinforced its long-standing position through expanding its service offerings and locations to address the evolving clients’ needs or requests.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comprehensive fertility treatment offerings in Thailand, Cambodia, and Kyrgyzstan, primarily including IVF, egg donation (in Cambodia) and surrogacy services (in Kyrgyzstan), make it convenient for clients in Asia-Pacific market to have access to various fertility services but with a relatively low cost, as compared with the US market. Meanwhile, the average cost per IVF cycle by NewGenIvf is around US$7,000 (excluding medication). Each of NewGenIvf’s clinics in Thailand, Cambodia, and Kyrgyzstan has its own specialty, and together, NewGenIvf is able to provide more flexibility and options to its patients. For example, NewGenIvf’s Thailand clinic focus on IVF and related ancillary services including HIV sperm washing, egg freezing, and chromosome screening. The clinic in Cambodia specializes in providing both IVF services and egg donation services. NewGenIvf opened the clinic in Kyrgyzstan in 2019, which broadened NewGenIvf’s services by being legally qualified/received approval letter from The Ministry of Health of Kyrgyzstan to offer surrogacy services. As of December 31, 2024, NewGenIvf was the one of the few ARS providers in Kyrgyzstan and one of the few companies in Kyrgyzstan that is licensed to offer surrogacy services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attributes its track record of success to its experienced physicians and its ability to provide comprehensive ARS services, allowing it to meet patients’ increasing demand for advanced, high-end, and sophisticated ARS, a higher standard and a wider range of advanced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extensive experience serving Asia-Pacific patients and a deep understanding of their general profiles. In particular, NewGenIvf has personnel speaking multiple languages, including nurses, facilitators, and translators, who are familiar with the health condition and culture of Asia-Pacific patients from different countries in the region. NewGenIvf believes that it is therefore well-positioned to benefit from market growth driven by Asia-Pacific patients travelling to its clinics for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Attractive Market with Significant Demand and Fast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operates in the ARS market in Asia Pacific, positioning it to leverage on an attractive market with compelling underlying growth potential.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Built on years of experience, NewGenIvf has established a strong reputation in its industry, which in turn attracted potential business partners to approach NewGenIvf to negotiate cooperations and referrals. Over the years, NewGenIvf sends representatives to medical expos mostly held in the PRC to approach potential business partners and establish new partnerships by entering into agency agreements with each agent. NewGenIvf has become a significant partner with approximately 90 fertility service agents in China as well as in India. Normally, each agency agreement has a maximum term of one year, which is renewable upon mutual agreement. Agents typically market and promote NewGenIvf’s services by word-to-mouth referrals and other measures and NewGenIvf pays the agents commission at a range of 10% to 25% of the treatment fees upon the completion of client’s treatment. Normally, agents provide potential clients’ contact information to the sales team of NewGenIvf, who then approach potential clients and provide consultation on services. With its partnerships in various countries, NewGenIvf believes it is able to better benefit from the growing market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Exclusively Owned and Licensed Technology for Family Planning and Access to Mature Fertility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i/>
                <w:sz w:val="20"/>
              </w:rPr>
              <w:t>MicroSort Technology:</w:t>
            </w:r>
            <w:r>
              <w:rPr>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i/>
                <w:sz w:val="20"/>
              </w:rPr>
              <w:t>Preimplantation Genetic Screening (“PGS”)</w:t>
            </w:r>
            <w:r>
              <w:rPr>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i/>
                <w:sz w:val="20"/>
              </w:rPr>
              <w:t>Next-Generation Sequencing (“NGS”)</w:t>
            </w:r>
            <w:r>
              <w:rPr>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i/>
                <w:sz w:val="20"/>
              </w:rPr>
              <w:t>Preimplantation Genetic Diagnosis (“PGD”)</w:t>
            </w:r>
            <w:r>
              <w:rPr>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i/>
                <w:sz w:val="20"/>
              </w:rPr>
              <w:t xml:space="preserve">Nodexus Technology: </w:t>
            </w:r>
            <w:r>
              <w:rPr>
                <w:sz w:val="20"/>
              </w:rPr>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Well Established Brand with Reliable Reputation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founders of NewGenIvf entered the fertility market as agents in 2011 by introducing patients in need to a Thailand clinic for fertility treatments. The founders of NewGenIvf started to operate their own clinic in Thailand in 2014 and subsequently added clinics in Cambodia and Kyrgyzstan. Since then, NewGenIvf has attracted clients from countries throughout Asia-Pacific, including Mainland China, Hong Kong, India, Thailand, Australia and Taiwan.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developed a relatively replicable and scalable operating model that supports high productivity at its assisted reproductive medical facilities in Asia. Under this model, NewGenIvf’s medical facilities have established standardized operating procedures to select the treatment process according to each patient’s profile. NewGenIvf’s medical and operational personnel are organized into specialized teams according to the different stages of the treatment process and different patient profiles. When patients are initially admitted or would like to seek additional medical services later on, they are assigned to one of the optimal medical teams, which NewGenIvf believes is better suited after taking into account the patient’s diagnosis and preferences. NewGenIvf believes that this model allows each team to improve its efficiency and arrange suitable physicians for patients.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physicians of NewGenIvf have also developed and employed an operating model that seeks to increase the effectiveness of physicians by utilizing standardized workflows and operating procedures with teams of supporting nurses and medical assistants. This helps to increase the number of IVF treatment cycles that physicians can perform while providing treatment customized based on patient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its established client service history, accumulated experience as well as its continuous upgrades and development of treatment models, NewGenIvf believes that it will be able to better monetize its brands through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Experienced Management Team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NewGenIvf management team has considerable experience in the ARS market and the broader healthcare industry. A considerable number of NewGenIvf’s management are physicians or laboratory technicians who possess extensive experience in the ARS industry and are experts in their respective fields. NewGenIvf’s Chief Executive Officer, Mr. Alfred Siu, has more than 13 years of experience in the fertility service market. Dr. Wiphawee Luangtangvarodom had over 8 years of experience as an obstetrician and gynecologist. NewGenIvf’s two lab supervisors, Ms. Anussara Phinyong, and Ms. Araya Boonchaisitthipong, each had over eight years of experience in the embryologist field. These individuals have extensive experience in managing assisted reproductive medical facilities. NewGenIvf is also led by other members of the professional management team, who are intimately involved in the operational and financial management of NewGenIvf’s Group. Leveraging their experience, NewGenIvf believes that it is well positioned to expand its network and aims to become a leader in the Asia Pacific ARS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vision is to provide tailored ARS solutions to fulfil patients’ dreams of becoming a parent. To realize this vision, NewGenIvf plans to adopt the following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Offer Broad Fertility Services for Fertility Tourists across Asia Pacific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provide broad fertility services for fertility tourists seeking high quality, cost effective and comprehensive fertility solutions. According to CIC, the demand for fertility tourism is driven by a variety of factors including the prevalence of infertility, the introduction of the Three-Child policy in China, the improved understanding of assisted reproductive technology and increased affordability of ARS. To address these needs, NewGenIvf plans to offer its customers a “hassle-free”, seamless and integrated ARS and hospitality arrangement experience. To complement its fertility services, NewGenIvf intends to integrate its offerings with additional services for traveling patients, most of whom are first-time fertility tourists, such as translation service, hotel arrangement and airport pickup services. NewGenIvf plans to enhance its customers’ experience by entering into exclusive cooperation arrangements with local premium hospitality providers.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Continue to Invest in Laboratories and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laboratories and treatment facilities are critical to supporting its future research, development and clients experience. NewGenIvf currently operates two laboratories that offer IVF services, one in Thailand and one in Cambodia, and plans to continue to scale up its existing laboratories. NewGenIvf plans to continue to invest in upgrading its laboratories and facilities to complement its growth and expansion, which it believes will help NewGenIvf maintain an edge over its competitors with regard to technology, operational efficiency, scalability, and client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develop advanced facilities for its existing laboratories, which will be conducting research on ARS related basic science and experiments relating to emerging technologies to improve ARS success rates and lower costs. NewGenIvf also plans to correlate its data on patient treatment protocols to the embryo physiologic data and the pregnancy success rate-related data to identify better treatment protocols to increase ARS success rates. NewGenIvf intends to continue to actively promote technological cooperation with tertiary institutions to discover ways to improve its IVF success rates. Furthermore, NewGenIvf seeks to actively deploy the technology that it possesses to expand the services it provides.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accumulated experience in treating patients over 40 years old with premature ovarian failure and patients who have had recurrent ARS implementation failure, by, for the example, injecting platelet rich plasma into the ovaries to stimulate and support growth of the follicles. NewGenIvf is also implementing certain technological advancements relevant to the ARS industry, including microfluidics, automated sperm analysers, time lapsed incubators, non-invasive preimplantation genetic testing (“PGT”) of cell-free DNA in spent media, automated systems for oocyte/embryo vitrification to reduce reagent consumption and decrease labor intensity, mitochondria replacement therapy to reconstruct oocytes by nuclear transfer of polar body genome from an MII oocyte into an enucleated donor MII cytoplasm, to increase the number of oocytes available for the treatment of infertile women, preimplantation methylome screening. There are also breakthrough developments in science including organ culture systems, induced pluripotent stem cells, embryonic stem cells, spermatogonial stem cells for creation of functional gametes, but these techniques are not yet ready for human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intends to develop clinically customised interior design concepts for its medical facilities, including improved service rooms, consultation rooms, reception areas, nutrition food areas, and traditional Chinese medicine (such as acupuncture)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Increase Brand Awareness and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maintain and strengthen its brand awareness and market share in Asia Pacific. In order to expand its reach and increase patient numbers, NewGenIvf plans to collaborate with local hospitals, companies, premium hospitality providers and other key players in the ARS industry in Asia Pacific. Additionally, NewGenIvf intends to increase brand awareness through social media promotions and marketing initiatives, and establishing its business development team with the goal of attracting new patients and partners across Asia Pacific. Meanwhile, NewGenIvf intends to provide innovative treatment services to attract more clients. For example, NewGenIvf plans to introduce IVF mental health services, which allows clients who fail in IVF treatments to access online consultation for further treatment plans such as egg donation and surrogacy. These new treatments services aim to enable NewGenIvf to attract potential clients. By adopting a comprehensive strategy to expand its market share, NewGenIvf aims to strengthen its reputation as a long-standing ARS provider and capture additional market share of the growingly ARS market in Asia-Pacific.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Expand Service Reach Through Acquisitions and Partnerships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its reputation and footprint in its current markets, NewGenIvf intends to expand its reach, services offering and client base through strategic acquisitions and/or partnerships in Asia Pacific. Acquisitions of or by companies offering similar services could not only allow NewGenIvf to diversify its client base, but also allow it to benefit from potential economies of scale and increasing efficiency through consolidation. NewGenIvf could also leverage the acquired or acquiring company’s customer base, reputation and expertise to further improve its offerings and operations. NewGenIvf intends to focus on ARS providers in Asia Pacific which possess all conventional licenses and locally recognized brands. For the global market beyond Asia Pacific, NewGenIvf intends to expand its footprint through partnerships with other IVF clinics.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plans to explore expanding its client base by offering its fertility services as part of corporate benefit programs in Asia. NewGenIvf believes that there is potential in Asia in offering fertility treatments as a benefit for employees, particularly in companies with a large number of female employees of childbearing age. By partnering with corporate clients to provide fertility benefits, NewGenIvf can increase its market reach, enhance its brand reputation, and drive client growth. NewGenIvf’s broad range of fertility services, including IVF and egg freezing, can help corporate partners differentiate their employee benefits in the competitive employment landscape, which could make them more attractive to potential employees. Additionally, by offering these services, companies can help address the growing concern of delayed childbearing, which is becoming more common among women according to CIC. NewGenIvf plans to collaborate with potential corporate clients to develop customized fertility benefit programs that cater to their specific needs, and to provide comprehensive support and counselling throughout the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NewGenIvf also intends to attract more clients by establishing its “home country gynecologist partnership program”. Under the program, NewGenIvf may, subject to its discretion and screening process, offer treatment services to clients with reduced time requirements to be spent overseas. Depending on local laws, the potential clients may be able to complete their treatments with gynecologists NewGenIvf partners with, in their home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NewGenIvf completed its acquisition of the MicroSort technology from Genetics &amp; IVF Institute, Inc. (“GIVF”). Pursuant to a Purchase Agreement dated January 21, 2025 between NewGenIvf and GIVF (“Purchase Agreement”), NewGenIvf purchased all of the Assets (as defined in the Purchase Agreement) and IP Licenses (as defined in the Purchase Agreement) relating to the MicroSort technology (as described below from GIVF for a cash consideration of $750,000 and a share consideration of 2,500,000 Class A Ordinary Shares (equivalent to 14 Class A Ordinary Shares adjusted for Reverse Stock Splits) (“MicroSort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NewGenIvf signed a Purchase Agreement to acquire certain tangible assets, company domain and six patents from Nodexus Inc.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Exclusively Owned and Licensed Technology for Family Planning and Access to Mature Fertility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i/>
                <w:sz w:val="20"/>
              </w:rPr>
              <w:t>MicroSort Technology:</w:t>
            </w:r>
            <w:r>
              <w:rPr>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i/>
                <w:sz w:val="20"/>
              </w:rPr>
              <w:t>Preimplantation Genetic Screening (“PGS”)</w:t>
            </w:r>
            <w:r>
              <w:rPr>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i/>
                <w:sz w:val="20"/>
              </w:rPr>
              <w:t>Next-Generation Sequencing (“NGS”)</w:t>
            </w:r>
            <w:r>
              <w:rPr>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i/>
                <w:sz w:val="20"/>
              </w:rPr>
              <w:t>Preimplantation Genetic Diagnosis (“PGD”)</w:t>
            </w:r>
            <w:r>
              <w:rPr>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i/>
                <w:sz w:val="20"/>
              </w:rPr>
              <w:t>Nodexus Technology</w:t>
            </w:r>
            <w:r>
              <w:rPr>
                <w:sz w:val="20"/>
              </w:rPr>
              <w:t>: 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focus on providing fertility treatments to fulfil couples and individuals’ dreams of raising children, NewGenIvf offers mainly two services, namely: (i) IVF treatment service, comprising traditional IVF and egg donation; and (ii) fertility referral services. The following table sets forth NewGenIvf’s revenue by service offerings and as a percentage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2480"/>
        <w:gridCol w:w="90"/>
        <w:gridCol w:w="90"/>
        <w:gridCol w:w="1010"/>
        <w:gridCol w:w="90"/>
        <w:gridCol w:w="90"/>
        <w:gridCol w:w="90"/>
        <w:gridCol w:w="590"/>
        <w:gridCol w:w="90"/>
        <w:gridCol w:w="90"/>
        <w:gridCol w:w="90"/>
        <w:gridCol w:w="1010"/>
        <w:gridCol w:w="90"/>
        <w:gridCol w:w="90"/>
        <w:gridCol w:w="90"/>
        <w:gridCol w:w="590"/>
        <w:gridCol w:w="135"/>
      </w:tblGrid>
      <w:tr>
        <w:trPr/>
        <w:tc>
          <w:tcPr>
            <w:tcW w:w="2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1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IVF Treatment Service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5,433,375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3,905,863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82.6</w:t>
            </w:r>
          </w:p>
        </w:tc>
        <w:tc>
          <w:tcPr>
            <w:tcW w:w="13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Fertility Referral Services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820,570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17.4</w:t>
            </w:r>
          </w:p>
        </w:tc>
        <w:tc>
          <w:tcPr>
            <w:tcW w:w="13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Total Revenue</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5,433,375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4,726,433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IVF Treatment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primarily provides its clients with conventional IVF/ICSI and embryo transfer services. NewGenIvf is also able to, through MicroSort technology, help fulfill the family-balancing dreams of its clients and avoiding certain gender-related hereditary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treatments that NewGenIvf provides address tubal factor, ovulatory dysfunction, diminished ovarian reserve, endometriosis, uterine factor, male factor, unexplained infertility and other causes. IVF bypasses the function of the fallopian tube by achieving fertilization within a laboratory environment. Ovarian hyper-stimulation is common with IVF treatments to recruit numerous follicles to increase the chances for success. Follicles are retrieved trans-vaginally using a vaginal probe and ultrasound guidance. Anaesthesia is frequently used due to the number of follicles retrieved and the resulting discomfort experienced by the patient. The eggs are identified in the follicular fluid and combined with sperm and culture medium in culture dishes, which are placed in an incubator with a temperature and gas environment designed to mimic the condition of the fallopian tubes. Once the embryos develop, typically over a 3-to-5-day period, they are transferred to the uterine cavity.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the revenue from NewGenIvf’s IVF treatments was US$5,433,375 and US$3,905,863, respectively, representing 100% and 82.6% of its total revenue in the corresponding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Treatments Process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typical IVF treatment process mainly includes two stages, the pre-IVF treatment stage and the IVF treatment stage. During the IVF treatment process, NewGenIvf also provides support services such as nutrition guidance and psychological counselling. The flow chart below shows the stages involved in a typical IVF treatment process: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371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2371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pre-IVF treatment stage, clients attend an initial consultation, undergo pre-IVF tests, and undergo treatment for gynaecological and andrological diseases, if needed. At the initial consultation, a physician reviews the clients’ detailed medical history to collect more information relating to the potential cause of their infertility. The client then undergoes various pre-IVF tests, which may include, among other things, blood pressure, hormone level, ultrasound, infectious disease screening, uterine evaluation and male fertility test. The physician will then design treatment plans based on the client’s medical history and results of the tests. If the client is satisfied with treatment plan and the test results are acceptable to the physician, the physician will prescribe medications and start stimulation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step of the cycle is to boost egg production through injecting synthetic hormones. Over about one week of ovarian stimulation, clients are monitored on a regular basis with blood test and transvaginal ultrasound. If follicles have reached at least 10 mm in size, an additional antagonist drug will be added into the daily injection schedule. This is used to prevent ovulation before ovum pickup time. After another few days of ovarian simulation, if follicle growth is consistent and majority of follicles are around 16 mm to 17 mm, the final injection of a human chorionic gonadotropin will be administered. The trigger injection is the final step of the stimulation process and is for the maturation of the eggs in the follicles before they are collected. The next major step is to retrieve the eggs with a minor surgical procedure called Trans Vaginal Follicle Aspiration conducted under anaesthesia. At the same time the male partner collects the sperms for fertilizing the eggs in the laboratory by a process known as intracytoplasmic sperm injection. The fertilized embryos are cultured in the laboratory for two to six days. Embryos that grow well are biopsied and tested by PGT to detect potential genetic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step is to transfer the embryos into the uterus using a catheter. Within eight days after the embryo transfer, a blood test can be conducted to detect whether the implantation was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technology is a preconception process developed by the Genetics and IVF Institute, Inc. that aims to improve the chances that the baby to be conceived will be of the desired gender and prevents certain gender-related hereditary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Semen samples usually contain equal amounts of sperm carrying the Y chromosome (which will produce a boy), and sperm carrying the X chromosome (which will produce a girl). During the MicroSort process, the sperm sample is washed to remove seminal liquid and nonmotile cells. After the washing, the sample is stained with a special fluorescent material that attaches to the DNA contained in the sperm. The stained sperm cells are analyzed one by one by a flow cytometer, in which cells pass through a laser to make the stain attach to the DNA fluoresce. The sperm containing the X chromosome (which have more DNA and therefore more stain) will shine brighter than the sperm containing the Y chromosome. The flow cytometer uses a special software to identify X and Y chromosome sperm based on their fluorescence signature. The sperm carrying the chromosome that will produce the desired gender are separated from the rest of the sample -resulting in an enriched sperm sample ready for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held an exclusive license granted by a division of GIVF, MicroSort International, to use the MicroSort technology in Thailand and Cambodia. MicroSort’s licenses for NewGenIvf’s operation in Thailand and Cambodia were each provided under a lease and service agreement. In April 2019, First Fertility PGS entered into a Lease and Services Agreement with MicroSort International to use MicroSort equipment in Thailand and in March 2019, Phnom Penh Center entered into a Lease and Services Agreement with MicroSort International to use MicroSort equipment in Cambodia (together, the “Lease and Services Agreements”). Pursuant to the Lease and Services Agreements, First Fertility PGS and Phnom Penh Center each had the exclusive right to utilize the MicroSort equipment and to market and sell MicroSort sperm sorting services in Thailand and Cambodia, respectively. MicroSort International was responsible for the maintenance of MicroSort equipment and technical and engineering support. The term of each Lease and Service Agreements was initially from 2019 to 2024, which shall be automatically renewed for one year unless a written notice of at least 180 days prior to the intended termination date is provided. The consideration under each of the Lease and Services Agreements was US$9,000 per month after six months. On February 28, 2025, NewGenIvf completed its acquisition of the MicroSort business from Genetics &amp; IVF Institute, Inc. (“GIVF”).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flow chart below shows the process involved in MicroSort: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019675" cy="2562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019675" cy="2562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867275" cy="26098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867275" cy="26098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Preimplantation Genetic Screening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Next-Generation Sequencing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NGS is a high-throughput technology for determining the sequence of deoxyribonucleic acid DNA or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Preimplantation Genetic Diagnosis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PGS, PGD is also used in parallel with an IVF treatment cycle. But PGD is a more enhanced process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achieve a healthy pregnancy. Individuals who suspect or know they carry genes for serious medical conditions may opt to screen for healthy embryos ahead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Egg Freezing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provides egg freezing services which is a fertility preservation service that allows individuals to freeze and store their eggs for future use. The process begins with hormonal stimulation to encourage multiple egg production, followed by a minor surgical procedure to retrieve the eggs under sedation. The eggs are then rapidly frozen using vitrification, a technique that prevents ice crystal formation, and stored in liquid nitrogen at ultra-low temperatures. This service is ideal for those delaying childbearing due to career, medical reasons (like cancer treatment), or personal choice. When ready to conceive, the eggs can be thawed, fertilized with sperm, and transferred as embryos. While success rates vary by age and clinic, egg freezing offers a proactive option for preserving fertility.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generated revenue from fertility referral services in Kyrgyzstan. For the period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Network of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had one accounting and general administrative support office located in Hong Kong and four clinics located in Thailand, in Cambodia, and in Kyrgyzstan, respectively. In the United States, we have not had office yet but acquired MicroSort Lab Services LLC from Genetic IVF Institute during 2025. The integration of the medical facilities in Thailand help NewGenIvf provide a more seamless one-stop experience to its clients. Set out below is an illustration of the locations of NewGenIvf’s clinics and accounting/general administrative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62625" cy="2971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62625" cy="2971800"/>
                    </a:xfrm>
                    <a:prstGeom prst="rect">
                      <a:avLst/>
                    </a:prstGeom>
                  </pic:spPr>
                </pic:pic>
              </a:graphicData>
            </a:graphic>
          </wp:inline>
        </w:drawing>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approximate aggregate average gross floor area (“</w:t>
      </w:r>
      <w:r>
        <w:rPr>
          <w:rFonts w:ascii="Times New Roman;Times;Serif" w:hAnsi="Times New Roman;Times;Serif"/>
          <w:b/>
          <w:i w:val="false"/>
          <w:caps w:val="false"/>
          <w:smallCaps w:val="false"/>
          <w:sz w:val="20"/>
        </w:rPr>
        <w:t>G.F.A.</w:t>
      </w:r>
      <w:r>
        <w:rPr>
          <w:rFonts w:ascii="Times New Roman;Times;Serif" w:hAnsi="Times New Roman;Times;Serif"/>
          <w:b w:val="false"/>
          <w:i w:val="false"/>
          <w:caps w:val="false"/>
          <w:smallCaps w:val="false"/>
          <w:sz w:val="20"/>
        </w:rPr>
        <w:t>”) of each of NewGenIvf’s clinics that were under lease and actively used for client service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5874" w:type="dxa"/>
        <w:jc w:val="left"/>
        <w:tblInd w:w="0" w:type="dxa"/>
        <w:tblLayout w:type="fixed"/>
        <w:tblCellMar>
          <w:top w:w="0" w:type="dxa"/>
          <w:left w:w="0" w:type="dxa"/>
          <w:bottom w:w="0" w:type="dxa"/>
          <w:right w:w="0" w:type="dxa"/>
        </w:tblCellMar>
      </w:tblPr>
      <w:tblGrid>
        <w:gridCol w:w="4145"/>
        <w:gridCol w:w="90"/>
        <w:gridCol w:w="168"/>
        <w:gridCol w:w="1336"/>
        <w:gridCol w:w="135"/>
      </w:tblGrid>
      <w:tr>
        <w:trPr/>
        <w:tc>
          <w:tcPr>
            <w:tcW w:w="4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2024</w:t>
            </w:r>
          </w:p>
        </w:tc>
        <w:tc>
          <w:tcPr>
            <w:tcW w:w="13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(Square Feet)</w:t>
            </w:r>
          </w:p>
        </w:tc>
        <w:tc>
          <w:tcPr>
            <w:tcW w:w="13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b/>
                <w:i/>
              </w:rPr>
            </w:pPr>
            <w:r>
              <w:rPr>
                <w:b/>
                <w:i/>
              </w:rPr>
              <w:t>Thailand</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sz w:val="20"/>
              </w:rPr>
            </w:pPr>
            <w:r>
              <w:rPr>
                <w:sz w:val="20"/>
              </w:rPr>
              <w:t>First Fertility PGS Center Co., Ltd. – PS Tower</w:t>
              <w:br/>
              <w:t>(“</w:t>
            </w:r>
            <w:r>
              <w:rPr>
                <w:b/>
                <w:sz w:val="20"/>
              </w:rPr>
              <w:t>First Fertility PGS Center</w:t>
            </w:r>
            <w:r>
              <w:rPr>
                <w:sz w:val="20"/>
              </w:rPr>
              <w:t>”)</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14,750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sz w:val="20"/>
              </w:rPr>
            </w:pPr>
            <w:r>
              <w:rPr>
                <w:sz w:val="20"/>
              </w:rPr>
              <w:t xml:space="preserve">First Fertility PGS Center Co., Ltd – Erawan Hotel </w:t>
            </w:r>
            <w:r>
              <w:rPr>
                <w:b/>
                <w:sz w:val="20"/>
              </w:rPr>
              <w:br/>
              <w:t>(“First Fertility PGS Center”)</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2,615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b/>
                <w:i/>
              </w:rPr>
            </w:pPr>
            <w:r>
              <w:rPr>
                <w:b/>
                <w:i/>
              </w:rPr>
              <w:t>Cambodia</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sz w:val="20"/>
              </w:rPr>
            </w:pPr>
            <w:r>
              <w:rPr>
                <w:sz w:val="20"/>
              </w:rPr>
              <w:t xml:space="preserve">First Fertility Phnom Penh Center </w:t>
              <w:br/>
              <w:t>(“</w:t>
            </w:r>
            <w:r>
              <w:rPr>
                <w:b/>
                <w:sz w:val="20"/>
              </w:rPr>
              <w:t>Phnom Penh Center</w:t>
            </w:r>
            <w:r>
              <w:rPr>
                <w:sz w:val="20"/>
              </w:rPr>
              <w:t>”)</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18,567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b/>
                <w:i/>
              </w:rPr>
            </w:pPr>
            <w:r>
              <w:rPr>
                <w:b/>
                <w:i/>
              </w:rPr>
              <w:t>Kyrgyzstan</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pPr>
            <w:r>
              <w:rPr/>
              <w:t xml:space="preserve">Bi Clinic Limited Liability Company </w:t>
              <w:br/>
              <w:t>(“Bi Clinic”)</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2,164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b/>
              </w:rPr>
            </w:pPr>
            <w:r>
              <w:rPr>
                <w:b/>
              </w:rPr>
              <w:t>Aggregate G.F.A</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38,096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the scale of NewGenIvf’s operations, NewGenIvf expanded its Thailand fertility services by leasing a new property for its second clinic Erawan Consultation Clinic in May 2023. Consisting of approximately 2,615 sq. ft., Erawan Consultation Clinic was open in June 2025 and closed in April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IVF treatments are performed in its Thailand and Cambodia clinics, egg donation services are provided in its Cambodia clinic, and surrogacy services are provided in its Kyrgyzstan clinic. The following table summarises the services available at NewGenIvf’s clinics:</w:t>
      </w:r>
    </w:p>
    <w:p>
      <w:pPr>
        <w:pStyle w:val="TextBody"/>
        <w:bidi w:val="0"/>
        <w:spacing w:before="0" w:after="0"/>
        <w:ind w:left="0" w:right="0" w:firstLine="720"/>
        <w:jc w:val="both"/>
        <w:rPr>
          <w:caps w:val="false"/>
          <w:smallCaps w:val="false"/>
        </w:rPr>
      </w:pPr>
      <w:r>
        <w:rPr>
          <w:caps w:val="false"/>
          <w:smallCaps w:val="false"/>
        </w:rPr>
        <w:t> </w:t>
      </w:r>
    </w:p>
    <w:tbl>
      <w:tblPr>
        <w:tblW w:w="7965" w:type="dxa"/>
        <w:jc w:val="left"/>
        <w:tblInd w:w="0" w:type="dxa"/>
        <w:tblLayout w:type="fixed"/>
        <w:tblCellMar>
          <w:top w:w="0" w:type="dxa"/>
          <w:left w:w="0" w:type="dxa"/>
          <w:bottom w:w="0" w:type="dxa"/>
          <w:right w:w="0" w:type="dxa"/>
        </w:tblCellMar>
      </w:tblPr>
      <w:tblGrid>
        <w:gridCol w:w="5720"/>
        <w:gridCol w:w="90"/>
        <w:gridCol w:w="1025"/>
        <w:gridCol w:w="90"/>
        <w:gridCol w:w="1040"/>
      </w:tblGrid>
      <w:tr>
        <w:trPr/>
        <w:tc>
          <w:tcPr>
            <w:tcW w:w="57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 xml:space="preserve">IVF </w:t>
              <w:br/>
              <w:t>Treatments</w:t>
            </w:r>
          </w:p>
        </w:tc>
        <w:tc>
          <w:tcPr>
            <w:tcW w:w="90" w:type="dxa"/>
            <w:tcBorders/>
            <w:shd w:fill="FFFFFF" w:val="clear"/>
            <w:vAlign w:val="center"/>
          </w:tcPr>
          <w:p>
            <w:pPr>
              <w:pStyle w:val="TableContents"/>
              <w:bidi w:val="0"/>
              <w:spacing w:before="0" w:after="283"/>
              <w:jc w:val="left"/>
              <w:rPr/>
            </w:pPr>
            <w:r>
              <w:rPr/>
              <w:t> </w:t>
            </w:r>
          </w:p>
        </w:tc>
        <w:tc>
          <w:tcPr>
            <w:tcW w:w="1040"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 xml:space="preserve">Surrogacy </w:t>
              <w:br/>
              <w:t>Services</w:t>
            </w:r>
          </w:p>
        </w:tc>
      </w:tr>
      <w:tr>
        <w:trPr/>
        <w:tc>
          <w:tcPr>
            <w:tcW w:w="5720" w:type="dxa"/>
            <w:tcBorders/>
            <w:shd w:fill="CEEEFE" w:val="clear"/>
            <w:vAlign w:val="center"/>
          </w:tcPr>
          <w:p>
            <w:pPr>
              <w:pStyle w:val="TableContents"/>
              <w:bidi w:val="0"/>
              <w:spacing w:before="0" w:after="283"/>
              <w:jc w:val="left"/>
              <w:rPr>
                <w:b/>
                <w:i/>
                <w:sz w:val="20"/>
              </w:rPr>
            </w:pPr>
            <w:r>
              <w:rPr>
                <w:b/>
                <w:i/>
                <w:sz w:val="20"/>
              </w:rPr>
              <w:t>Thailand</w:t>
            </w:r>
          </w:p>
        </w:tc>
        <w:tc>
          <w:tcPr>
            <w:tcW w:w="90" w:type="dxa"/>
            <w:tcBorders/>
            <w:shd w:fill="CEEEFE" w:val="clear"/>
            <w:vAlign w:val="center"/>
          </w:tcPr>
          <w:p>
            <w:pPr>
              <w:pStyle w:val="TableContents"/>
              <w:bidi w:val="0"/>
              <w:spacing w:before="0" w:after="283"/>
              <w:jc w:val="left"/>
              <w:rPr/>
            </w:pPr>
            <w:r>
              <w:rPr/>
              <w:t> </w:t>
            </w:r>
          </w:p>
        </w:tc>
        <w:tc>
          <w:tcPr>
            <w:tcW w:w="1025" w:type="dxa"/>
            <w:tcBorders/>
            <w:shd w:fill="CEEEFE" w:val="clear"/>
            <w:vAlign w:val="center"/>
          </w:tcPr>
          <w:p>
            <w:pPr>
              <w:pStyle w:val="TableContents"/>
              <w:bidi w:val="0"/>
              <w:spacing w:before="0" w:after="283"/>
              <w:jc w:val="left"/>
              <w:rPr/>
            </w:pPr>
            <w:r>
              <w:rPr/>
              <w:t> </w:t>
            </w:r>
          </w:p>
        </w:tc>
        <w:tc>
          <w:tcPr>
            <w:tcW w:w="90" w:type="dxa"/>
            <w:tcBorders/>
            <w:shd w:fill="CEEEFE" w:val="clear"/>
            <w:vAlign w:val="center"/>
          </w:tcPr>
          <w:p>
            <w:pPr>
              <w:pStyle w:val="TableContents"/>
              <w:bidi w:val="0"/>
              <w:spacing w:before="0" w:after="283"/>
              <w:jc w:val="left"/>
              <w:rPr/>
            </w:pPr>
            <w:r>
              <w:rPr/>
              <w:t> </w:t>
            </w:r>
          </w:p>
        </w:tc>
        <w:tc>
          <w:tcPr>
            <w:tcW w:w="1040" w:type="dxa"/>
            <w:tcBorders/>
            <w:shd w:fill="CEEEFE" w:val="clear"/>
            <w:vAlign w:val="center"/>
          </w:tcPr>
          <w:p>
            <w:pPr>
              <w:pStyle w:val="TableContents"/>
              <w:bidi w:val="0"/>
              <w:spacing w:before="0" w:after="283"/>
              <w:jc w:val="left"/>
              <w:rPr/>
            </w:pPr>
            <w:r>
              <w:rPr/>
              <w:t> </w:t>
            </w:r>
          </w:p>
        </w:tc>
      </w:tr>
      <w:tr>
        <w:trPr/>
        <w:tc>
          <w:tcPr>
            <w:tcW w:w="5720" w:type="dxa"/>
            <w:tcBorders/>
            <w:shd w:fill="CEEEFE" w:val="clear"/>
            <w:vAlign w:val="center"/>
          </w:tcPr>
          <w:p>
            <w:pPr>
              <w:pStyle w:val="TableContents"/>
              <w:bidi w:val="0"/>
              <w:spacing w:before="0" w:after="283"/>
              <w:jc w:val="left"/>
              <w:rPr>
                <w:sz w:val="20"/>
              </w:rPr>
            </w:pPr>
            <w:r>
              <w:rPr>
                <w:sz w:val="20"/>
              </w:rPr>
              <w:t>First Fertility PGS Center (PS Tower)</w:t>
            </w:r>
          </w:p>
        </w:tc>
        <w:tc>
          <w:tcPr>
            <w:tcW w:w="90" w:type="dxa"/>
            <w:tcBorders/>
            <w:shd w:fill="CEEEFE" w:val="clear"/>
            <w:vAlign w:val="center"/>
          </w:tcPr>
          <w:p>
            <w:pPr>
              <w:pStyle w:val="TableContents"/>
              <w:bidi w:val="0"/>
              <w:spacing w:before="0" w:after="283"/>
              <w:jc w:val="left"/>
              <w:rPr/>
            </w:pPr>
            <w:r>
              <w:rPr/>
              <w:t> </w:t>
            </w:r>
          </w:p>
        </w:tc>
        <w:tc>
          <w:tcPr>
            <w:tcW w:w="1025" w:type="dxa"/>
            <w:tcBorders/>
            <w:shd w:fill="CEEEFE" w:val="clear"/>
            <w:vAlign w:val="center"/>
          </w:tcPr>
          <w:p>
            <w:pPr>
              <w:pStyle w:val="TableContents"/>
              <w:bidi w:val="0"/>
              <w:spacing w:before="0" w:after="283"/>
              <w:jc w:val="center"/>
              <w:rPr/>
            </w:pPr>
            <w:r>
              <w:rPr/>
              <w:t>√</w:t>
            </w:r>
          </w:p>
        </w:tc>
        <w:tc>
          <w:tcPr>
            <w:tcW w:w="90" w:type="dxa"/>
            <w:tcBorders/>
            <w:shd w:fill="CEEEFE" w:val="clear"/>
            <w:vAlign w:val="center"/>
          </w:tcPr>
          <w:p>
            <w:pPr>
              <w:pStyle w:val="TableContents"/>
              <w:bidi w:val="0"/>
              <w:spacing w:before="0" w:after="283"/>
              <w:jc w:val="left"/>
              <w:rPr/>
            </w:pPr>
            <w:r>
              <w:rPr/>
              <w:t> </w:t>
            </w:r>
          </w:p>
        </w:tc>
        <w:tc>
          <w:tcPr>
            <w:tcW w:w="1040" w:type="dxa"/>
            <w:tcBorders/>
            <w:shd w:fill="CEEEFE" w:val="clear"/>
            <w:vAlign w:val="center"/>
          </w:tcPr>
          <w:p>
            <w:pPr>
              <w:pStyle w:val="TableContents"/>
              <w:bidi w:val="0"/>
              <w:spacing w:before="0" w:after="283"/>
              <w:jc w:val="center"/>
              <w:rPr>
                <w:sz w:val="20"/>
              </w:rPr>
            </w:pPr>
            <w:r>
              <w:rPr>
                <w:sz w:val="20"/>
              </w:rPr>
              <w:t>×</w:t>
            </w:r>
          </w:p>
        </w:tc>
      </w:tr>
      <w:tr>
        <w:trPr/>
        <w:tc>
          <w:tcPr>
            <w:tcW w:w="5720" w:type="dxa"/>
            <w:tcBorders/>
            <w:shd w:fill="CEEEFE" w:val="clear"/>
            <w:vAlign w:val="center"/>
          </w:tcPr>
          <w:p>
            <w:pPr>
              <w:pStyle w:val="TableContents"/>
              <w:bidi w:val="0"/>
              <w:spacing w:before="0" w:after="283"/>
              <w:jc w:val="left"/>
              <w:rPr>
                <w:sz w:val="20"/>
              </w:rPr>
            </w:pPr>
            <w:r>
              <w:rPr>
                <w:sz w:val="20"/>
              </w:rPr>
              <w:t>First Fertility PGS Center (Erawan Hotel) – closed down in April 2026</w:t>
            </w:r>
          </w:p>
        </w:tc>
        <w:tc>
          <w:tcPr>
            <w:tcW w:w="90" w:type="dxa"/>
            <w:tcBorders/>
            <w:shd w:fill="CEEEFE" w:val="clear"/>
            <w:vAlign w:val="center"/>
          </w:tcPr>
          <w:p>
            <w:pPr>
              <w:pStyle w:val="TableContents"/>
              <w:bidi w:val="0"/>
              <w:spacing w:before="0" w:after="283"/>
              <w:jc w:val="left"/>
              <w:rPr/>
            </w:pPr>
            <w:r>
              <w:rPr/>
              <w:t> </w:t>
            </w:r>
          </w:p>
        </w:tc>
        <w:tc>
          <w:tcPr>
            <w:tcW w:w="1025" w:type="dxa"/>
            <w:tcBorders/>
            <w:shd w:fill="CEEEFE" w:val="clear"/>
            <w:vAlign w:val="center"/>
          </w:tcPr>
          <w:p>
            <w:pPr>
              <w:pStyle w:val="TableContents"/>
              <w:bidi w:val="0"/>
              <w:spacing w:before="0" w:after="283"/>
              <w:jc w:val="center"/>
              <w:rPr/>
            </w:pPr>
            <w:r>
              <w:rPr/>
              <w:t>√</w:t>
            </w:r>
          </w:p>
        </w:tc>
        <w:tc>
          <w:tcPr>
            <w:tcW w:w="90" w:type="dxa"/>
            <w:tcBorders/>
            <w:shd w:fill="CEEEFE" w:val="clear"/>
            <w:vAlign w:val="center"/>
          </w:tcPr>
          <w:p>
            <w:pPr>
              <w:pStyle w:val="TableContents"/>
              <w:bidi w:val="0"/>
              <w:spacing w:before="0" w:after="283"/>
              <w:jc w:val="left"/>
              <w:rPr/>
            </w:pPr>
            <w:r>
              <w:rPr/>
              <w:t> </w:t>
            </w:r>
          </w:p>
        </w:tc>
        <w:tc>
          <w:tcPr>
            <w:tcW w:w="1040" w:type="dxa"/>
            <w:tcBorders/>
            <w:shd w:fill="CEEEFE" w:val="clear"/>
            <w:vAlign w:val="center"/>
          </w:tcPr>
          <w:p>
            <w:pPr>
              <w:pStyle w:val="TableContents"/>
              <w:bidi w:val="0"/>
              <w:spacing w:before="0" w:after="283"/>
              <w:jc w:val="center"/>
              <w:rPr>
                <w:sz w:val="20"/>
              </w:rPr>
            </w:pPr>
            <w:r>
              <w:rPr>
                <w:sz w:val="20"/>
              </w:rPr>
              <w:t>×</w:t>
            </w:r>
          </w:p>
        </w:tc>
      </w:tr>
      <w:tr>
        <w:trPr/>
        <w:tc>
          <w:tcPr>
            <w:tcW w:w="57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r>
      <w:tr>
        <w:trPr/>
        <w:tc>
          <w:tcPr>
            <w:tcW w:w="5720" w:type="dxa"/>
            <w:tcBorders/>
            <w:shd w:fill="CEEEFE" w:val="clear"/>
            <w:vAlign w:val="center"/>
          </w:tcPr>
          <w:p>
            <w:pPr>
              <w:pStyle w:val="TableContents"/>
              <w:bidi w:val="0"/>
              <w:spacing w:before="0" w:after="283"/>
              <w:jc w:val="left"/>
              <w:rPr>
                <w:b/>
                <w:i/>
                <w:sz w:val="20"/>
              </w:rPr>
            </w:pPr>
            <w:r>
              <w:rPr>
                <w:b/>
                <w:i/>
                <w:sz w:val="20"/>
              </w:rPr>
              <w:t>Cambodia</w:t>
            </w:r>
          </w:p>
        </w:tc>
        <w:tc>
          <w:tcPr>
            <w:tcW w:w="90" w:type="dxa"/>
            <w:tcBorders/>
            <w:shd w:fill="CEEEFE" w:val="clear"/>
            <w:vAlign w:val="center"/>
          </w:tcPr>
          <w:p>
            <w:pPr>
              <w:pStyle w:val="TableContents"/>
              <w:bidi w:val="0"/>
              <w:spacing w:before="0" w:after="283"/>
              <w:jc w:val="left"/>
              <w:rPr/>
            </w:pPr>
            <w:r>
              <w:rPr/>
              <w:t> </w:t>
            </w:r>
          </w:p>
        </w:tc>
        <w:tc>
          <w:tcPr>
            <w:tcW w:w="1025" w:type="dxa"/>
            <w:tcBorders/>
            <w:shd w:fill="CEEEFE" w:val="clear"/>
            <w:vAlign w:val="center"/>
          </w:tcPr>
          <w:p>
            <w:pPr>
              <w:pStyle w:val="TableContents"/>
              <w:bidi w:val="0"/>
              <w:spacing w:before="0" w:after="283"/>
              <w:jc w:val="left"/>
              <w:rPr/>
            </w:pPr>
            <w:r>
              <w:rPr/>
              <w:t> </w:t>
            </w:r>
          </w:p>
        </w:tc>
        <w:tc>
          <w:tcPr>
            <w:tcW w:w="90" w:type="dxa"/>
            <w:tcBorders/>
            <w:shd w:fill="CEEEFE" w:val="clear"/>
            <w:vAlign w:val="center"/>
          </w:tcPr>
          <w:p>
            <w:pPr>
              <w:pStyle w:val="TableContents"/>
              <w:bidi w:val="0"/>
              <w:spacing w:before="0" w:after="283"/>
              <w:jc w:val="left"/>
              <w:rPr/>
            </w:pPr>
            <w:r>
              <w:rPr/>
              <w:t> </w:t>
            </w:r>
          </w:p>
        </w:tc>
        <w:tc>
          <w:tcPr>
            <w:tcW w:w="1040" w:type="dxa"/>
            <w:tcBorders/>
            <w:shd w:fill="CEEEFE" w:val="clear"/>
            <w:vAlign w:val="center"/>
          </w:tcPr>
          <w:p>
            <w:pPr>
              <w:pStyle w:val="TableContents"/>
              <w:bidi w:val="0"/>
              <w:spacing w:before="0" w:after="283"/>
              <w:jc w:val="left"/>
              <w:rPr/>
            </w:pPr>
            <w:r>
              <w:rPr/>
              <w:t> </w:t>
            </w:r>
          </w:p>
        </w:tc>
      </w:tr>
      <w:tr>
        <w:trPr/>
        <w:tc>
          <w:tcPr>
            <w:tcW w:w="5720" w:type="dxa"/>
            <w:tcBorders/>
            <w:shd w:fill="CEEEFE" w:val="clear"/>
            <w:vAlign w:val="center"/>
          </w:tcPr>
          <w:p>
            <w:pPr>
              <w:pStyle w:val="TableContents"/>
              <w:bidi w:val="0"/>
              <w:spacing w:before="0" w:after="283"/>
              <w:jc w:val="left"/>
              <w:rPr>
                <w:sz w:val="20"/>
              </w:rPr>
            </w:pPr>
            <w:r>
              <w:rPr>
                <w:sz w:val="20"/>
              </w:rPr>
              <w:t>Phnom Penh Center</w:t>
            </w:r>
          </w:p>
        </w:tc>
        <w:tc>
          <w:tcPr>
            <w:tcW w:w="90" w:type="dxa"/>
            <w:tcBorders/>
            <w:shd w:fill="CEEEFE" w:val="clear"/>
            <w:vAlign w:val="center"/>
          </w:tcPr>
          <w:p>
            <w:pPr>
              <w:pStyle w:val="TableContents"/>
              <w:bidi w:val="0"/>
              <w:spacing w:before="0" w:after="283"/>
              <w:jc w:val="left"/>
              <w:rPr/>
            </w:pPr>
            <w:r>
              <w:rPr/>
              <w:t> </w:t>
            </w:r>
          </w:p>
        </w:tc>
        <w:tc>
          <w:tcPr>
            <w:tcW w:w="1025" w:type="dxa"/>
            <w:tcBorders/>
            <w:shd w:fill="CEEEFE" w:val="clear"/>
            <w:vAlign w:val="center"/>
          </w:tcPr>
          <w:p>
            <w:pPr>
              <w:pStyle w:val="TableContents"/>
              <w:bidi w:val="0"/>
              <w:spacing w:before="0" w:after="283"/>
              <w:jc w:val="center"/>
              <w:rPr/>
            </w:pPr>
            <w:r>
              <w:rPr/>
              <w:t>√</w:t>
            </w:r>
          </w:p>
        </w:tc>
        <w:tc>
          <w:tcPr>
            <w:tcW w:w="90" w:type="dxa"/>
            <w:tcBorders/>
            <w:shd w:fill="CEEEFE" w:val="clear"/>
            <w:vAlign w:val="center"/>
          </w:tcPr>
          <w:p>
            <w:pPr>
              <w:pStyle w:val="TableContents"/>
              <w:bidi w:val="0"/>
              <w:spacing w:before="0" w:after="283"/>
              <w:jc w:val="left"/>
              <w:rPr/>
            </w:pPr>
            <w:r>
              <w:rPr/>
              <w:t> </w:t>
            </w:r>
          </w:p>
        </w:tc>
        <w:tc>
          <w:tcPr>
            <w:tcW w:w="1040" w:type="dxa"/>
            <w:tcBorders/>
            <w:shd w:fill="CEEEFE" w:val="clear"/>
            <w:vAlign w:val="center"/>
          </w:tcPr>
          <w:p>
            <w:pPr>
              <w:pStyle w:val="TableContents"/>
              <w:bidi w:val="0"/>
              <w:spacing w:before="0" w:after="283"/>
              <w:jc w:val="center"/>
              <w:rPr>
                <w:sz w:val="20"/>
              </w:rPr>
            </w:pPr>
            <w:r>
              <w:rPr>
                <w:sz w:val="20"/>
              </w:rPr>
              <w:t>×</w:t>
            </w:r>
          </w:p>
        </w:tc>
      </w:tr>
      <w:tr>
        <w:trPr/>
        <w:tc>
          <w:tcPr>
            <w:tcW w:w="57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r>
      <w:tr>
        <w:trPr/>
        <w:tc>
          <w:tcPr>
            <w:tcW w:w="5720" w:type="dxa"/>
            <w:tcBorders/>
            <w:shd w:fill="CEEEFE" w:val="clear"/>
            <w:vAlign w:val="center"/>
          </w:tcPr>
          <w:p>
            <w:pPr>
              <w:pStyle w:val="TableContents"/>
              <w:bidi w:val="0"/>
              <w:spacing w:before="0" w:after="283"/>
              <w:jc w:val="left"/>
              <w:rPr>
                <w:b/>
                <w:i/>
                <w:sz w:val="20"/>
              </w:rPr>
            </w:pPr>
            <w:r>
              <w:rPr>
                <w:b/>
                <w:i/>
                <w:sz w:val="20"/>
              </w:rPr>
              <w:t>Kyrgyzstan</w:t>
            </w:r>
          </w:p>
        </w:tc>
        <w:tc>
          <w:tcPr>
            <w:tcW w:w="90" w:type="dxa"/>
            <w:tcBorders/>
            <w:shd w:fill="CEEEFE" w:val="clear"/>
            <w:vAlign w:val="center"/>
          </w:tcPr>
          <w:p>
            <w:pPr>
              <w:pStyle w:val="TableContents"/>
              <w:bidi w:val="0"/>
              <w:spacing w:before="0" w:after="283"/>
              <w:jc w:val="left"/>
              <w:rPr/>
            </w:pPr>
            <w:r>
              <w:rPr/>
              <w:t> </w:t>
            </w:r>
          </w:p>
        </w:tc>
        <w:tc>
          <w:tcPr>
            <w:tcW w:w="1025" w:type="dxa"/>
            <w:tcBorders/>
            <w:shd w:fill="CEEEFE" w:val="clear"/>
            <w:vAlign w:val="center"/>
          </w:tcPr>
          <w:p>
            <w:pPr>
              <w:pStyle w:val="TableContents"/>
              <w:bidi w:val="0"/>
              <w:spacing w:before="0" w:after="283"/>
              <w:jc w:val="left"/>
              <w:rPr/>
            </w:pPr>
            <w:r>
              <w:rPr/>
              <w:t> </w:t>
            </w:r>
          </w:p>
        </w:tc>
        <w:tc>
          <w:tcPr>
            <w:tcW w:w="90" w:type="dxa"/>
            <w:tcBorders/>
            <w:shd w:fill="CEEEFE" w:val="clear"/>
            <w:vAlign w:val="center"/>
          </w:tcPr>
          <w:p>
            <w:pPr>
              <w:pStyle w:val="TableContents"/>
              <w:bidi w:val="0"/>
              <w:spacing w:before="0" w:after="283"/>
              <w:jc w:val="left"/>
              <w:rPr/>
            </w:pPr>
            <w:r>
              <w:rPr/>
              <w:t> </w:t>
            </w:r>
          </w:p>
        </w:tc>
        <w:tc>
          <w:tcPr>
            <w:tcW w:w="1040" w:type="dxa"/>
            <w:tcBorders/>
            <w:shd w:fill="CEEEFE" w:val="clear"/>
            <w:vAlign w:val="center"/>
          </w:tcPr>
          <w:p>
            <w:pPr>
              <w:pStyle w:val="TableContents"/>
              <w:bidi w:val="0"/>
              <w:spacing w:before="0" w:after="283"/>
              <w:jc w:val="left"/>
              <w:rPr/>
            </w:pPr>
            <w:r>
              <w:rPr/>
              <w:t> </w:t>
            </w:r>
          </w:p>
        </w:tc>
      </w:tr>
      <w:tr>
        <w:trPr/>
        <w:tc>
          <w:tcPr>
            <w:tcW w:w="5720" w:type="dxa"/>
            <w:tcBorders/>
            <w:shd w:fill="CEEEFE" w:val="clear"/>
            <w:vAlign w:val="center"/>
          </w:tcPr>
          <w:p>
            <w:pPr>
              <w:pStyle w:val="TableContents"/>
              <w:bidi w:val="0"/>
              <w:spacing w:before="0" w:after="283"/>
              <w:jc w:val="left"/>
              <w:rPr>
                <w:sz w:val="20"/>
              </w:rPr>
            </w:pPr>
            <w:r>
              <w:rPr>
                <w:sz w:val="20"/>
              </w:rPr>
              <w:t xml:space="preserve">BiClinic </w:t>
            </w:r>
          </w:p>
        </w:tc>
        <w:tc>
          <w:tcPr>
            <w:tcW w:w="90" w:type="dxa"/>
            <w:tcBorders/>
            <w:shd w:fill="CEEEFE" w:val="clear"/>
            <w:vAlign w:val="center"/>
          </w:tcPr>
          <w:p>
            <w:pPr>
              <w:pStyle w:val="TableContents"/>
              <w:bidi w:val="0"/>
              <w:spacing w:before="0" w:after="283"/>
              <w:jc w:val="left"/>
              <w:rPr/>
            </w:pPr>
            <w:r>
              <w:rPr/>
              <w:t> </w:t>
            </w:r>
          </w:p>
        </w:tc>
        <w:tc>
          <w:tcPr>
            <w:tcW w:w="1025" w:type="dxa"/>
            <w:tcBorders/>
            <w:shd w:fill="CEEEFE" w:val="clear"/>
            <w:vAlign w:val="center"/>
          </w:tcPr>
          <w:p>
            <w:pPr>
              <w:pStyle w:val="TableContents"/>
              <w:bidi w:val="0"/>
              <w:spacing w:before="0" w:after="283"/>
              <w:jc w:val="center"/>
              <w:rPr/>
            </w:pPr>
            <w:r>
              <w:rPr/>
              <w:t>√</w:t>
            </w:r>
          </w:p>
        </w:tc>
        <w:tc>
          <w:tcPr>
            <w:tcW w:w="90" w:type="dxa"/>
            <w:tcBorders/>
            <w:shd w:fill="CEEEFE" w:val="clear"/>
            <w:vAlign w:val="center"/>
          </w:tcPr>
          <w:p>
            <w:pPr>
              <w:pStyle w:val="TableContents"/>
              <w:bidi w:val="0"/>
              <w:spacing w:before="0" w:after="283"/>
              <w:jc w:val="left"/>
              <w:rPr/>
            </w:pPr>
            <w:r>
              <w:rPr/>
              <w:t> </w:t>
            </w:r>
          </w:p>
        </w:tc>
        <w:tc>
          <w:tcPr>
            <w:tcW w:w="1040" w:type="dxa"/>
            <w:tcBorders/>
            <w:shd w:fill="CEEEFE" w:val="clear"/>
            <w:vAlign w:val="center"/>
          </w:tcPr>
          <w:p>
            <w:pPr>
              <w:pStyle w:val="TableContents"/>
              <w:bidi w:val="0"/>
              <w:spacing w:before="0" w:after="283"/>
              <w:jc w:val="center"/>
              <w:rPr/>
            </w:pPr>
            <w:r>
              <w:rPr/>
              <w:t>√</w:t>
            </w:r>
          </w:p>
        </w:tc>
      </w:tr>
    </w:tbl>
    <w:p>
      <w:pPr>
        <w:pStyle w:val="TextBody"/>
        <w:bidi w:val="0"/>
        <w:spacing w:before="0" w:after="0"/>
        <w:ind w:left="480" w:right="0" w:hanging="480"/>
        <w:jc w:val="left"/>
        <w:rPr>
          <w:caps w:val="false"/>
          <w:smallCaps w:val="false"/>
        </w:rPr>
      </w:pPr>
      <w:r>
        <w:rPr>
          <w:caps w:val="false"/>
          <w:smallCaps w:val="false"/>
        </w:rPr>
        <w:t> </w:t>
      </w:r>
    </w:p>
    <w:tbl>
      <w:tblPr>
        <w:tblW w:w="885" w:type="dxa"/>
        <w:jc w:val="left"/>
        <w:tblInd w:w="0" w:type="dxa"/>
        <w:tblLayout w:type="fixed"/>
        <w:tblCellMar>
          <w:top w:w="0" w:type="dxa"/>
          <w:left w:w="0" w:type="dxa"/>
          <w:bottom w:w="0" w:type="dxa"/>
          <w:right w:w="0" w:type="dxa"/>
        </w:tblCellMar>
      </w:tblPr>
      <w:tblGrid>
        <w:gridCol w:w="200"/>
        <w:gridCol w:w="290"/>
        <w:gridCol w:w="395"/>
      </w:tblGrid>
      <w:tr>
        <w:trPr/>
        <w:tc>
          <w:tcPr>
            <w:tcW w:w="200" w:type="dxa"/>
            <w:tcBorders/>
            <w:vAlign w:val="center"/>
          </w:tcPr>
          <w:p>
            <w:pPr>
              <w:pStyle w:val="TableContents"/>
              <w:bidi w:val="0"/>
              <w:spacing w:before="0" w:after="283"/>
              <w:jc w:val="both"/>
              <w:rPr/>
            </w:pPr>
            <w:r>
              <w:rPr/>
              <w:t>√</w:t>
            </w:r>
          </w:p>
        </w:tc>
        <w:tc>
          <w:tcPr>
            <w:tcW w:w="290" w:type="dxa"/>
            <w:tcBorders/>
            <w:vAlign w:val="center"/>
          </w:tcPr>
          <w:p>
            <w:pPr>
              <w:pStyle w:val="TableContents"/>
              <w:bidi w:val="0"/>
              <w:spacing w:before="0" w:after="283"/>
              <w:jc w:val="left"/>
              <w:rPr/>
            </w:pPr>
            <w:r>
              <w:rPr/>
              <w:t>—</w:t>
            </w:r>
          </w:p>
        </w:tc>
        <w:tc>
          <w:tcPr>
            <w:tcW w:w="395" w:type="dxa"/>
            <w:tcBorders/>
            <w:vAlign w:val="center"/>
          </w:tcPr>
          <w:p>
            <w:pPr>
              <w:pStyle w:val="TableContents"/>
              <w:bidi w:val="0"/>
              <w:spacing w:before="0" w:after="283"/>
              <w:jc w:val="both"/>
              <w:rPr>
                <w:sz w:val="20"/>
              </w:rPr>
            </w:pPr>
            <w:r>
              <w:rPr>
                <w:sz w:val="20"/>
              </w:rPr>
              <w:t>Yes</w:t>
            </w:r>
          </w:p>
        </w:tc>
      </w:tr>
    </w:tbl>
    <w:p>
      <w:pPr>
        <w:pStyle w:val="TextBody"/>
        <w:bidi w:val="0"/>
        <w:spacing w:before="0" w:after="0"/>
        <w:ind w:left="0" w:right="0" w:hanging="0"/>
        <w:jc w:val="left"/>
        <w:rPr>
          <w:caps w:val="false"/>
          <w:smallCaps w:val="false"/>
        </w:rPr>
      </w:pPr>
      <w:r>
        <w:rPr>
          <w:caps w:val="false"/>
          <w:smallCaps w:val="false"/>
        </w:rPr>
        <w:t> </w:t>
      </w:r>
    </w:p>
    <w:tbl>
      <w:tblPr>
        <w:tblW w:w="795" w:type="dxa"/>
        <w:jc w:val="left"/>
        <w:tblInd w:w="0" w:type="dxa"/>
        <w:tblLayout w:type="fixed"/>
        <w:tblCellMar>
          <w:top w:w="0" w:type="dxa"/>
          <w:left w:w="0" w:type="dxa"/>
          <w:bottom w:w="0" w:type="dxa"/>
          <w:right w:w="0" w:type="dxa"/>
        </w:tblCellMar>
      </w:tblPr>
      <w:tblGrid>
        <w:gridCol w:w="170"/>
        <w:gridCol w:w="290"/>
        <w:gridCol w:w="335"/>
      </w:tblGrid>
      <w:tr>
        <w:trPr/>
        <w:tc>
          <w:tcPr>
            <w:tcW w:w="170" w:type="dxa"/>
            <w:tcBorders/>
            <w:vAlign w:val="center"/>
          </w:tcPr>
          <w:p>
            <w:pPr>
              <w:pStyle w:val="TableContents"/>
              <w:bidi w:val="0"/>
              <w:spacing w:before="0" w:after="283"/>
              <w:jc w:val="both"/>
              <w:rPr>
                <w:sz w:val="20"/>
              </w:rPr>
            </w:pPr>
            <w:r>
              <w:rPr>
                <w:sz w:val="20"/>
              </w:rPr>
              <w:t>×</w:t>
            </w:r>
          </w:p>
        </w:tc>
        <w:tc>
          <w:tcPr>
            <w:tcW w:w="290" w:type="dxa"/>
            <w:tcBorders/>
            <w:vAlign w:val="center"/>
          </w:tcPr>
          <w:p>
            <w:pPr>
              <w:pStyle w:val="TableContents"/>
              <w:bidi w:val="0"/>
              <w:spacing w:before="0" w:after="283"/>
              <w:jc w:val="left"/>
              <w:rPr/>
            </w:pPr>
            <w:r>
              <w:rPr/>
              <w:t>—</w:t>
            </w:r>
          </w:p>
        </w:tc>
        <w:tc>
          <w:tcPr>
            <w:tcW w:w="335" w:type="dxa"/>
            <w:tcBorders/>
            <w:vAlign w:val="center"/>
          </w:tcPr>
          <w:p>
            <w:pPr>
              <w:pStyle w:val="TableContents"/>
              <w:bidi w:val="0"/>
              <w:spacing w:before="0" w:after="283"/>
              <w:jc w:val="both"/>
              <w:rPr>
                <w:sz w:val="20"/>
              </w:rPr>
            </w:pPr>
            <w:r>
              <w:rPr>
                <w:sz w:val="20"/>
              </w:rPr>
              <w:t>No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revenue from services performed at NewGenIvf’s medical centers for the years indicated:</w:t>
      </w:r>
    </w:p>
    <w:p>
      <w:pPr>
        <w:pStyle w:val="TextBody"/>
        <w:bidi w:val="0"/>
        <w:spacing w:before="0" w:after="0"/>
        <w:ind w:left="0" w:right="0" w:firstLine="72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2300"/>
        <w:gridCol w:w="90"/>
        <w:gridCol w:w="90"/>
        <w:gridCol w:w="1010"/>
        <w:gridCol w:w="90"/>
        <w:gridCol w:w="90"/>
        <w:gridCol w:w="90"/>
        <w:gridCol w:w="590"/>
        <w:gridCol w:w="90"/>
        <w:gridCol w:w="90"/>
        <w:gridCol w:w="90"/>
        <w:gridCol w:w="1010"/>
        <w:gridCol w:w="90"/>
        <w:gridCol w:w="90"/>
        <w:gridCol w:w="90"/>
        <w:gridCol w:w="590"/>
        <w:gridCol w:w="135"/>
      </w:tblGrid>
      <w:tr>
        <w:trPr/>
        <w:tc>
          <w:tcPr>
            <w:tcW w:w="23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1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HK SAR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Thailand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2,175,253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40.0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1,691,862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43.3</w:t>
            </w:r>
          </w:p>
        </w:tc>
        <w:tc>
          <w:tcPr>
            <w:tcW w:w="135"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Cambodia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601,526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676,743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17.4</w:t>
            </w:r>
          </w:p>
        </w:tc>
        <w:tc>
          <w:tcPr>
            <w:tcW w:w="13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Kyrgyzstan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2,656,596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48.9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1,491,778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38.2</w:t>
            </w:r>
          </w:p>
        </w:tc>
        <w:tc>
          <w:tcPr>
            <w:tcW w:w="135"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Other third party clinics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45,480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3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b/>
              </w:rPr>
            </w:pPr>
            <w:r>
              <w:rPr>
                <w:b/>
              </w:rPr>
              <w:t>Total Revenue</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3,905,863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 Clinic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had two operating clinics in Thailand. At the clinic in Thailand, NewGenIvf offers its clients customized fertility treatment solutions including IVF/ICSI, embryo culture, hormonal blood tests, infectious diseases tests, chromosome screening by PGT, hysteroscopy, sperm analysis, sorting, washing and freezing, and egg freezing. Its medical and operational personnel are organized into specialized teams according to the different stages of the IVF treatment process and different patient profiles. When clients are admitted, they are assigned to a team which NewGenIvf believes is better suited the clients after taking into account the clients’ diagnosis and preferences. Furthermore, NewGenIvf also provides related value-added services such as nutrition guidance, psychological counselling, acupuncture, and translation interpreters to supplement the IVF treatment. NewGenIvf prides itself on providing quality and customized treatment to its clients on a day-to-day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clinic in Thailand had 8 nurses, 8 full time lab physicians and embryologists, 22 administrative staff, totaling 38 staff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Cambodia Clinic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one clinic, Phnom Penh Center, in Cambodia. Phnom Penh Center is staffed with 3 Cambodian physician, 2 embryologists, 8 nurses and 12 other staff, and offers similar IVF treatments as in Thailand and egg donation services. Phnom Penh Center operates under a license issued by Cambodia MOH for the Cambodian physician, who has entered into an agreement with Phnom Penh Center for the exclusive use of such 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more than ten years of development since its opening in 2015, Phnom Penh Center has become one of the long-standing ARS providers in Cambodia. Phnom Penh Center’s IVF philosophy concentrates on three key points in the treatment process: the mother’s wellbeing, the technology used to assist mothers deliver a strong and healthy baby and the medical science used to ensure every chance of success for women in various age spectrums.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Bi Clinic, NewGenIvf also provide fertility referral services by referring customers who are interested in surrogacy services which are legal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Physician at Bi Clinic has expertise in sourcing surrogate mothers, techniques of embryo transfers, prenatal care, baby delivery, and postnatal care, NewGenIvf refers customers to independent agents for fertility service like surrogacy so as to reduce the operation risks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Bi Clinic had 1 full-time physician, 1 embryologist, 1 nurse, and 7 other staff.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Licensed Physicians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NewGenIvf contracted with five licensed physicians, among which one was based in Cambodia, one was based in Kyrgyzstan, and the other three were based in Thailand. Most of NewGenIvf’s physicians had over 10 years of experience or above. The following table summarises the number and types of such licensed physicians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90"/>
        <w:gridCol w:w="2015"/>
        <w:gridCol w:w="90"/>
        <w:gridCol w:w="2163"/>
        <w:gridCol w:w="90"/>
        <w:gridCol w:w="2035"/>
        <w:gridCol w:w="90"/>
        <w:gridCol w:w="2637"/>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Country</w:t>
            </w:r>
          </w:p>
        </w:tc>
        <w:tc>
          <w:tcPr>
            <w:tcW w:w="90" w:type="dxa"/>
            <w:tcBorders/>
            <w:tcMar>
              <w:bottom w:w="0" w:type="dxa"/>
            </w:tcMar>
            <w:vAlign w:val="center"/>
          </w:tcPr>
          <w:p>
            <w:pPr>
              <w:pStyle w:val="TableContents"/>
              <w:bidi w:val="0"/>
              <w:spacing w:before="0" w:after="283"/>
              <w:jc w:val="center"/>
              <w:rPr/>
            </w:pPr>
            <w:r>
              <w:rPr/>
              <w:t> </w:t>
            </w:r>
          </w:p>
        </w:tc>
        <w:tc>
          <w:tcPr>
            <w:tcW w:w="2015" w:type="dxa"/>
            <w:tcBorders>
              <w:bottom w:val="single" w:sz="12" w:space="0" w:color="000000"/>
            </w:tcBorders>
            <w:vAlign w:val="center"/>
          </w:tcPr>
          <w:p>
            <w:pPr>
              <w:pStyle w:val="TableContents"/>
              <w:bidi w:val="0"/>
              <w:spacing w:before="0" w:after="283"/>
              <w:jc w:val="center"/>
              <w:rPr>
                <w:b/>
                <w:sz w:val="20"/>
              </w:rPr>
            </w:pPr>
            <w:r>
              <w:rPr>
                <w:b/>
                <w:sz w:val="20"/>
              </w:rPr>
              <w:t>Licensed physician</w:t>
            </w:r>
          </w:p>
        </w:tc>
        <w:tc>
          <w:tcPr>
            <w:tcW w:w="90" w:type="dxa"/>
            <w:tcBorders/>
            <w:tcMar>
              <w:bottom w:w="0" w:type="dxa"/>
            </w:tcMar>
            <w:vAlign w:val="center"/>
          </w:tcPr>
          <w:p>
            <w:pPr>
              <w:pStyle w:val="TableContents"/>
              <w:bidi w:val="0"/>
              <w:spacing w:before="0" w:after="283"/>
              <w:jc w:val="center"/>
              <w:rPr/>
            </w:pPr>
            <w:r>
              <w:rPr/>
              <w:t> </w:t>
            </w:r>
          </w:p>
        </w:tc>
        <w:tc>
          <w:tcPr>
            <w:tcW w:w="2163" w:type="dxa"/>
            <w:tcBorders>
              <w:bottom w:val="single" w:sz="12" w:space="0" w:color="000000"/>
            </w:tcBorders>
            <w:vAlign w:val="center"/>
          </w:tcPr>
          <w:p>
            <w:pPr>
              <w:pStyle w:val="TableContents"/>
              <w:bidi w:val="0"/>
              <w:spacing w:before="0" w:after="283"/>
              <w:jc w:val="center"/>
              <w:rPr>
                <w:b/>
                <w:sz w:val="20"/>
              </w:rPr>
            </w:pPr>
            <w:r>
              <w:rPr>
                <w:b/>
                <w:sz w:val="20"/>
              </w:rPr>
              <w:t>Licenses and</w:t>
              <w:br/>
              <w:t>Approvals</w:t>
            </w:r>
          </w:p>
        </w:tc>
        <w:tc>
          <w:tcPr>
            <w:tcW w:w="90" w:type="dxa"/>
            <w:tcBorders/>
            <w:tcMar>
              <w:bottom w:w="0" w:type="dxa"/>
            </w:tcMar>
            <w:vAlign w:val="center"/>
          </w:tcPr>
          <w:p>
            <w:pPr>
              <w:pStyle w:val="TableContents"/>
              <w:bidi w:val="0"/>
              <w:spacing w:before="0" w:after="283"/>
              <w:jc w:val="center"/>
              <w:rPr/>
            </w:pPr>
            <w:r>
              <w:rPr/>
              <w:t> </w:t>
            </w:r>
          </w:p>
        </w:tc>
        <w:tc>
          <w:tcPr>
            <w:tcW w:w="2035" w:type="dxa"/>
            <w:tcBorders>
              <w:bottom w:val="single" w:sz="12" w:space="0" w:color="000000"/>
            </w:tcBorders>
            <w:vAlign w:val="center"/>
          </w:tcPr>
          <w:p>
            <w:pPr>
              <w:pStyle w:val="TableContents"/>
              <w:bidi w:val="0"/>
              <w:spacing w:before="0" w:after="283"/>
              <w:jc w:val="center"/>
              <w:rPr>
                <w:b/>
                <w:sz w:val="20"/>
              </w:rPr>
            </w:pPr>
            <w:r>
              <w:rPr>
                <w:b/>
                <w:sz w:val="20"/>
              </w:rPr>
              <w:t>Effective Period</w:t>
            </w:r>
          </w:p>
        </w:tc>
        <w:tc>
          <w:tcPr>
            <w:tcW w:w="90" w:type="dxa"/>
            <w:tcBorders/>
            <w:tcMar>
              <w:bottom w:w="0" w:type="dxa"/>
            </w:tcMar>
            <w:vAlign w:val="center"/>
          </w:tcPr>
          <w:p>
            <w:pPr>
              <w:pStyle w:val="TableContents"/>
              <w:bidi w:val="0"/>
              <w:spacing w:before="0" w:after="283"/>
              <w:jc w:val="center"/>
              <w:rPr/>
            </w:pPr>
            <w:r>
              <w:rPr/>
              <w:t> </w:t>
            </w:r>
          </w:p>
        </w:tc>
        <w:tc>
          <w:tcPr>
            <w:tcW w:w="2637" w:type="dxa"/>
            <w:tcBorders>
              <w:bottom w:val="single" w:sz="12" w:space="0" w:color="000000"/>
            </w:tcBorders>
            <w:vAlign w:val="center"/>
          </w:tcPr>
          <w:p>
            <w:pPr>
              <w:pStyle w:val="TableContents"/>
              <w:bidi w:val="0"/>
              <w:spacing w:before="0" w:after="283"/>
              <w:jc w:val="center"/>
              <w:rPr>
                <w:b/>
                <w:sz w:val="20"/>
              </w:rPr>
            </w:pPr>
            <w:r>
              <w:rPr>
                <w:b/>
                <w:sz w:val="20"/>
              </w:rPr>
              <w:t>Issuing</w:t>
              <w:br/>
              <w:t>Authority</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Cambodia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left"/>
              <w:rPr>
                <w:sz w:val="20"/>
              </w:rPr>
            </w:pPr>
            <w:r>
              <w:rPr>
                <w:sz w:val="20"/>
              </w:rPr>
              <w:t>Mr. Keut Serey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3" w:type="dxa"/>
            <w:tcBorders/>
            <w:shd w:fill="CCEEFF" w:val="clear"/>
            <w:tcMar>
              <w:bottom w:w="0" w:type="dxa"/>
            </w:tcMar>
            <w:vAlign w:val="center"/>
          </w:tcPr>
          <w:p>
            <w:pPr>
              <w:pStyle w:val="TableContents"/>
              <w:bidi w:val="0"/>
              <w:spacing w:before="0" w:after="283"/>
              <w:jc w:val="left"/>
              <w:rPr>
                <w:sz w:val="20"/>
              </w:rPr>
            </w:pPr>
            <w:r>
              <w:rPr>
                <w:sz w:val="20"/>
              </w:rPr>
              <w:t>Decision on permission for beauty treatment operation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5" w:type="dxa"/>
            <w:tcBorders/>
            <w:shd w:fill="CCEEFF" w:val="clear"/>
            <w:tcMar>
              <w:bottom w:w="0" w:type="dxa"/>
            </w:tcMar>
            <w:vAlign w:val="center"/>
          </w:tcPr>
          <w:p>
            <w:pPr>
              <w:pStyle w:val="TableContents"/>
              <w:bidi w:val="0"/>
              <w:spacing w:before="0" w:after="283"/>
              <w:jc w:val="center"/>
              <w:rPr>
                <w:sz w:val="20"/>
              </w:rPr>
            </w:pPr>
            <w:r>
              <w:rPr>
                <w:sz w:val="20"/>
              </w:rPr>
              <w:t>December 14, 2022 – December 14,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37" w:type="dxa"/>
            <w:tcBorders/>
            <w:shd w:fill="CCEEFF" w:val="clear"/>
            <w:tcMar>
              <w:bottom w:w="0" w:type="dxa"/>
            </w:tcMar>
            <w:vAlign w:val="center"/>
          </w:tcPr>
          <w:p>
            <w:pPr>
              <w:pStyle w:val="TableContents"/>
              <w:bidi w:val="0"/>
              <w:spacing w:before="0" w:after="283"/>
              <w:jc w:val="left"/>
              <w:rPr>
                <w:sz w:val="20"/>
              </w:rPr>
            </w:pPr>
            <w:r>
              <w:rPr>
                <w:sz w:val="20"/>
              </w:rPr>
              <w:t>The Ministry of Health of Cambodia</w:t>
            </w:r>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1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3"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3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37"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Thailand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left"/>
              <w:rPr>
                <w:sz w:val="20"/>
              </w:rPr>
            </w:pPr>
            <w:r>
              <w:rPr>
                <w:sz w:val="20"/>
              </w:rPr>
              <w:t>Dr Keatthisak Boonsimma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3" w:type="dxa"/>
            <w:tcBorders/>
            <w:shd w:fill="CCEEFF" w:val="clear"/>
            <w:tcMar>
              <w:bottom w:w="0" w:type="dxa"/>
            </w:tcMar>
            <w:vAlign w:val="center"/>
          </w:tcPr>
          <w:p>
            <w:pPr>
              <w:pStyle w:val="TableContents"/>
              <w:bidi w:val="0"/>
              <w:spacing w:before="0" w:after="283"/>
              <w:jc w:val="left"/>
              <w:rPr>
                <w:sz w:val="20"/>
              </w:rPr>
            </w:pPr>
            <w:r>
              <w:rPr>
                <w:sz w:val="20"/>
              </w:rPr>
              <w:t>Number 31801 Medical Practitioner License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5" w:type="dxa"/>
            <w:tcBorders/>
            <w:shd w:fill="CCEEFF" w:val="clear"/>
            <w:tcMar>
              <w:bottom w:w="0" w:type="dxa"/>
            </w:tcMar>
            <w:vAlign w:val="center"/>
          </w:tcPr>
          <w:p>
            <w:pPr>
              <w:pStyle w:val="TableContents"/>
              <w:bidi w:val="0"/>
              <w:spacing w:before="0" w:after="283"/>
              <w:jc w:val="center"/>
              <w:rPr>
                <w:sz w:val="20"/>
              </w:rPr>
            </w:pPr>
            <w:r>
              <w:rPr>
                <w:sz w:val="20"/>
              </w:rPr>
              <w:t>April 1, 2005 – Indefinite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37" w:type="dxa"/>
            <w:tcBorders/>
            <w:shd w:fill="CCEEFF" w:val="clear"/>
            <w:tcMar>
              <w:bottom w:w="0" w:type="dxa"/>
            </w:tcMar>
            <w:vAlign w:val="center"/>
          </w:tcPr>
          <w:p>
            <w:pPr>
              <w:pStyle w:val="TableContents"/>
              <w:bidi w:val="0"/>
              <w:spacing w:before="0" w:after="283"/>
              <w:jc w:val="left"/>
              <w:rPr>
                <w:sz w:val="20"/>
              </w:rPr>
            </w:pPr>
            <w:r>
              <w:rPr>
                <w:sz w:val="20"/>
              </w:rPr>
              <w:t>Royal Thai College of Obstetricians and Gynaecologists of Thailand</w:t>
            </w:r>
          </w:p>
        </w:tc>
      </w:tr>
      <w:tr>
        <w:trPr/>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3" w:type="dxa"/>
            <w:tcBorders/>
            <w:shd w:fill="CCEEFF" w:val="clear"/>
            <w:tcMar>
              <w:bottom w:w="0" w:type="dxa"/>
            </w:tcMar>
            <w:vAlign w:val="center"/>
          </w:tcPr>
          <w:p>
            <w:pPr>
              <w:pStyle w:val="TableContents"/>
              <w:bidi w:val="0"/>
              <w:spacing w:before="0" w:after="283"/>
              <w:jc w:val="left"/>
              <w:rPr>
                <w:sz w:val="20"/>
              </w:rPr>
            </w:pPr>
            <w:r>
              <w:rPr>
                <w:sz w:val="20"/>
              </w:rPr>
              <w:t>Number 22624/2554</w:t>
              <w:br/>
              <w:t>OB-Gyn License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5" w:type="dxa"/>
            <w:tcBorders/>
            <w:shd w:fill="CCEEFF" w:val="clear"/>
            <w:tcMar>
              <w:bottom w:w="0" w:type="dxa"/>
            </w:tcMar>
            <w:vAlign w:val="center"/>
          </w:tcPr>
          <w:p>
            <w:pPr>
              <w:pStyle w:val="TableContents"/>
              <w:bidi w:val="0"/>
              <w:spacing w:before="0" w:after="283"/>
              <w:jc w:val="center"/>
              <w:rPr>
                <w:sz w:val="20"/>
              </w:rPr>
            </w:pPr>
            <w:r>
              <w:rPr>
                <w:sz w:val="20"/>
              </w:rPr>
              <w:t>July 1, 2014 – Indefinite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3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3" w:type="dxa"/>
            <w:tcBorders/>
            <w:shd w:fill="CCEEFF" w:val="clear"/>
            <w:tcMar>
              <w:bottom w:w="0" w:type="dxa"/>
            </w:tcMar>
            <w:vAlign w:val="center"/>
          </w:tcPr>
          <w:p>
            <w:pPr>
              <w:pStyle w:val="TableContents"/>
              <w:bidi w:val="0"/>
              <w:spacing w:before="0" w:after="283"/>
              <w:jc w:val="left"/>
              <w:rPr>
                <w:sz w:val="20"/>
              </w:rPr>
            </w:pPr>
            <w:r>
              <w:rPr>
                <w:sz w:val="20"/>
              </w:rPr>
              <w:t>Number 40962/2563 Reproductive Medicine Diploma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5" w:type="dxa"/>
            <w:tcBorders/>
            <w:shd w:fill="CCEEFF" w:val="clear"/>
            <w:tcMar>
              <w:bottom w:w="0" w:type="dxa"/>
            </w:tcMar>
            <w:vAlign w:val="center"/>
          </w:tcPr>
          <w:p>
            <w:pPr>
              <w:pStyle w:val="TableContents"/>
              <w:bidi w:val="0"/>
              <w:spacing w:before="0" w:after="283"/>
              <w:jc w:val="center"/>
              <w:rPr>
                <w:sz w:val="20"/>
              </w:rPr>
            </w:pPr>
            <w:r>
              <w:rPr>
                <w:sz w:val="20"/>
              </w:rPr>
              <w:t>July 1, 2020 – Indefinite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3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1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3"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3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37"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Thailand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left"/>
              <w:rPr>
                <w:sz w:val="20"/>
              </w:rPr>
            </w:pPr>
            <w:r>
              <w:rPr>
                <w:sz w:val="20"/>
              </w:rPr>
              <w:t>Dr. Anurach Kulvanitchaiyanunt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3" w:type="dxa"/>
            <w:tcBorders/>
            <w:shd w:fill="CCEEFF" w:val="clear"/>
            <w:tcMar>
              <w:bottom w:w="0" w:type="dxa"/>
            </w:tcMar>
            <w:vAlign w:val="center"/>
          </w:tcPr>
          <w:p>
            <w:pPr>
              <w:pStyle w:val="TableContents"/>
              <w:bidi w:val="0"/>
              <w:spacing w:before="0" w:after="283"/>
              <w:jc w:val="left"/>
              <w:rPr>
                <w:sz w:val="20"/>
              </w:rPr>
            </w:pPr>
            <w:r>
              <w:rPr>
                <w:sz w:val="20"/>
              </w:rPr>
              <w:t>Practice License No. 11755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5" w:type="dxa"/>
            <w:tcBorders/>
            <w:shd w:fill="CCEEFF" w:val="clear"/>
            <w:tcMar>
              <w:bottom w:w="0" w:type="dxa"/>
            </w:tcMar>
            <w:vAlign w:val="center"/>
          </w:tcPr>
          <w:p>
            <w:pPr>
              <w:pStyle w:val="TableContents"/>
              <w:bidi w:val="0"/>
              <w:spacing w:before="0" w:after="283"/>
              <w:jc w:val="center"/>
              <w:rPr>
                <w:sz w:val="20"/>
              </w:rPr>
            </w:pPr>
            <w:r>
              <w:rPr>
                <w:sz w:val="20"/>
              </w:rPr>
              <w:t>February 1 2025 – Indefinite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3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1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3"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3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37"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Thailand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left"/>
              <w:rPr>
                <w:sz w:val="20"/>
              </w:rPr>
            </w:pPr>
            <w:r>
              <w:rPr>
                <w:sz w:val="20"/>
              </w:rPr>
              <w:t>Dr Wiphawee Luangtangvarodom</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3" w:type="dxa"/>
            <w:tcBorders/>
            <w:shd w:fill="CCEEFF" w:val="clear"/>
            <w:tcMar>
              <w:bottom w:w="0" w:type="dxa"/>
            </w:tcMar>
            <w:vAlign w:val="center"/>
          </w:tcPr>
          <w:p>
            <w:pPr>
              <w:pStyle w:val="TableContents"/>
              <w:bidi w:val="0"/>
              <w:spacing w:before="0" w:after="283"/>
              <w:jc w:val="left"/>
              <w:rPr>
                <w:sz w:val="20"/>
              </w:rPr>
            </w:pPr>
            <w:r>
              <w:rPr>
                <w:sz w:val="20"/>
              </w:rPr>
              <w:t>Number 38347/2562</w:t>
              <w:br/>
              <w:t>OB-Gyn License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5" w:type="dxa"/>
            <w:tcBorders/>
            <w:shd w:fill="CCEEFF" w:val="clear"/>
            <w:tcMar>
              <w:bottom w:w="0" w:type="dxa"/>
            </w:tcMar>
            <w:vAlign w:val="center"/>
          </w:tcPr>
          <w:p>
            <w:pPr>
              <w:pStyle w:val="TableContents"/>
              <w:bidi w:val="0"/>
              <w:spacing w:before="0" w:after="283"/>
              <w:jc w:val="center"/>
              <w:rPr>
                <w:sz w:val="20"/>
              </w:rPr>
            </w:pPr>
            <w:r>
              <w:rPr>
                <w:sz w:val="20"/>
              </w:rPr>
              <w:t>August 1, 2019 – Indefinite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3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3" w:type="dxa"/>
            <w:tcBorders/>
            <w:shd w:fill="CCEEFF" w:val="clear"/>
            <w:tcMar>
              <w:bottom w:w="0" w:type="dxa"/>
            </w:tcMar>
            <w:vAlign w:val="center"/>
          </w:tcPr>
          <w:p>
            <w:pPr>
              <w:pStyle w:val="TableContents"/>
              <w:bidi w:val="0"/>
              <w:spacing w:before="0" w:after="283"/>
              <w:jc w:val="left"/>
              <w:rPr>
                <w:sz w:val="20"/>
              </w:rPr>
            </w:pPr>
            <w:r>
              <w:rPr>
                <w:sz w:val="20"/>
              </w:rPr>
              <w:t>Number 43217/2564 Reproductive Medicine License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5" w:type="dxa"/>
            <w:tcBorders/>
            <w:shd w:fill="CCEEFF" w:val="clear"/>
            <w:tcMar>
              <w:bottom w:w="0" w:type="dxa"/>
            </w:tcMar>
            <w:vAlign w:val="center"/>
          </w:tcPr>
          <w:p>
            <w:pPr>
              <w:pStyle w:val="TableContents"/>
              <w:bidi w:val="0"/>
              <w:spacing w:before="0" w:after="283"/>
              <w:jc w:val="center"/>
              <w:rPr>
                <w:sz w:val="20"/>
              </w:rPr>
            </w:pPr>
            <w:r>
              <w:rPr>
                <w:sz w:val="20"/>
              </w:rPr>
              <w:t>July 1, 2021 – Indefinite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3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3" w:type="dxa"/>
            <w:tcBorders/>
            <w:shd w:fill="CCEEFF" w:val="clear"/>
            <w:tcMar>
              <w:bottom w:w="0" w:type="dxa"/>
            </w:tcMar>
            <w:vAlign w:val="center"/>
          </w:tcPr>
          <w:p>
            <w:pPr>
              <w:pStyle w:val="TableContents"/>
              <w:bidi w:val="0"/>
              <w:spacing w:before="0" w:after="283"/>
              <w:jc w:val="left"/>
              <w:rPr>
                <w:sz w:val="20"/>
              </w:rPr>
            </w:pPr>
            <w:r>
              <w:rPr>
                <w:sz w:val="20"/>
              </w:rPr>
              <w:t>Number 48510 Medical Practitioner License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5" w:type="dxa"/>
            <w:tcBorders/>
            <w:shd w:fill="CCEEFF" w:val="clear"/>
            <w:tcMar>
              <w:bottom w:w="0" w:type="dxa"/>
            </w:tcMar>
            <w:vAlign w:val="center"/>
          </w:tcPr>
          <w:p>
            <w:pPr>
              <w:pStyle w:val="TableContents"/>
              <w:bidi w:val="0"/>
              <w:spacing w:before="0" w:after="283"/>
              <w:jc w:val="center"/>
              <w:rPr>
                <w:sz w:val="20"/>
              </w:rPr>
            </w:pPr>
            <w:r>
              <w:rPr>
                <w:sz w:val="20"/>
              </w:rPr>
              <w:t>April 1, 2014 – Indefinite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3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1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3"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3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37"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Kyrgyzstan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left"/>
              <w:rPr>
                <w:sz w:val="20"/>
              </w:rPr>
            </w:pPr>
            <w:r>
              <w:rPr>
                <w:sz w:val="20"/>
              </w:rPr>
              <w:t>Dr Myrzalymbekova A.B.</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3" w:type="dxa"/>
            <w:tcBorders/>
            <w:shd w:fill="CCEEFF" w:val="clear"/>
            <w:tcMar>
              <w:bottom w:w="0" w:type="dxa"/>
            </w:tcMar>
            <w:vAlign w:val="center"/>
          </w:tcPr>
          <w:p>
            <w:pPr>
              <w:pStyle w:val="TableContents"/>
              <w:bidi w:val="0"/>
              <w:spacing w:before="0" w:after="283"/>
              <w:jc w:val="left"/>
              <w:rPr>
                <w:sz w:val="20"/>
              </w:rPr>
            </w:pPr>
            <w:r>
              <w:rPr>
                <w:sz w:val="20"/>
              </w:rPr>
              <w:t xml:space="preserve">Number &amp; numero; CO170001836 Medical Certificate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5" w:type="dxa"/>
            <w:tcBorders/>
            <w:shd w:fill="CCEEFF" w:val="clear"/>
            <w:tcMar>
              <w:bottom w:w="0" w:type="dxa"/>
            </w:tcMar>
            <w:vAlign w:val="center"/>
          </w:tcPr>
          <w:p>
            <w:pPr>
              <w:pStyle w:val="TableContents"/>
              <w:bidi w:val="0"/>
              <w:spacing w:before="0" w:after="283"/>
              <w:jc w:val="center"/>
              <w:rPr>
                <w:sz w:val="20"/>
              </w:rPr>
            </w:pPr>
            <w:r>
              <w:rPr>
                <w:sz w:val="20"/>
              </w:rPr>
              <w:t>June 23. 2017 - Indefinite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37" w:type="dxa"/>
            <w:tcBorders/>
            <w:shd w:fill="CCEEFF" w:val="clear"/>
            <w:tcMar>
              <w:bottom w:w="0" w:type="dxa"/>
            </w:tcMar>
            <w:vAlign w:val="center"/>
          </w:tcPr>
          <w:p>
            <w:pPr>
              <w:pStyle w:val="TableContents"/>
              <w:bidi w:val="0"/>
              <w:spacing w:before="0" w:after="283"/>
              <w:jc w:val="left"/>
              <w:rPr>
                <w:sz w:val="20"/>
              </w:rPr>
            </w:pPr>
            <w:r>
              <w:rPr>
                <w:sz w:val="20"/>
              </w:rPr>
              <w:t xml:space="preserve">Medical Council of Kyrgyzstan </w:t>
            </w:r>
          </w:p>
        </w:tc>
      </w:tr>
      <w:tr>
        <w:trPr/>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3" w:type="dxa"/>
            <w:tcBorders/>
            <w:shd w:fill="CCEEFF" w:val="clear"/>
            <w:tcMar>
              <w:bottom w:w="0" w:type="dxa"/>
            </w:tcMar>
            <w:vAlign w:val="center"/>
          </w:tcPr>
          <w:p>
            <w:pPr>
              <w:pStyle w:val="TableContents"/>
              <w:bidi w:val="0"/>
              <w:spacing w:before="0" w:after="283"/>
              <w:jc w:val="left"/>
              <w:rPr>
                <w:sz w:val="20"/>
              </w:rPr>
            </w:pPr>
            <w:r>
              <w:rPr>
                <w:sz w:val="20"/>
              </w:rPr>
              <w:t>Number &amp;numero;0002953 Medical Practitioner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5" w:type="dxa"/>
            <w:tcBorders/>
            <w:shd w:fill="CCEEFF" w:val="clear"/>
            <w:tcMar>
              <w:bottom w:w="0" w:type="dxa"/>
            </w:tcMar>
            <w:vAlign w:val="center"/>
          </w:tcPr>
          <w:p>
            <w:pPr>
              <w:pStyle w:val="TableContents"/>
              <w:bidi w:val="0"/>
              <w:spacing w:before="0" w:after="283"/>
              <w:jc w:val="center"/>
              <w:rPr>
                <w:sz w:val="20"/>
              </w:rPr>
            </w:pPr>
            <w:r>
              <w:rPr>
                <w:sz w:val="20"/>
              </w:rPr>
              <w:t>25 April 2018 - Indefinite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37" w:type="dxa"/>
            <w:tcBorders/>
            <w:shd w:fill="CCEEFF" w:val="clear"/>
            <w:tcMar>
              <w:bottom w:w="0" w:type="dxa"/>
            </w:tcMar>
            <w:vAlign w:val="center"/>
          </w:tcPr>
          <w:p>
            <w:pPr>
              <w:pStyle w:val="TableContents"/>
              <w:bidi w:val="0"/>
              <w:spacing w:before="0" w:after="283"/>
              <w:jc w:val="left"/>
              <w:rPr>
                <w:sz w:val="20"/>
              </w:rPr>
            </w:pPr>
            <w:r>
              <w:rPr>
                <w:sz w:val="20"/>
              </w:rPr>
              <w:t>Medical Council of Kyrgyzstan</w:t>
            </w:r>
          </w:p>
        </w:tc>
      </w:tr>
      <w:tr>
        <w:trPr/>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3" w:type="dxa"/>
            <w:tcBorders/>
            <w:shd w:fill="CCEEFF" w:val="clear"/>
            <w:tcMar>
              <w:bottom w:w="0" w:type="dxa"/>
            </w:tcMar>
            <w:vAlign w:val="center"/>
          </w:tcPr>
          <w:p>
            <w:pPr>
              <w:pStyle w:val="TableContents"/>
              <w:bidi w:val="0"/>
              <w:spacing w:before="0" w:after="283"/>
              <w:jc w:val="left"/>
              <w:rPr>
                <w:sz w:val="20"/>
              </w:rPr>
            </w:pPr>
            <w:r>
              <w:rPr>
                <w:sz w:val="20"/>
              </w:rPr>
              <w:t>Number &amp;numero;11373\2565 Medical Certificate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5" w:type="dxa"/>
            <w:tcBorders/>
            <w:shd w:fill="CCEEFF" w:val="clear"/>
            <w:tcMar>
              <w:bottom w:w="0" w:type="dxa"/>
            </w:tcMar>
            <w:vAlign w:val="center"/>
          </w:tcPr>
          <w:p>
            <w:pPr>
              <w:pStyle w:val="TableContents"/>
              <w:bidi w:val="0"/>
              <w:spacing w:before="0" w:after="283"/>
              <w:jc w:val="center"/>
              <w:rPr>
                <w:sz w:val="20"/>
              </w:rPr>
            </w:pPr>
            <w:r>
              <w:rPr>
                <w:sz w:val="20"/>
              </w:rPr>
              <w:t xml:space="preserve">16 August 2024 - Indefinite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37" w:type="dxa"/>
            <w:tcBorders/>
            <w:shd w:fill="CCEEFF" w:val="clear"/>
            <w:tcMar>
              <w:bottom w:w="0" w:type="dxa"/>
            </w:tcMar>
            <w:vAlign w:val="center"/>
          </w:tcPr>
          <w:p>
            <w:pPr>
              <w:pStyle w:val="TableContents"/>
              <w:bidi w:val="0"/>
              <w:spacing w:before="0" w:after="283"/>
              <w:jc w:val="left"/>
              <w:rPr>
                <w:sz w:val="20"/>
              </w:rPr>
            </w:pPr>
            <w:r>
              <w:rPr>
                <w:sz w:val="20"/>
              </w:rPr>
              <w:t>Medical Council of Kyrgyzstan</w:t>
            </w:r>
          </w:p>
        </w:tc>
      </w:tr>
      <w:tr>
        <w:trPr/>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3" w:type="dxa"/>
            <w:tcBorders/>
            <w:shd w:fill="CCEEFF" w:val="clear"/>
            <w:tcMar>
              <w:bottom w:w="0" w:type="dxa"/>
            </w:tcMar>
            <w:vAlign w:val="center"/>
          </w:tcPr>
          <w:p>
            <w:pPr>
              <w:pStyle w:val="TableContents"/>
              <w:bidi w:val="0"/>
              <w:spacing w:before="0" w:after="283"/>
              <w:jc w:val="left"/>
              <w:rPr>
                <w:sz w:val="20"/>
              </w:rPr>
            </w:pPr>
            <w:r>
              <w:rPr>
                <w:sz w:val="20"/>
              </w:rPr>
              <w:t>Number &amp;numero;0003447 Medical Certificate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5" w:type="dxa"/>
            <w:tcBorders/>
            <w:shd w:fill="CCEEFF" w:val="clear"/>
            <w:tcMar>
              <w:bottom w:w="0" w:type="dxa"/>
            </w:tcMar>
            <w:vAlign w:val="center"/>
          </w:tcPr>
          <w:p>
            <w:pPr>
              <w:pStyle w:val="TableContents"/>
              <w:bidi w:val="0"/>
              <w:spacing w:before="0" w:after="283"/>
              <w:jc w:val="center"/>
              <w:rPr>
                <w:sz w:val="20"/>
              </w:rPr>
            </w:pPr>
            <w:r>
              <w:rPr>
                <w:sz w:val="20"/>
              </w:rPr>
              <w:t>12 April 2023 - Indefinite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37" w:type="dxa"/>
            <w:tcBorders/>
            <w:shd w:fill="CCEEFF" w:val="clear"/>
            <w:tcMar>
              <w:bottom w:w="0" w:type="dxa"/>
            </w:tcMar>
            <w:vAlign w:val="center"/>
          </w:tcPr>
          <w:p>
            <w:pPr>
              <w:pStyle w:val="TableContents"/>
              <w:bidi w:val="0"/>
              <w:spacing w:before="0" w:after="283"/>
              <w:jc w:val="left"/>
              <w:rPr>
                <w:sz w:val="20"/>
              </w:rPr>
            </w:pPr>
            <w:r>
              <w:rPr>
                <w:sz w:val="20"/>
              </w:rPr>
              <w:t>Medical Council of Kyrgyzstan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the majority of NewGenIvf’s clients were from China (including mainland China and Hong Kong). NewGenIvf enters into a verbal contract with each of its customers that outline, among other things, the scope of services, service fees, payment terms and rights, responsibilities and obligations of each party. Consent is obtained from the patients prior to the provision of the various treatments. Customers are not entitled to enjoy the relevant services until outstanding amounts have been settled pursuant to the relevant contract. Sales to individual consumers did not vary significantly and none of the customers contribute more than 10% of NewGenIvf’s revenue for the years ended December 31,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significant customers using NewGenIvf’s IVF treatment services and ancillary caring services, NewGenIvf also has customers who utilize the access to the freezing and storage facility and other relatively insignificant services, such as check-ups services, blood test services and other minor services (the latter category of customers are referred to as “consultation customers”). NewGenIvf also refers customers to other IVF and/or Surrogacy agents who will provide fertility referral income for NewGenIvf.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NewGenIvf promoted brand awareness through its sales teams and, in many cases, through cooperating with third-party agencies and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sales teams have broad experience in fertility services and are responsible for identifying potential clients and managing the overall sales process. NewGenIvf’s sales team primarily relies on social media marketing, word-of-mouth referrals, recognition of its brand, printed advertisements and marketing events. NewGenIvf spends marketing expenses on placing advertisements through popular social media platforms, maintaining the official website of NewGenIvf and sending information through its official accounts on social media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and Procurement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procurement is mainly for medications, laboratory media and reagents, laboratory consumables, and blood test reagents. As of December 31, 2024 and 2025, there was no single supplier individually contributed more than 10% of the Group’s trade payable respectively. For both the years ended December 31, 2024 and 2025, no vendor contributed more than 10% of total direct cost of the Group. NewGenIvf’s procurement team is experienced in selecting cost-effective supplies as well as selecting reliable suppliers. NewGenIvf’s major suppliers are pharmaceutical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 is a long-standing provider of ARS in Asia Pacific that competes primarily based on the following competitive factors:</w:t>
      </w:r>
    </w:p>
    <w:p>
      <w:pPr>
        <w:pStyle w:val="TextBody"/>
        <w:bidi w:val="0"/>
        <w:spacing w:before="0" w:after="0"/>
        <w:ind w:left="0" w:right="0" w:firstLine="72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05"/>
        <w:gridCol w:w="200"/>
        <w:gridCol w:w="41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sz w:val="20"/>
              </w:rPr>
            </w:pPr>
            <w:r>
              <w:rPr>
                <w:sz w:val="20"/>
              </w:rPr>
              <w:t>the value and comprehensiveness of the solutions;</w:t>
            </w:r>
          </w:p>
        </w:tc>
      </w:tr>
    </w:tbl>
    <w:p>
      <w:pPr>
        <w:pStyle w:val="TextBody"/>
        <w:bidi w:val="0"/>
        <w:spacing w:before="0" w:after="0"/>
        <w:ind w:left="960" w:right="0" w:hanging="48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05"/>
        <w:gridCol w:w="200"/>
        <w:gridCol w:w="47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sz w:val="20"/>
              </w:rPr>
            </w:pPr>
            <w:r>
              <w:rPr>
                <w:sz w:val="20"/>
              </w:rPr>
              <w:t>treatment that is effective and achieves desired outcomes;</w:t>
            </w:r>
          </w:p>
        </w:tc>
      </w:tr>
    </w:tbl>
    <w:p>
      <w:pPr>
        <w:pStyle w:val="TextBody"/>
        <w:bidi w:val="0"/>
        <w:spacing w:before="0" w:after="0"/>
        <w:ind w:left="960" w:right="0" w:hanging="48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105"/>
        <w:gridCol w:w="200"/>
        <w:gridCol w:w="86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sz w:val="20"/>
              </w:rPr>
            </w:pPr>
            <w:r>
              <w:rPr>
                <w:sz w:val="20"/>
              </w:rPr>
              <w:t>clients’ experience, including dedicated patient education, clinical guidance and emotional support; and</w:t>
            </w:r>
          </w:p>
        </w:tc>
      </w:tr>
    </w:tbl>
    <w:p>
      <w:pPr>
        <w:pStyle w:val="TextBody"/>
        <w:bidi w:val="0"/>
        <w:spacing w:before="0" w:after="0"/>
        <w:ind w:left="960" w:right="0" w:hanging="48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105"/>
        <w:gridCol w:w="200"/>
        <w:gridCol w:w="45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sz w:val="20"/>
              </w:rPr>
            </w:pPr>
            <w:r>
              <w:rPr>
                <w:sz w:val="20"/>
              </w:rPr>
              <w:t>access to a network of high-quality fertility specialists.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competes primarily with other regional fertility service providers. While NewGenIvf does not believe any single competitor offers a comparably robust and integrated fertility solution package as NewGenIvf in the regions that it operates, NewGenIvf’s competitors may compete in a variety of ways, including by providing better services, having established local connections, fulfilling evolving client needs, as well as conducting brand promotions and other marketing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NewGenIvf may introduce new ancillary services and other companies may introduce similar fertility services as NewGenIvf’s, NewGenIvf may become subject to additional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in addition to its clinics, NewGenIvf leased one property in Hong Kong with an aggregate square footage of approximately 8,000 for its administration support offices. NewGenIvf also operates its medical facilities as described above in “— Network of Facilities” above. NewGenIvf believes that its existing facilities are suitable and adequate to meet its current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k_014"/>
      <w:bookmarkEnd w:id="15"/>
      <w:r>
        <w:rPr>
          <w:rFonts w:ascii="Times New Roman;Times;Serif" w:hAnsi="Times New Roman;Times;Serif"/>
          <w:b/>
          <w:i w:val="false"/>
          <w:caps w:val="false"/>
          <w:smallCaps w:val="false"/>
          <w:sz w:val="20"/>
        </w:rPr>
        <w:t>PRINCIPAL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beneficial ownership of our Class A ordinary shares and Class B ordinary shares as of the date of this prospectus by: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Each person who is known by us to beneficially own more than 5% of our issued and outstanding Class A ordinary shares and Class B ordinary shares;</w:t>
            </w:r>
          </w:p>
        </w:tc>
      </w:tr>
    </w:tbl>
    <w:p>
      <w:pPr>
        <w:pStyle w:val="TextBody"/>
        <w:bidi w:val="0"/>
        <w:spacing w:before="0" w:after="0"/>
        <w:ind w:left="0" w:right="0" w:firstLine="72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105"/>
        <w:gridCol w:w="200"/>
        <w:gridCol w:w="60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sz w:val="20"/>
              </w:rPr>
            </w:pPr>
            <w:r>
              <w:rPr>
                <w:sz w:val="20"/>
              </w:rPr>
              <w:t>Each of our director, director nominees and named executive officers; and</w:t>
            </w:r>
          </w:p>
        </w:tc>
      </w:tr>
    </w:tbl>
    <w:p>
      <w:pPr>
        <w:pStyle w:val="TextBody"/>
        <w:bidi w:val="0"/>
        <w:spacing w:before="0" w:after="0"/>
        <w:ind w:left="0" w:right="0" w:firstLine="72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105"/>
        <w:gridCol w:w="200"/>
        <w:gridCol w:w="44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sz w:val="20"/>
              </w:rPr>
            </w:pPr>
            <w:r>
              <w:rPr>
                <w:sz w:val="20"/>
              </w:rPr>
              <w:t>All directors and named executive officers as a group.</w:t>
            </w:r>
          </w:p>
        </w:tc>
      </w:tr>
    </w:tbl>
    <w:p>
      <w:pPr>
        <w:pStyle w:val="TextBody"/>
        <w:bidi w:val="0"/>
        <w:spacing w:before="0" w:after="0"/>
        <w:ind w:left="0" w:right="0" w:hanging="0"/>
        <w:jc w:val="both"/>
        <w:rPr>
          <w:caps w:val="false"/>
          <w:smallCaps w:val="false"/>
        </w:rPr>
      </w:pPr>
      <w:r>
        <w:rPr>
          <w:caps w:val="false"/>
          <w:smallCaps w:val="false"/>
        </w:rPr>
        <w:t> </w:t>
      </w:r>
    </w:p>
    <w:tbl>
      <w:tblPr>
        <w:tblW w:w="12425" w:type="dxa"/>
        <w:jc w:val="left"/>
        <w:tblInd w:w="0" w:type="dxa"/>
        <w:tblLayout w:type="fixed"/>
        <w:tblCellMar>
          <w:top w:w="0" w:type="dxa"/>
          <w:left w:w="0" w:type="dxa"/>
          <w:bottom w:w="0" w:type="dxa"/>
          <w:right w:w="0" w:type="dxa"/>
        </w:tblCellMar>
      </w:tblPr>
      <w:tblGrid>
        <w:gridCol w:w="1910"/>
        <w:gridCol w:w="90"/>
        <w:gridCol w:w="90"/>
        <w:gridCol w:w="1010"/>
        <w:gridCol w:w="90"/>
        <w:gridCol w:w="90"/>
        <w:gridCol w:w="106"/>
        <w:gridCol w:w="844"/>
        <w:gridCol w:w="90"/>
        <w:gridCol w:w="90"/>
        <w:gridCol w:w="147"/>
        <w:gridCol w:w="968"/>
        <w:gridCol w:w="245"/>
        <w:gridCol w:w="90"/>
        <w:gridCol w:w="137"/>
        <w:gridCol w:w="903"/>
        <w:gridCol w:w="245"/>
        <w:gridCol w:w="90"/>
        <w:gridCol w:w="90"/>
        <w:gridCol w:w="1010"/>
        <w:gridCol w:w="90"/>
        <w:gridCol w:w="90"/>
        <w:gridCol w:w="106"/>
        <w:gridCol w:w="844"/>
        <w:gridCol w:w="90"/>
        <w:gridCol w:w="90"/>
        <w:gridCol w:w="346"/>
        <w:gridCol w:w="769"/>
        <w:gridCol w:w="245"/>
        <w:gridCol w:w="90"/>
        <w:gridCol w:w="322"/>
        <w:gridCol w:w="718"/>
        <w:gridCol w:w="290"/>
      </w:tblGrid>
      <w:tr>
        <w:trPr/>
        <w:tc>
          <w:tcPr>
            <w:tcW w:w="19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9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Ordinary shares beneficially owned </w:t>
              <w:br/>
              <w:t>prior to this offering</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Ordinary shares beneficially owned</w:t>
              <w:br/>
              <w:t>immediately after this offering</w:t>
            </w:r>
          </w:p>
        </w:tc>
        <w:tc>
          <w:tcPr>
            <w:tcW w:w="29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br/>
              <w:t>ordinary</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br/>
              <w:t>ordinary</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beneficial</w:t>
              <w:br/>
              <w:t>ownership</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aggregate</w:t>
              <w:br/>
              <w:t>voting</w:t>
              <w:br/>
              <w:t>power</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br/>
              <w:t>ordinary</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br/>
              <w:t>ordinary</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beneficial</w:t>
              <w:br/>
              <w:t>ownership</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aggregate</w:t>
              <w:br/>
              <w:t>voting</w:t>
              <w:br/>
              <w:t>power</w:t>
            </w:r>
          </w:p>
        </w:tc>
        <w:tc>
          <w:tcPr>
            <w:tcW w:w="290" w:type="dxa"/>
            <w:tcBorders/>
            <w:vAlign w:val="center"/>
          </w:tcPr>
          <w:p>
            <w:pPr>
              <w:pStyle w:val="TableContents"/>
              <w:bidi w:val="0"/>
              <w:spacing w:before="0" w:after="283"/>
              <w:ind w:left="0" w:right="0" w:hanging="180"/>
              <w:jc w:val="left"/>
              <w:rPr/>
            </w:pPr>
            <w:r>
              <w:rPr/>
              <w:t> </w:t>
            </w:r>
          </w:p>
        </w:tc>
      </w:tr>
      <w:tr>
        <w:trPr/>
        <w:tc>
          <w:tcPr>
            <w:tcW w:w="1910" w:type="dxa"/>
            <w:tcBorders/>
            <w:vAlign w:val="center"/>
          </w:tcPr>
          <w:p>
            <w:pPr>
              <w:pStyle w:val="TableContents"/>
              <w:bidi w:val="0"/>
              <w:spacing w:before="0" w:after="283"/>
              <w:jc w:val="left"/>
              <w:rPr>
                <w:b/>
              </w:rPr>
            </w:pPr>
            <w:r>
              <w:rPr>
                <w:b/>
              </w:rPr>
              <w:t>Directors and Executive Officers:</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ind w:left="0" w:right="0" w:hanging="200"/>
              <w:jc w:val="left"/>
              <w:rPr/>
            </w:pPr>
            <w:r>
              <w:rPr/>
              <w:t> </w:t>
            </w:r>
          </w:p>
        </w:tc>
      </w:tr>
      <w:tr>
        <w:trPr/>
        <w:tc>
          <w:tcPr>
            <w:tcW w:w="1910" w:type="dxa"/>
            <w:tcBorders/>
            <w:shd w:fill="CCEEFF" w:val="clear"/>
            <w:vAlign w:val="center"/>
          </w:tcPr>
          <w:p>
            <w:pPr>
              <w:pStyle w:val="TableContents"/>
              <w:bidi w:val="0"/>
              <w:spacing w:before="0" w:after="283"/>
              <w:jc w:val="left"/>
              <w:rPr/>
            </w:pPr>
            <w:r>
              <w:rPr/>
              <w:t>Wing Fung Alfred Siu</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18,961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0.30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18.66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18,961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w:t>
            </w:r>
          </w:p>
        </w:tc>
      </w:tr>
      <w:tr>
        <w:trPr/>
        <w:tc>
          <w:tcPr>
            <w:tcW w:w="1910" w:type="dxa"/>
            <w:tcBorders/>
            <w:shd w:fill="FFFFFF" w:val="clear"/>
            <w:vAlign w:val="center"/>
          </w:tcPr>
          <w:p>
            <w:pPr>
              <w:pStyle w:val="TableContents"/>
              <w:bidi w:val="0"/>
              <w:spacing w:before="0" w:after="283"/>
              <w:jc w:val="left"/>
              <w:rPr/>
            </w:pPr>
            <w:r>
              <w:rPr/>
              <w:t>Hei Yue Tina Fong</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18,964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0.30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18.66</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18,964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ind w:left="0" w:right="0" w:hanging="200"/>
              <w:jc w:val="left"/>
              <w:rPr/>
            </w:pPr>
            <w:r>
              <w:rPr/>
              <w:t>%</w:t>
            </w:r>
          </w:p>
        </w:tc>
      </w:tr>
      <w:tr>
        <w:trPr/>
        <w:tc>
          <w:tcPr>
            <w:tcW w:w="1910" w:type="dxa"/>
            <w:tcBorders/>
            <w:shd w:fill="CCEEFF" w:val="clear"/>
            <w:vAlign w:val="center"/>
          </w:tcPr>
          <w:p>
            <w:pPr>
              <w:pStyle w:val="TableContents"/>
              <w:bidi w:val="0"/>
              <w:spacing w:before="0" w:after="283"/>
              <w:jc w:val="left"/>
              <w:rPr/>
            </w:pPr>
            <w:r>
              <w:rPr/>
              <w:t>Hok Man Jefferson Au</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Chun Wa Tam</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80"/>
              <w:jc w:val="left"/>
              <w:rPr/>
            </w:pPr>
            <w:r>
              <w:rPr/>
              <w:t> </w:t>
            </w:r>
          </w:p>
        </w:tc>
      </w:tr>
      <w:tr>
        <w:trPr/>
        <w:tc>
          <w:tcPr>
            <w:tcW w:w="1910" w:type="dxa"/>
            <w:tcBorders/>
            <w:shd w:fill="CCEEFF" w:val="clear"/>
            <w:vAlign w:val="center"/>
          </w:tcPr>
          <w:p>
            <w:pPr>
              <w:pStyle w:val="TableContents"/>
              <w:bidi w:val="0"/>
              <w:spacing w:before="0" w:after="283"/>
              <w:jc w:val="left"/>
              <w:rPr/>
            </w:pPr>
            <w:r>
              <w:rPr/>
              <w:t>Florianna Ann Chi Wan Chan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910" w:type="dxa"/>
            <w:tcBorders/>
            <w:shd w:fill="FFFFFF" w:val="clear"/>
            <w:vAlign w:val="center"/>
          </w:tcPr>
          <w:p>
            <w:pPr>
              <w:pStyle w:val="TableContents"/>
              <w:bidi w:val="0"/>
              <w:spacing w:before="0" w:after="283"/>
              <w:jc w:val="left"/>
              <w:rPr/>
            </w:pPr>
            <w:r>
              <w:rPr/>
              <w:t>Lee Sze Mun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80"/>
              <w:jc w:val="left"/>
              <w:rPr/>
            </w:pPr>
            <w:r>
              <w:rPr/>
              <w:t> </w:t>
            </w:r>
          </w:p>
        </w:tc>
      </w:tr>
      <w:tr>
        <w:trPr/>
        <w:tc>
          <w:tcPr>
            <w:tcW w:w="1910" w:type="dxa"/>
            <w:tcBorders/>
            <w:shd w:fill="CCEEFF" w:val="clear"/>
            <w:vAlign w:val="center"/>
          </w:tcPr>
          <w:p>
            <w:pPr>
              <w:pStyle w:val="TableContents"/>
              <w:bidi w:val="0"/>
              <w:spacing w:before="0" w:after="283"/>
              <w:jc w:val="left"/>
              <w:rPr/>
            </w:pPr>
            <w:r>
              <w:rPr/>
              <w:t>Kong Yiu Cheung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3,722,223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58.11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36.63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3,722,223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910" w:type="dxa"/>
            <w:tcBorders/>
            <w:shd w:fill="FFFFFF" w:val="clear"/>
            <w:vAlign w:val="center"/>
          </w:tcPr>
          <w:p>
            <w:pPr>
              <w:pStyle w:val="TableContents"/>
              <w:bidi w:val="0"/>
              <w:spacing w:before="0" w:after="283"/>
              <w:jc w:val="left"/>
              <w:rPr/>
            </w:pPr>
            <w:r>
              <w:rPr/>
              <w:t>Lam Chun Tung Patrick</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Ho Fai Chung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910" w:type="dxa"/>
            <w:tcBorders/>
            <w:shd w:fill="FFFFFF" w:val="clear"/>
            <w:vAlign w:val="center"/>
          </w:tcPr>
          <w:p>
            <w:pPr>
              <w:pStyle w:val="TableContents"/>
              <w:bidi w:val="0"/>
              <w:spacing w:before="0" w:after="283"/>
              <w:jc w:val="left"/>
              <w:rPr>
                <w:b/>
              </w:rPr>
            </w:pPr>
            <w:r>
              <w:rPr>
                <w:b/>
              </w:rPr>
              <w:t>All Directors and Executive Officers as Group:</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b/>
              </w:rPr>
            </w:pPr>
            <w:r>
              <w:rPr>
                <w:b/>
              </w:rPr>
              <w:t>3,722,223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37,925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58.71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73.95</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37,925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As of the date of this prospectus, there are 6,367,870 Class A Ordinary Shares and 37,925 Class B Ordinary Shares issued and outstanding. Information with respect to beneficial ownership has been furnished by each director, officer or beneficial owner of more than 5% of our Class A Ordinary Shares and/or Class B Ordinary Shares. Beneficial ownership is determined in accordance with the rules of the SEC and generally requires that such person have voting or investment power with respect to securities. As of the date of this prospectus, we have 3,388 registered shareholders of record of Class A Ordinary Shares and 2 registered shareholders of record of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 WE ARE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up to [●] Class A Ordinary Shares at an assumed public offering price of $[●] per share, based upon the closing price of our Class A Ordinary Shares on The Nasdaq Capital Market on [●],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Pre-Funded Warrants, in lieu of Class A Ordinary Shares, to each purchaser whose purchase of Class A Ordinary Shares in this offering would otherwise result in the purchaser, together with its affiliates and certain related parties, beneficially owning in excess of 4.99% (or, at the election of the purchaser, 9.99%) of our outstanding Class A Ordinary Shares immediately following the consummation of this offering. Each Pre-Funded Warrant will be exercisable for one Class A Ordinary Share. Subject to limited exceptions, a holder of Pre-Funded Warrants will not have the right to exercise any portion of its Pre-Funded Warrants if the holder, together with its affiliates, would beneficially own in excess of 4.99% (or, at the election of the holder, 9.99%) of the number of Class A Ordinary Shares outstanding immediately after giving effect to such exercise. The purchase price of each Pre-Funded Warrant will equal the public offering price per Class A Ordinary Share less $0.00001, and the exercise price of each Pre-Funded Warrant will be $0.00001 per Class A Ordinary Share. The Pre-Funded Warrants will be immediately exercisable (subject to the beneficial ownership limitation) and may be exercised at any time until exercised in full. For each Pre-Funded Warrant we sell, the number of Class A Ordinary Shares that we are offering will be decreased on a one-for-one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issue any fractional Pre-Funded Warrants in this offering and will round down the number of Pre-Funded Warrants any purchaser would otherwise receive to the nearest whole number.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Class A Ordinary Shares issuable from time to time upon exercise of the Pre-Funded Warrants offered hereby. We are not offering units, and the Class A Ordinary Shares and the Pre-Funded Warrants are being offered separately and not as a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Class A Ordinary Shares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titled “Description of Share Capital” in this prospectus for a description of the material terms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certain terms and provisions of the Pre-Funded Warrants offered hereby is not complete and is subject to, and qualified in its entirety by, the provisions of the form of Pre-Funded Warrant, which will be filed as an exhibit to the registration statement of which this prospectus forms a part. Prospective investors should carefully review the terms and provisions set forth in the form of Pre-Funded Warrant. The Pre-Funded Warrants will be issued in certificated form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Exercisability</w:t>
      </w:r>
      <w:r>
        <w:rPr>
          <w:rFonts w:ascii="Times New Roman;Times;Serif" w:hAnsi="Times New Roman;Times;Serif"/>
          <w:b w:val="false"/>
          <w:i w:val="false"/>
          <w:caps w:val="false"/>
          <w:smallCaps w:val="false"/>
          <w:sz w:val="20"/>
        </w:rPr>
        <w:t>. The Pre-Funded Warrants are exercisable at any time after their original issuance until they are exercised in full. The Pre-Funded Warrants will be exercisable, at the option of each holder, in whole or in part by delivering to us a duly executed exercise notice with payment in full in immediately available funds for the number of Class A Ordinary Shares purchased upon such exercise (except in the case of a cashless exercise, as discussed below). We may be required to pay certain amounts as liquidated damages as specified in the Pre-Funded Warrants in the event we do not deliver Class A Ordinary Shares upon exercise of the Pre-Funded Warrants within the time periods specified therein. No fractional Class A Ordinary Shares will be issued in connection with the exercise of a Pre-Funded Warrant</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Cashless Exercise.</w:t>
      </w:r>
      <w:r>
        <w:rPr>
          <w:rFonts w:ascii="Times New Roman;Times;Serif" w:hAnsi="Times New Roman;Times;Serif"/>
          <w:b w:val="false"/>
          <w:i w:val="false"/>
          <w:caps w:val="false"/>
          <w:smallCaps w:val="false"/>
          <w:sz w:val="20"/>
        </w:rPr>
        <w:t xml:space="preserve"> The holder may, in its sole discretion, elect to exercise the Pre-Funded Warrant through a cashless exercise, in which case the holder would receive upon such exercise the net number of Class A Ordinary Shares determined according to the formula set forth in the Pre-Funded Warrant</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Exercise Limitation</w:t>
      </w:r>
      <w:r>
        <w:rPr>
          <w:rFonts w:ascii="Times New Roman;Times;Serif" w:hAnsi="Times New Roman;Times;Serif"/>
          <w:b w:val="false"/>
          <w:i w:val="false"/>
          <w:caps w:val="false"/>
          <w:smallCaps w:val="false"/>
          <w:sz w:val="20"/>
        </w:rPr>
        <w:t>. A holder will not have the right to exercise any portion of the Pre-Funded Warrants if the holder (together with its affiliates and certain related parties) would beneficially own in excess of 4.99% (or, upon election by the holder prior to the issuance of any Pre-Funded Warrants, 9.99%) of the number of our Class A Ordinary Shares outstanding immediately after giving effect to the exercise, as such percentage ownership is determined in accordance with the terms of the Pre-Funded Warrants. However, any holder may increase or decrease such percentage to any other percentage not in excess of 9.99%, upon at least 61 days’ prior notice from the holder to us with respect to any increase in such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 The exercise price for the Pre-Funded Warrants is $0.00001 per Class A Ordinary Share. The exercise price and the number of Class A Ordinary Shares issuable upon exercise are subject to appropriate adjustment in the event of share dividends, share splits, reorganizations or similar events affecting our Class A Ordinary Shares. The Pre-Funded Warrants do not contain any price-based anti-dilution or downward-adjustment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Transferability</w:t>
      </w:r>
      <w:r>
        <w:rPr>
          <w:rFonts w:ascii="Times New Roman;Times;Serif" w:hAnsi="Times New Roman;Times;Serif"/>
          <w:b w:val="false"/>
          <w:i w:val="false"/>
          <w:caps w:val="false"/>
          <w:smallCaps w:val="false"/>
          <w:sz w:val="20"/>
        </w:rPr>
        <w:t>. Subject to applicable laws, the Pre-Funded Warrants may be offered for sale, sold, transferred or assigned without our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Exchange Listing</w:t>
      </w:r>
      <w:r>
        <w:rPr>
          <w:rFonts w:ascii="Times New Roman;Times;Serif" w:hAnsi="Times New Roman;Times;Serif"/>
          <w:b w:val="false"/>
          <w:i w:val="false"/>
          <w:caps w:val="false"/>
          <w:smallCaps w:val="false"/>
          <w:sz w:val="20"/>
        </w:rPr>
        <w:t>. We do not intend to list the Pre-Funded Warrants offered in this offering on any securities exchange or other trading market. Without an active trading market, the liquidity of the Pre-Funded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as a Shareholder</w:t>
      </w:r>
      <w:r>
        <w:rPr>
          <w:rFonts w:ascii="Times New Roman;Times;Serif" w:hAnsi="Times New Roman;Times;Serif"/>
          <w:b w:val="false"/>
          <w:i w:val="false"/>
          <w:caps w:val="false"/>
          <w:smallCaps w:val="false"/>
          <w:sz w:val="20"/>
        </w:rPr>
        <w:t>. Except as otherwise provided in the Pre-Funded Warrants or by virtue of such holder’s ownership of our Class A Ordinary Shares, the holder of a Pre-Funded Warrant does not have the rights or privileges of a holder of our Class A Ordinary Shares, including any voting rights, until the issuance of Class A Ordinary Shares upon exercise of the warrant. Holders of Pre-Funded Warrants have the right to participate in dividends and certain other distributions as specified in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as described in the Pre-Funded Warrants and generally including, with certain exceptions, any reorganization, recapitalization or reclassification of our Class A Ordinary Shares, the sale, transfer or other disposition of all or substantially all of our properties or assets, our consolidation or merger with or into another person, the acquisition of more than 50% of our outstanding Class A Ordinary Shares or 50% of the voting power represented by our outstanding Class A Ordinary Shares,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The Pre-Funded Warrants are governed by New York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k_015"/>
      <w:bookmarkEnd w:id="16"/>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Capital Corp., or Aegis, has agreed to act as our sole placement agent in connection with this offering subject to the terms and conditions of a placement agency agreement, dated [●], 2026 between Aegis and us. Aegis is not purchasing or selling any securities offered by this prospectus, nor is the placement agent required to arrange the purchase or sale of any specific number or dollar amount of the securities offered. The placement agent has agreed to use reasonable best efforts to arrange for the sale of all of the securities offered hereby. Therefore, we may not sell the entire amount of the securities offered pursuant to this prospectus. The placement agent may engage one or more sub-agents or selected dealers in connection with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we will enter into a placement agency agreement with Aegis Capital Corp., as placement agent. Aegis has agreed to act as placement agent on a reasonable best-efforts basis in connection with the offering. The placement agent is not purchasing or selling any securities offered by this prospectus, nor is it required to arrange for the purchase or sale of any specific number or dollar amount of securities. The actual size of the offering, the precise number of securities to be offered and the offering price will be determined through negotiations between us and the investors. The offering is subject to customary closing conditions, including the execution of a definitive securities purchase agreement in connection with the offering, Nasdaq listing approval for the securities to be issued, completion of the placement agent’s due diligence, and delivery of customary legal opinions, comfort letters, negative assurance letters, certificates and other closing deliverables. This offering consists of Class A Ordinary Shares and, to any investor whose purchase would otherwise result in beneficial ownership in excess of the applicable beneficial ownership limitation, Pre-Funded Warrants to purchase Class A Ordinary Shares in lieu of Class A Ordinary Shares, as described under “Description of Securities We Are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deliver the Class A Ordinary Shares electronically and will deliver any Pre-Funded Warrants in certificated form, in each case upon closing and receipt of investor funds for the purchase of the securities offered pursuant to this prospectus. We expect to complete one closing of this offering. The offering will settle delivery versus payment, and accordingly we and the placement agent have not made any arrangements to place investor funds in an escrow, trust or similar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an aggregate cash placement fee equal to eight percent (8.0%) of the gross proceeds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reimburse the placement agent for reasonable legal fees and disbursements incurred by the placement agent not to exceed an aggregate of $100,000. Upon execution of the engagement letter, we paid Aegis an advance of $25,000 to be applied against Aegis’s accountable out-of-pocket expenses (the “Advance”). Any portion of the Advance not actually incurred by Aegis will be returned to us to the extent required by FINRA Rule 5110(g)(4)(A).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total expenses payable by us in connection with this offering, other than the placement agent fees referred to above, will be approximately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Discretionary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has informed us that it does not expect to make sales to accounts over which it exercises discretionary authority in excess of five percent (5%) of the securities being offered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certain “lock-up” agreements, our directors, executive officers, employees and shareholders holding at least 10% of our outstanding Ordinary Shares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or engage in any short selling of, any Ordinary Shares or securities convertible into or exchangeable or exercisable for any Ordinary Shares (“Lock-Up Securities”), whether currently owned or subsequently acquired, without the prior written consent of the placement agent, for a period of sixty (60) days after the closing date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Standstill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for a period of sixty (60) days after the closing date of the offering (the “Standstill Period”), that without the prior written consent of the investors, we will not (a) offer, sell, issue, or otherwise transfer or dispose of, directly or indirectly, any equity of our Company or any securities convertible into or exercisable or exchangeable for equity of our Company; (b) file or cause to be filed any registration statement with the Commission relating to the offering of any equity of our Company or any securities convertible into or exercisable or exchangeable for equity of our Company; or (c) enter into any agreement or announce the intention to effect any of the actions described in subsections (a) or (b) hereof (all of such matters, the “Standstill Restrictions”). So long as none of such equity securities shall be saleable in the public market until the expiration of the Standstill Period, the following matters shall not be prohibited by the Standstill Restrictions: (i) the adoption of an equity incentive plan and the grant of awards or equity pursuant to any equity incentive plan, and the filing of a registration statement on Form S-8; (ii) securities issued pursuant to agreements, options, restricted share units or convertible securities existing as of the date of the placement agency agreement, provided the terms are not modified; and (iii) securities issued pursuant to acquisitions or strategic transactions approved by a majority of the disinterested directors of our Company, provided that such securities are issued as “restricted securities” (as defined in Rule 144) and carry no registration rights that require or permit the filing of any registration statement in connection therewith during the Standstill Period, and provided that any such issuance shall only be to a person or entity (or to the equityholders of an entity) which is, itself or through its subsidiaries, an operating company or an owner of an asset in a business synergistic with the business of our Company and shall provide to our Company additional benefits in addition to the investment of funds, but shall not include a transaction in which our Company is issuing securities primarily for the purpose of raising capital or to an entity whose primary business is investing in securities. In no event should any equity transaction during the Standstill Period result in the sale of equity at an offering price to the public less than that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in its sole discretion, may release the Ordinary Shares and other securities subject to the lock-up agreements described above in whole or in part at any time. When determining whether or not to release Ordinary Shares and other securities from lock-up agreements, the placement agent will consider, among other factors, the holder’s reasons for requesting the release, the number of Ordinary Shares and other securities for which the release is being requested and market conditions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the Nasdaq Capital Market under the symbol “NIVF”. There is no established public trading market for the Pre-Funded Warrants, and we do not plan to list the Pre-Funded Warrants on the Nasdaq Capital Market or any other securities exchange or trading market. Without an active trading market, the liquidity of the Pre-Funded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the period beginning on the Closing and ending twelve (12) months after the commencement of sales in the offering, we or any of our subsidiaries (a) decide to finance or refinance any indebtedness, Aegis (or any affiliate designated by Aegis) shall have the right to act as sole book-runner, sole manager, sole placement agent or sole agent with respect to such financing or refinancing; or (b) decide to raise funds by means of a public offering (including an at-the-market facility) or a private placement or any other capital raising financing of equity, equity-linked or debt securities, Aegis (or any affiliate designated by Aegis) shall have the right to act as sole book-running manager, sole underwriter or sole placement agent for such financing. If Aegis or one of its affiliates decides to accept any such engagement, the agreement governing such engagement will contain, among other things, provisions for customary fees and terms for transactions of similar size and nature, including indemnification, which are appropriate to such a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decision to accept our engagement shall be made by Aegis or one of its affiliates, by a written notice to us, within ten (10) Business Days after the receipt of our notification of financing needs, including a detailed term sheet. Aegis’s determination of whether in any case to exercise its right of first refusal will be strictly limited to the terms on such term sheet, and any waiver of such right of first refusal shall apply only to such specific terms. If Aegis waives its right of first refusal, any deviation from such terms shall void the waiver and require us to seek a new waiver from the right of first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shall be entitled to compensation with respect to any public or private offering or other financing or capital raising transaction of any kind (“Tail Financing”) to the extent that such financing or capital is provided to us by investors Aegis has introduced to us and/or contacted on our behalf through an in-person, electronic or telephonic communication or investors that Aegis had “wall-crossed” in connection with this offering (or any entity under common management or having a common investment advisor), if such Tail Financing is consummated at any time within the six (6) month period beginning on the Closing or the expiration or termination of the engagement letter between Aegis and us dated July 28,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its affiliates have and may in the future provide, from time to time, investment banking and financial advisory services to us in the ordinary course of business, for which they may receive customary fees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of the securities we are offering was negotiated between us and the investors, in consultation with the placement agent, based on the trading of our Class A Ordinary Shares prior to the offering, among other things. Other factors considered in determining the public offering price of the securities we are offering include our history and prospects, the industry in which we operate, our past and present operating results,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its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its affiliates may from time to time in the future engage with us and perform services for us or in the ordinary course of their business for which they will receive customary fees and expenses. In the ordinary course of their various business activities, the Placement Agent and its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Placement Agent and its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a website maintained by the Placement Agent. In connection with the offering, the Placement Agent or selected dealers may distribute prospectuses electronically. No forms of electronic prospectus other than prospectuses that are printable as Adobe® PDF will be used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prospectus in electronic format, the information on the Placement Agent’ website and any information contained in any other website maintained by the Placement Agent is not part of the prospectus or the registration statement of which this prospectus forms a part, has not been approved and/or endorsed by us or the Placement Agent in their capacity as Placement Agent and should not be relied upon by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be deemed to be underwriters within the meaning of Section 2(a)(11) of the Securities Act and any fees received by them and any profit realized on the sale of the securities by them while acting as principal might be deemed to be underwriting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the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Placement Agent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k_016"/>
      <w:bookmarkEnd w:id="17"/>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Class A and Class B 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authorize the issuance of an unlimited Class A Ordinary Shares, unlimited Class B Ordinary Shares and unlimited preferred shares with no par value (“Preferred Shares”). As of the date of this prospectus, we have 6,367,870 Class A Ordinary Shares outstanding, 37,925 Class B Ordinary Shares outstanding, and no Preferred Shares outstanding. All of our outstanding Class A Ordinary Shares are validly issued, and fully paid. Our Class A Ordinary Shares and Class B Ordinary Shares are not subject to any preemptive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 Yue Tina Fong and Wing Fung Alfred Siu control the voting power of all of the outstanding Class B Ordinary Shares. Although Ms. Fong and Mr. Siu control the voting power of all of the outstanding Class B Ordinary Shares, their control over those shares is not permanent and is subject to reduction or elimination at any time or after certain periods as a result of a variety of factors. As further described below, upon any transfer of Class B Ordinary Shares by a holder thereof to any person which is not a Permitted Transferee (as defined in the Memorandum and Articles of Association) of such holder, those shares will automatically and immediately convert into Class A Ordinary Shares. In addition, all Class B Ordinary Shares will automatically convert to Class A Ordinary Shares in other events described below. See “— Optional and Mandatory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Class A Ordinary Shares and Class B Ordinary Shares are entitled to such dividends as may be declared by its Board of Directors subject to its Memorandum and Articles of Association and applicable law. No dividend may be declared and paid unless the Board of Directors determine that, immediately after the payment, the value of the Company assets will exceed its liabilities and the Company will be able to pay its debts as and when they fall due. Holders of Class A ordinary shares and Class B ordinary shares will be entitled to the same amount of dividends, if declared.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Holders of Class A Ordinary Shares and Class B Ordinary Shares have the right to receive notice of, attend, speak and vote at general meetings of the shareholders. In respect of all matters upon which holders of our shares are entitled to vote, each Class A Ordinary Share are entitled to one (1) vote and each Class B Ordinary Share are entitled to one hundred (100) votes. At any meeting of shareholders a resolution put to the vote of the meeting shall be decided by way of a poll and not by way of a show of hands. </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the shareholders is duly constituted if, at the commencement of the meeting, there are present in person or by proxy not less than 50 per cent of the votes of the shares entitled to vote on resolutions of the shareholders to be considered at the meeting. As a BVI business company, the Company is not obliged by the BVI Act to call shareholders’ annual general meetings. The Memorandum and Articles of Association provide that the Company may (but is not obliged to) in each calendar year hold a general meeting as its annual general meeting in which case the Company will specify the meeting as such in the notices calling it, and the annual general meeting will be held at such time and place as may be determined by its directors. Each general meeting, other than an annual general meeting, shall be an extraordinary general meeting.</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annual general meetings and any other general meetings of the Company’s shareholders may be convened by any director or, upon a requisition of shareholders holding at the date of deposit of the requisition not less than 30 percent of the votes attaching to the issued and outstanding shares entitled to vote at general meetings in respect of the matter for which the meeting is requested, in which case the directors are obliged to convene such meeting and to put the resolutions so requisitioned to a vote at such meeting; however, the Memorandum and Articles of Association do not provide its shareholders with any right to put any proposals before any annual general meetings or any extraordinary general meetings not called by such shareholders. Advance notice of at least ten (10) days and not more than sixty (60) days is required for the convening of the Company’s annual general meeting and other general meetings unless such notice is waived in accordance with its articles of association.</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resolution to be passed at a meeting by the shareholders requires the affirmative vote of a simple majority of the votes attaching to the shares cast by those shareholders entitled to vote who are present in person or by proxy at a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adjustment pursuant to the Memorandum and Articles of Association, 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BVI Act and the Memorandum and Articles of Association, the Company may be voluntarily liquidated under Part XII of the BVI Act by resolution of directors and resolution of shareholders if the Company’s assets exceed the Company’s liabilities and the Company is able to pay the Company’s debts as they fall due. The Company may also be wound up in circumstances where the Company is insolvent in accordance with the terms of the BVI Insolvency Act (As Revised).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and the assets available for distribution among the Company’s shareholders are more than sufficient to repay all amounts paid to the Company on account of the issue of shares immediately prior to the winding up, the excess shall be distributable pari passu among those shareholders in proportion to the amount paid up immediately prior to the winding up on the shares held by them, respectively. If the Company is wound up and the assets available for distribution among the shareholders as such are insufficient to repay the whole of the amounts paid to the Company on account of the issue of shares, those assets shall be distributed so that, to the greatest extent possible, the losses shall be borne by the shareholders in proportion to the amounts paid up immediately prior to the winding up on the shares held by them, respectively. If the Company is wound up, the liquidator appointed by the Company may, in accordance with the BVI Act, divide among the Company’s shareholders in specie or kind the whole or any part of the Company’s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Repurchase and Surrender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shares on terms that such shares are subject to redemption, at the Company’s option or at the option of the holders thereof, on such terms and in such manner as may be determined, before the issue of such shares, by the Board of Directors. The Company may also repurchase any of its shares provided that the Company may not purchase, redeem or otherwise acquire its own shares without the consent of the shareholder whose Shares are to be purchased, redeemed or otherwise acquired unless the Company is permitted or required by the Act or any other provision in the Memorandum or Articles to purchase, redeem or otherwise acquire the Shares without such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Variations of Rights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Company’s share are divided into different classes or series of shares, the rights attached to any class or series of shares (unless otherwise provided by the terms of issue of the shares of that class or series), whether or not the Company is being wound-up, may be varied by a resolution passed at a meeting by the holders of more than fifty percent of the issued shares of that class that have voted (and are entitled to vote thereon) in relation to any such resolution, unless otherwise provided by the terms of issue of such class.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Inspection of Books and Records.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Class A Ordinary Shares and Class B Ordinary Shares have no general right under BVI law to inspect or obtain copies of the Company’s list of shareholders or its corporate records. However, the Company will provide its shareholders with annual audited financial statements. See “Where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Additional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authorize the Board of Directors to issue additional Class A or Class B Ordinary Shares from time to time as the Board of Directors shall determine, to the extent of available authorized but unissued shares. The Memorandum and Articles of Association also authorize the Board of Directors to establish from time to time one or more series of preferred shares and to determine, with respect to any series of preferred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05"/>
        <w:gridCol w:w="200"/>
        <w:gridCol w:w="24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both"/>
              <w:rPr>
                <w:sz w:val="20"/>
              </w:rPr>
            </w:pPr>
            <w:r>
              <w:rPr>
                <w:sz w:val="20"/>
              </w:rPr>
              <w:t>the designation of the series;</w:t>
            </w:r>
          </w:p>
        </w:tc>
      </w:tr>
    </w:tbl>
    <w:p>
      <w:pPr>
        <w:pStyle w:val="TextBody"/>
        <w:bidi w:val="0"/>
        <w:spacing w:before="0" w:after="0"/>
        <w:ind w:left="0" w:right="0" w:firstLine="567"/>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05"/>
        <w:gridCol w:w="200"/>
        <w:gridCol w:w="28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sz w:val="20"/>
              </w:rPr>
            </w:pPr>
            <w:r>
              <w:rPr>
                <w:sz w:val="20"/>
              </w:rPr>
              <w:t>the number of shares of the series;</w:t>
            </w:r>
          </w:p>
        </w:tc>
      </w:tr>
    </w:tbl>
    <w:p>
      <w:pPr>
        <w:pStyle w:val="TextBody"/>
        <w:bidi w:val="0"/>
        <w:spacing w:before="0" w:after="0"/>
        <w:ind w:left="0" w:right="0" w:firstLine="567"/>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05"/>
        <w:gridCol w:w="200"/>
        <w:gridCol w:w="59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sz w:val="20"/>
              </w:rPr>
            </w:pPr>
            <w:r>
              <w:rPr>
                <w:sz w:val="20"/>
              </w:rPr>
              <w:t>the dividend rights, dividend rates, conversion rights, voting rights; and</w:t>
            </w:r>
          </w:p>
        </w:tc>
      </w:tr>
    </w:tbl>
    <w:p>
      <w:pPr>
        <w:pStyle w:val="TextBody"/>
        <w:bidi w:val="0"/>
        <w:spacing w:before="0" w:after="0"/>
        <w:ind w:left="0" w:right="0" w:firstLine="567"/>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05"/>
        <w:gridCol w:w="200"/>
        <w:gridCol w:w="51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sz w:val="20"/>
              </w:rPr>
            </w:pPr>
            <w:r>
              <w:rPr>
                <w:sz w:val="20"/>
              </w:rPr>
              <w:t>the rights and terms of redemption and liquidation preferences.</w:t>
            </w:r>
          </w:p>
        </w:tc>
      </w:tr>
    </w:tbl>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issue preferred shares without action by its shareholders to the extent authorized but unissued. Issuance of these shares may dilute the voting power of holders of Class A Ordinary Shares and Class B Ordinary Shares.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the Memorandum and Articles of Association may discourage, delay or prevent a change of control of the Company or management that shareholders may consider favorable, including (i) provisions that authorize the Board of Directors to issue preferred shares in one or more series and to designate the price, rights, preferences, privileges and restrictions of such preferred shares without any further vote or action by its shareholders; and (ii) provisions providing that directors may not be removed by the shareholders except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Memorandum and Articles of Association, the Board of Directors may issue Preferred Shares with such preferred rights as they shall determine. The rights, privileges, restrictions and conditions attaching to the Preferred Shares shall be stated in the Memorandum and Articles of Association, which shall be amended accordingly prior to the issue of such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k_017"/>
      <w:bookmarkEnd w:id="18"/>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general summary of the material U.S. federal income tax consequences relevant to an investment in our Ordinary Shares. The discussion is not intended to be, nor should it be construed as, legal or tax advice to any particular prospective purchaser. The discussion is based on laws and relevant interpretations thereof as of the date of this registration statement, all of which are subject to change or different interpretations, possibly with retroactive effect. The discussion does not address U.S. state or local tax laws. You should consult your own tax advisors with respect to the consequences of acquisition, ownership and disposition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provisions of the Code, the Treasury Regulations promulgated thereunder (whether final, temporary, or proposed), administrative rulings of the IRS, and judicial decisions, all as in effect on the date hereof, and all of which are subject to differing interpretations or change, possibly with retroactive effect. This discussion does not purport to be a complete analysis or listing of all potential U.S. federal income tax considerations that may apply to a securityholder of the Company as a result of the ownership and disposition of the Company Securities.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 This discussion does not address the U.S. federal 3.8% Medicare tax imposed on certain net investment income or any aspects of U.S. federal taxation other than those pertaining to the income tax, nor does it address any tax consequences arising under any U.S. state and local, or non-U.S. tax laws, or, except as discussed here, any tax reporting obligations of a holder of the Company Securities. Holders should consult their own tax advisors regarding such tax consequences in light of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ruling has been requested or will be obtained from the IRS regarding the U.S. federal income tax consequences discussed below; thus, there can be no assurance that the IRS will not challenge the U.S. federal income tax treatment described below or that, if challenged, such treatment will be sustained by a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considerations relevant to U.S. Holders that hold the Company Securities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pStyle w:val="TextBody"/>
        <w:bidi w:val="0"/>
        <w:spacing w:before="0" w:after="0"/>
        <w:ind w:left="960" w:right="0" w:hanging="360"/>
        <w:jc w:val="both"/>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105"/>
        <w:gridCol w:w="200"/>
        <w:gridCol w:w="61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sz w:val="20"/>
              </w:rPr>
            </w:pPr>
            <w:r>
              <w:rPr>
                <w:sz w:val="20"/>
              </w:rPr>
              <w:t>banks or other financial institutions, underwriters, or 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105"/>
        <w:gridCol w:w="200"/>
        <w:gridCol w:w="65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sz w:val="20"/>
              </w:rPr>
            </w:pPr>
            <w:r>
              <w:rPr>
                <w:sz w:val="20"/>
              </w:rPr>
              <w:t>traders in securities who elect to apply a mark-to-market method of accounting;</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105"/>
        <w:gridCol w:w="200"/>
        <w:gridCol w:w="54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both"/>
              <w:rPr>
                <w:sz w:val="20"/>
              </w:rPr>
            </w:pPr>
            <w:r>
              <w:rPr>
                <w:sz w:val="20"/>
              </w:rPr>
              <w:t>real estate investment trusts and regulated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105"/>
        <w:gridCol w:w="200"/>
        <w:gridCol w:w="95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sz w:val="20"/>
              </w:rPr>
            </w:pPr>
            <w:r>
              <w:rPr>
                <w:sz w:val="20"/>
              </w:rPr>
              <w:t>tax-exempt organizations, qualified retirement plans, individual retirement accounts, or other tax- deferred accounts;</w:t>
            </w:r>
          </w:p>
        </w:tc>
      </w:tr>
    </w:tbl>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105"/>
        <w:gridCol w:w="200"/>
        <w:gridCol w:w="59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sz w:val="20"/>
              </w:rPr>
            </w:pPr>
            <w:r>
              <w:rPr>
                <w:sz w:val="20"/>
              </w:rPr>
              <w:t>expatriates or former citizens or long-term residents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105"/>
        <w:gridCol w:w="200"/>
        <w:gridCol w:w="80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sz w:val="20"/>
              </w:rPr>
            </w:pPr>
            <w:r>
              <w:rPr>
                <w:sz w:val="20"/>
              </w:rPr>
              <w:t>subchapter S corporations, partnerships or other pass-through entities or investors in such entities;</w:t>
            </w:r>
          </w:p>
        </w:tc>
      </w:tr>
    </w:tbl>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05"/>
        <w:gridCol w:w="200"/>
        <w:gridCol w:w="29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both"/>
              <w:rPr>
                <w:sz w:val="20"/>
              </w:rPr>
            </w:pPr>
            <w:r>
              <w:rPr>
                <w:sz w:val="20"/>
              </w:rPr>
              <w:t>any holder that is not a U.S. Holder;</w:t>
            </w:r>
          </w:p>
        </w:tc>
      </w:tr>
    </w:tbl>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05"/>
        <w:gridCol w:w="200"/>
        <w:gridCol w:w="47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sz w:val="20"/>
              </w:rPr>
            </w:pPr>
            <w:r>
              <w:rPr>
                <w:sz w:val="20"/>
              </w:rPr>
              <w:t>dealers or traders in securities, commodities or currencies;</w:t>
            </w:r>
          </w:p>
        </w:tc>
      </w:tr>
    </w:tbl>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05"/>
        <w:gridCol w:w="200"/>
        <w:gridCol w:w="12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both"/>
              <w:rPr>
                <w:sz w:val="20"/>
              </w:rPr>
            </w:pPr>
            <w:r>
              <w:rPr>
                <w:sz w:val="20"/>
              </w:rPr>
              <w:t>grantor trusts;</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05"/>
        <w:gridCol w:w="200"/>
        <w:gridCol w:w="39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sz w:val="20"/>
              </w:rPr>
            </w:pPr>
            <w:r>
              <w:rPr>
                <w:sz w:val="20"/>
              </w:rPr>
              <w:t>persons subject to the alternative minimum tax;</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05"/>
        <w:gridCol w:w="200"/>
        <w:gridCol w:w="52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sz w:val="20"/>
              </w:rPr>
            </w:pPr>
            <w:r>
              <w:rPr>
                <w:sz w:val="20"/>
              </w:rPr>
              <w:t>U.S. persons whose “functional currency” is not the U.S. dollar;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persons who receive stock of the Company through the issuance of restricted share under an incentive plan or through a tax-qualified retirement plan or otherwise as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U.S. shareholders of controlled foreign corporations, as those terms are defined in Sections 951(b) and 957(a),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persons who own (directly or through attribution) 5% or more (by vote or value) of the outstanding Class A Ordinary Shares (excluding treasury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holders holding ASCA securities, or, after the Business Combination, the Company Securities, as a position in a “straddle,” as part of a “synthetic security” or “hedge,” as part of a “conversion transaction,” or other integrated investment or risk reduction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“U.S. Holder” means a beneficial owner of the Company Securities, that is, for U.S. federal income tax purposes:</w:t>
      </w:r>
    </w:p>
    <w:p>
      <w:pPr>
        <w:pStyle w:val="TextBody"/>
        <w:bidi w:val="0"/>
        <w:spacing w:before="0" w:after="0"/>
        <w:ind w:left="960" w:right="0" w:hanging="36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sz w:val="20"/>
              </w:rPr>
            </w:pPr>
            <w:r>
              <w:rPr>
                <w:sz w:val="20"/>
              </w:rPr>
              <w:t>an individual who is a citizen or resident of the United States;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 corporation (or other entity that is classified as a corporation for U.S. federal income tax purposes) that is created or organized in or under the laws of the United States or any State thereof or the District of Columbia;</w:t>
            </w:r>
          </w:p>
        </w:tc>
      </w:tr>
    </w:tbl>
    <w:p>
      <w:pPr>
        <w:pStyle w:val="TextBody"/>
        <w:bidi w:val="0"/>
        <w:spacing w:before="0" w:after="0"/>
        <w:ind w:left="960" w:right="0" w:hanging="36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05"/>
        <w:gridCol w:w="200"/>
        <w:gridCol w:w="75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sz w:val="20"/>
              </w:rPr>
            </w:pPr>
            <w:r>
              <w:rPr>
                <w:sz w:val="20"/>
              </w:rPr>
              <w:t>an estate the income of which is subject to U.S. federal income tax regardless of its source; or</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for this purpose any entity or arrangement that is treated as a partnership for U.S. federal income tax purposes, holds the Company Securities, the U.S. federal income tax treatment of a partner in such partnership will generally depend on the status of the partner and the activities of the partnership. A holder that is a partnership and the partners in such partnership should consult their own tax advisors with regard to the U.S. federal income tax consequences of ownership and disposition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PURPORT TO BE A COMPREHENSIVE ANALYSIS OR DESCRIPTION OF ALL POTENTIAL U.S. FEDERAL INCOME TAX CONSEQUENCES OF OWNERSHIP AND DISPOSITION OF THE COMPANY SECURITIES. IN ADDITION, THE U.S. FEDERAL INCOME TAX TREATMENT OF THE BENEFICIAL OWNERS OF THE COMPANY SECURITIES MAY BE AFFECTED BY MATTERS NOT DISCUSSED HEREIN AND DEPENDS IN SOME INSTANCES ON DETERMINATIONS OF FACT AND INTERPRETATIONS OF COMPLEX PROVISIONS OF U.S. FEDERAL INCOME TAX LAW FOR WHICH NO CLEAR PRECEDENT OR AUTHORITY MAY BE AVAILABLE. HOLDERS OF THE COMPANY SECURITIES SHOULD CONSULT WITH THEIR TAX ADVISORS REGARDING THE PARTICULAR TAX CONSEQUENCES TO THEM OF THE OWNERSHIP AND DISPOSITION OF THE COMPANY SECURITIES, INCLUDING THE APPLICABILITY AND EFFECTS OF U.S. FEDERAL, STATE, LOCAL, AND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on the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 Passive Foreign Investment Company Status,” the gross amount of any distribution on the Class A Ordinary Shares that is made out of the Company’s current and accumulated earnings and profits (as determined for U.S. federal income tax purposes) will generally be taxable to a U.S. Holder as ordinary dividend income on the date such distribution is actually or constructively received by such U.S. Holder. Any such dividends paid to corporate U.S. Holders generally will not qualify for the dividends-received deduction that may otherwise be allowed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with respect to dividends paid by that corporation on shares that are readily tradable on an established securities market in the United States. U.S. Treasury Department guidance indicates that shares listed on Nasdaq will be considered readily tradable on an established securities market in the United States. Even if the Class A Ordinary Shares are listed on Nasdaq, there can be no assurance that the Class A Ordinary Shares will be considered readily tradable on an established securities market in future years.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regardless of the Company’s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Finally, the Company will not constitute a qualified foreign corporation for purposes of these rules if it is a PFIC for the taxable year in which it pays a dividend or for the preceding taxable year. See the discussion below under “— Passive Foreign Investment Company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dividend paid in foreign currency will be the U.S. dollar value of the foreign currency distributed by the Company, calculated by reference to the exchange rate in effect on the date the dividend is includible in the U.S. Holder’s income, regardless of whether the payment is in fact converted into U.S. dollars on the date of receipt. Generally, a U.S. Holder should not recognize any foreign currency gain or loss if the foreign currency is converted into U.S. dollars on the date the payment is received. However, any gain or loss resulting from currency exchange fluctuations during the period from the date the U.S. Holder includes the dividend payment in income to the date such U.S. Holder actually converts the payment into U.S. dollars will be treated as ordinary income or loss. That currency exchange income or loss (if any) generally will be income or loss from U.S. sources for foreign tax credit limitation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any distribution made by the Company on the Class A Ordinary Shares exceeds the Company’s current and accumulated earnings and profits for a taxable year (as determined under U.S. federal income tax principles), the distribution will first be treated as a tax-free return of capital, causing a reduction in the adjusted basis of the U.S. Holder’s the Class A Ordinary Shares, and to the extent the amount of the distribution exceeds the U.S. Holder’s tax basis, the excess will be taxed as capital gain recognized on a sale or exchange as described below under “— Sale, Exchange, Redemption or Other Taxable Disposition of the Company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Other Taxable Disposition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 Passive Foreign Investment Company Status,” a U.S. Holder will generally recognize gain or loss on any sale, exchange, redemption, or other taxable disposition of the Class A Ordinary Shares and the Warrants in an amount equal to the difference between the amount realized on the disposition and such U.S. Holder’s adjusted tax basis in such the Class A Ordinary Shares or Warrants. Any gain or loss recognized by a U.S. Holder on a taxable disposition of the Class A Ordinary Shares or Warrants will generally be capital gain or loss and will be long-term capital gain or loss if the holder’s holding period in the Class A Ordinary Shares 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the Class A Ordinary Shares or the Warrants will generally be treated as U.S. source gain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or Lapse of a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gain or loss upon the acquisition of an ordinary share of the Company on the exercise of a Warrant for cash. A U.S. Holder’s tax basis in an ordinary share received upon exercise of the Warrant generally will be an amount equal to the sum of the U.S. Holder’s tax basis in the Warrant exchanged therefor and the exercise price. The U.S. Holder’s holding period for an ordinary share received upon exercise of the Warrant will begin on the date following the date of exercise (or possibly the date of exercise) of the Warrants and will not include the period during which the U.S. Holder held the Warrants. If a Warrant is allowed to lapse unexercised, a U.S. Holder generally will recognize a capital loss equal to such holder’s tax basis in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Class A Ordinary Shares received would equal the holder’s basis in the Warrant. If the cashless exercise were treated as not being a gain recognition event, a U.S. Holder’s holding period in the Class A Ordinary Shares would be treated as commencing on the date following the date of exercise (or possibly the date of exercise) of the Warrant. If the cashless exercise were treated as a recapitalization, the holding period of the Class A Ordinary Share would include the holding period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with respect to the surrendered warrants in an amount generally equal to the difference between (i) the fair market value of the Class A Ordinary Shares that would have been received with respect to the surrendered warrants in a regular exercise of the Warrants and (ii) the sum of the U.S. Holder’s tax basis in the surrendered warrants and the aggregate cash exercise price of such warrants (if they had been exercised in a regular exercise). In this case, a U.S. Holder’s tax basis in the Class A Ordinary Shares received would equal the U.S. Holder’s tax basis in the Warrants exercised plus (or minus) the gain (or loss) recognized with respect to the surrendered warrants. A U.S. Holder’s holding period for the Class A Ordinary Shares would commence on the date following the date of exercise (or possibly the date of exercise)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adverse U.S. federal income tax consequences could apply to a U.S. Holder if the Company or any of its subsidiaries is treated as a PFIC for any taxable year during which the U.S. Holder holds the Company Securities. A non-U.S. corporation will be classified as a PFIC for any taxable year (a) if at least 75% of its gross income in a taxable year, including its pro rata share of the gross income of any entity in which it is considered to own at least 25% of the interest by value, is passive income, or (b) if at least 50% of its assets in a taxable year of the foreign corporation, ordinarily determined based on fair market value and averaged quarterly over the year, including its pro rata share of the assets of any entity in which it is considered to own at least 25% of the interest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 PFIC in the 2024 taxable year, such U.S. Holder would likely recognize gain (but not loss if the Reincorporation Merger qualifies as a “reorganization”) upon the exchange of ASCA securities for The Company securities pursuant to the Reincorporation Merger. The gain (or loss) would be computed as described above under “— If the Reincorporation Merger Does Not Qualify as a Reorganization.” Any such gain recognized by such U.S. Holder on the exchange of ASCA securities for The Company securities would be allocated ratably over the U.S. Holder’s holding period for the ASCA securities. Such amounts allocated for the current taxable year and any taxable year prior to the first taxable year in which ASCA was a PFIC would be treated as ordinary income, and not as capital gain, in the U.S. Holder’s taxable year, and such amounts allocated to each other taxable year beginning with the year that ASCA became a PFIC would be taxed at the highest tax rate in effect for each year to which the gain was allocated, together with a special interest charge on the tax attributable to each such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Company is a PFIC for any taxable year is a factual determination that depends on, among other things, the composition of the Company’s income and assets, the market value of its assets, and potentially the composition of the income and assets of one or more of the Company’s subsidiaries and the market value of their assets in that year. Whether a Company subsidiary is a PFIC for any taxable year is likewise a factual determination that depends on, among other things, the composition of the subsidiary’s income and assets and the market value of such assets in that year. One or more changes in these factors may cause the Company and/or one or more of its subsidiaries to become a PFIC for a taxable year even though it has not been a PFIC for one or more prior taxable years. Whether the Company or a subsidiary is treated as a PFIC for U.S. federal income tax purposes is a factual determination that must be made annually at the close of each taxable year and, thus, is subject to significant uncertainty. Moreover, there can be no assurance that the Company will timely provide a PFIC annual information statement for 2024 or going forward. The failure to provide such information on an annual basis could preclude U.S. Holders from making or maintaining a “qualified electing fund” election under Section 1295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were determined to be a PFIC for any taxable year (or portion thereof) that is included in the holding period of a U.S. Holder of Class A Ordinary Shares, the U.S. Holder did not make a valid “mark-to-market” election, such U.S. Holder generally will be subject to special rules with respect to:</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any gain recognized by the U.S. Holder on the sale or other disposition of the Company Securities (including a redemption treated as a sale or exchange);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such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firstLine="72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105"/>
        <w:gridCol w:w="200"/>
        <w:gridCol w:w="92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both"/>
              <w:rPr>
                <w:sz w:val="20"/>
              </w:rPr>
            </w:pPr>
            <w:r>
              <w:rPr>
                <w:sz w:val="20"/>
              </w:rPr>
              <w:t>the U.S. Holder’s gain or excess distribution will be allocated ratably over the U.S. Holder’s Company Securities;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amount allocated to the U.S. Holder’s taxable year in which the U.S. holder recognized gain or received the excess distribution, or to the period in the U.S. Holder’s holding period before the first day of the Company’s first taxable year in the Company is a PFIC, will be taxed as ordinary income;</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amount allocated to other taxable years (or portions thereof) of the U.S. Holder and included in its holding period will be taxed at the highest tax rate in effect for that year and applicable to the U.S. Holder;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interest charge generally applicable to underpayments of tax will be imposed in respect of the tax attributable to each such other taxable year of the U.S. Holder.</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 determination as to the Company’s PFIC status will be made annually, an initial determination that the Company is a PFIC will generally apply for subsequent years to a U.S. Holder who held Company Securities while the Company was a PFIC, whether or not the Company meets the test for PFIC status in those subsequent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the Class A Ordinary Shares and for which the Company is determined to be a PFIC, such holder generally will not be subject to the PFIC rules described above in respect to the Class A Ordinary Shares as long as such shares continue to be treated as marketable stock. Instead, in general, the U.S. Holder will include as ordinary income each year that the Company is treated as a PFIC the excess, if any, of the fair market value of its Class A Ordinary Shares at the end of its taxable year over the adjusted basis in its Class A Ordinary Shares. The U.S. Holder also will be allowed to take an ordinary loss in respect of the excess, if any, of the adjusted basis of its Class A Ordinary Shares over the fair market value of its Class A Ordinary Shares at the end of its taxable year (but only to the extent of the net amount of previously recognized income as a result of the mark-to-market election). The U.S. Holder’s adjusted tax basis in its Class A Ordinary Shares will be adjusted to reflect any such income or loss amounts, and any further gain recognized on a sale or other taxable disposition of the Class A Ordinary Shares in a taxable year in which the Company is treated as a PFIC will be treated as ordinary income. Special tax rules may also apply if a U.S. Holder makes a mark-to-market election for a taxable year after the first taxable year in which the U.S. Holder holds (or is deemed to hold) its Class A Ordinary Shares and for which the Company is treated as a PFIC. Currently, a mark-to-market election may not be made with respect to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stock that is regularly traded on a national securities exchange that is registered with the SEC, including Nasdaq (on which the Company Securities are traded), or on a foreign exchange or market that the IRS determines has rules sufficient to ensure that the market price represents a legitimate and sound fair market value. Such stock generally will be “regularly traded” for any calendar year during which such stock is traded, other than in de minimis quantities, on at least 15 days during each calendar quarter, but no assurances can be given in this regard with respect to the Class A Ordinary Shares. U.S. Holders should consult their own tax advisors regarding the availability and tax consequences of a mark-to-market election in respect of the Class A Ordinary Shares under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PFIC and, at any time, has a foreign subsidiary that is classified as a PFIC, U.S. Holders generally would be deemed to own a portion of the shares of such lower-tier PFIC, and generally could incur liability for the deferred tax and interest charge described above if the Company were to receive a distribution from, or dispose of all or part of the Company’s interest in, the lower-tier PFIC (even though such U.S. Holder would not receive the proceeds of those distributions or dispositions) or the U.S. Holders otherwise were deemed to have disposed of an interest in the lower-tier PFIC. A mark-to-market election generally would not be available with respect to such lower-tier PFIC. U.S. Holders are urged to consult their own tax advisors regarding the tax issues raised by lower-tier PFICs.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of the U.S. Holder, may have to file an IRS Form 8621 (whether or not a mark-to-market election is or has been made) with such U.S. Holder’s U.S. federal income tax return and provide any such other information as may be required by the U.S. Treasury Department. Failure to do so, if required, will extend the statute of limitations until such required information is furnished to the 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and mark-to-market elections are very complex and are affected by various factors in addition to those described above. Accordingly, U.S. Holders of Company Securities should consult their own tax advisors concerning the application of the PFIC rules to the Company Securities under the U.S. Holders’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requirements may apply to dividends received by U.S. Holders of the Class A Ordinary Shares (including constructive dividends), and the proceeds received on sale or other taxable disposition of the Class A Ordinary Shares or Warrants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or the U.S. Holder’s broker) or is otherwise subject to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holding specified foreign financial assets with an aggregate value in excess of the applicable dollar threshold are required to report information to the IRS relating to the Company Securities, subject to certain exceptions (including an exception for the Company Securities held in accounts maintained by U.S. financial institutions), by attaching a complete IRS Form 8938, Statement of Specified Foreign Financial Assets, with their tax return, for each year in which they hold the Company Securities. In addition to these requirements, U.S. Holders may be required to annually file FinCEN Report 114 (Report of Foreign Bank and Financial Accounts) with the U.S. Department of Treasury. U.S. Holders should consult their own tax advisors regarding information reporting requirements relating to their ownership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credit against a holder’s U.S. federal income tax liability, if any, provided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does not contain a detailed description of all the United States federal income tax consequences that may be applicable to you in light of your particular circumstances and, except as set forth below with respect to PRC tax considerations, does not address the effects of any state, local or non-United States tax laws. If you are considering the purchase, ownership or disposition of our Ordinary Shares, you should consult your own tax advisors concerning the United States federal income tax consequences to you in light of your particular situation as well as any consequences arising under the laws of any other taxing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k_018"/>
      <w:bookmarkEnd w:id="19"/>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as to U.S. federal securities law concerning this offering will be passed upon for us by Han Kun Law Offices LLP. Certain legal matters as to BVI law will be passed upon for us by Ogier. Han Kun Law Offices LLP may rely upon Ogier with respect to matters governed by BVI law. Certain legal matters as to U.S. federal law in connection with this Offering will be passed upon for the Placement Agent by Kaufman &amp; Canoles, P.C., Richmond, Virginia.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k_019"/>
      <w:bookmarkEnd w:id="20"/>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NewGenIvf Limited as of and for the years ended December 31, 2025, 2024, and 2023 included in this prospectus have been so included in reliance on the report of J &amp; S Associate PLT (“J &amp; S”), an independent registered public accounting firm with its registered address at B-11-14, Megan Avenue II 12, Jalan Yap Kwan Seng, 50450, Kuala Lumpur, Malaysia, given on the authority of said firm as an expert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k_020"/>
      <w:bookmarkEnd w:id="21"/>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estimated expenses of the issuance and distribution of the securities being registered under the Registration Statement of which this prospectus forms a part, all of which will be paid by us. With the exception of the SEC registration fee, all amounts are estimates and may change:</w:t>
      </w:r>
    </w:p>
    <w:p>
      <w:pPr>
        <w:pStyle w:val="TextBody"/>
        <w:bidi w:val="0"/>
        <w:spacing w:before="0" w:after="0"/>
        <w:ind w:left="0" w:right="0" w:firstLine="720"/>
        <w:jc w:val="both"/>
        <w:rPr>
          <w:caps w:val="false"/>
          <w:smallCaps w:val="false"/>
        </w:rPr>
      </w:pPr>
      <w:r>
        <w:rPr>
          <w:caps w:val="false"/>
          <w:smallCaps w:val="false"/>
        </w:rPr>
        <w:t> </w:t>
      </w:r>
    </w:p>
    <w:tbl>
      <w:tblPr>
        <w:tblW w:w="3260" w:type="dxa"/>
        <w:jc w:val="left"/>
        <w:tblInd w:w="0" w:type="dxa"/>
        <w:tblLayout w:type="fixed"/>
        <w:tblCellMar>
          <w:top w:w="0" w:type="dxa"/>
          <w:left w:w="0" w:type="dxa"/>
          <w:bottom w:w="0" w:type="dxa"/>
          <w:right w:w="0" w:type="dxa"/>
        </w:tblCellMar>
      </w:tblPr>
      <w:tblGrid>
        <w:gridCol w:w="2090"/>
        <w:gridCol w:w="90"/>
        <w:gridCol w:w="155"/>
        <w:gridCol w:w="725"/>
        <w:gridCol w:w="200"/>
      </w:tblGrid>
      <w:tr>
        <w:trPr/>
        <w:tc>
          <w:tcPr>
            <w:tcW w:w="2090" w:type="dxa"/>
            <w:tcBorders/>
            <w:shd w:fill="CCEEFF" w:val="clear"/>
            <w:vAlign w:val="center"/>
          </w:tcPr>
          <w:p>
            <w:pPr>
              <w:pStyle w:val="TableContents"/>
              <w:bidi w:val="0"/>
              <w:spacing w:before="0" w:after="283"/>
              <w:jc w:val="left"/>
              <w:rPr>
                <w:sz w:val="20"/>
              </w:rPr>
            </w:pPr>
            <w:r>
              <w:rPr>
                <w:sz w:val="20"/>
              </w:rPr>
              <w:t>SEC registration fee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2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sz w:val="20"/>
              </w:rPr>
            </w:pPr>
            <w:r>
              <w:rPr>
                <w:sz w:val="20"/>
              </w:rPr>
              <w:t>Printer fees and expenses</w:t>
            </w:r>
          </w:p>
        </w:tc>
        <w:tc>
          <w:tcPr>
            <w:tcW w:w="9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w:t>
            </w:r>
          </w:p>
        </w:tc>
        <w:tc>
          <w:tcPr>
            <w:tcW w:w="725" w:type="dxa"/>
            <w:tcBorders/>
            <w:shd w:fill="FFFFFF" w:val="clear"/>
            <w:vAlign w:val="center"/>
          </w:tcPr>
          <w:p>
            <w:pPr>
              <w:pStyle w:val="TableContents"/>
              <w:bidi w:val="0"/>
              <w:spacing w:before="0" w:after="283"/>
              <w:jc w:val="right"/>
              <w:rPr>
                <w:sz w:val="20"/>
              </w:rPr>
            </w:pPr>
            <w:r>
              <w:rPr>
                <w:sz w:val="20"/>
              </w:rPr>
              <w:t>1,500</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090" w:type="dxa"/>
            <w:tcBorders/>
            <w:shd w:fill="CCEEFF" w:val="clear"/>
            <w:vAlign w:val="center"/>
          </w:tcPr>
          <w:p>
            <w:pPr>
              <w:pStyle w:val="TableContents"/>
              <w:bidi w:val="0"/>
              <w:spacing w:before="0" w:after="283"/>
              <w:jc w:val="left"/>
              <w:rPr>
                <w:sz w:val="20"/>
              </w:rPr>
            </w:pPr>
            <w:r>
              <w:rPr>
                <w:sz w:val="20"/>
              </w:rPr>
              <w:t>Finra expenses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2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sz w:val="20"/>
              </w:rPr>
            </w:pPr>
            <w:r>
              <w:rPr>
                <w:sz w:val="20"/>
              </w:rPr>
              <w:t>Legal fees and expenses</w:t>
            </w:r>
          </w:p>
        </w:tc>
        <w:tc>
          <w:tcPr>
            <w:tcW w:w="9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w:t>
            </w:r>
          </w:p>
        </w:tc>
        <w:tc>
          <w:tcPr>
            <w:tcW w:w="725" w:type="dxa"/>
            <w:tcBorders/>
            <w:shd w:fill="FFFFFF" w:val="clear"/>
            <w:vAlign w:val="center"/>
          </w:tcPr>
          <w:p>
            <w:pPr>
              <w:pStyle w:val="TableContents"/>
              <w:bidi w:val="0"/>
              <w:spacing w:before="0" w:after="283"/>
              <w:jc w:val="right"/>
              <w:rPr>
                <w:sz w:val="20"/>
              </w:rPr>
            </w:pPr>
            <w:r>
              <w:rPr>
                <w:sz w:val="20"/>
              </w:rPr>
              <w:t>100,000</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090" w:type="dxa"/>
            <w:tcBorders/>
            <w:shd w:fill="CCEEFF" w:val="clear"/>
            <w:vAlign w:val="center"/>
          </w:tcPr>
          <w:p>
            <w:pPr>
              <w:pStyle w:val="TableContents"/>
              <w:bidi w:val="0"/>
              <w:spacing w:before="0" w:after="283"/>
              <w:jc w:val="left"/>
              <w:rPr>
                <w:sz w:val="20"/>
              </w:rPr>
            </w:pPr>
            <w:r>
              <w:rPr>
                <w:sz w:val="20"/>
              </w:rPr>
              <w:t>Miscellaneous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5,000</w:t>
            </w:r>
          </w:p>
        </w:tc>
        <w:tc>
          <w:tcPr>
            <w:tcW w:w="20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sz w:val="20"/>
              </w:rPr>
            </w:pPr>
            <w:r>
              <w:rPr>
                <w:sz w:val="20"/>
              </w:rPr>
              <w:t>Total</w:t>
            </w:r>
          </w:p>
        </w:tc>
        <w:tc>
          <w:tcPr>
            <w:tcW w:w="90" w:type="dxa"/>
            <w:tcBorders/>
            <w:shd w:fill="FFFFFF" w:val="clear"/>
            <w:vAlign w:val="center"/>
          </w:tcPr>
          <w:p>
            <w:pPr>
              <w:pStyle w:val="TableContents"/>
              <w:bidi w:val="0"/>
              <w:spacing w:before="0" w:after="283"/>
              <w:jc w:val="left"/>
              <w:rPr/>
            </w:pPr>
            <w:r>
              <w:rPr/>
              <w:t> </w:t>
            </w:r>
          </w:p>
        </w:tc>
        <w:tc>
          <w:tcPr>
            <w:tcW w:w="155" w:type="dxa"/>
            <w:tcBorders>
              <w:bottom w:val="double" w:sz="12"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25"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170"/>
        <w:gridCol w:w="6440"/>
      </w:tblGrid>
      <w:tr>
        <w:trPr/>
        <w:tc>
          <w:tcPr>
            <w:tcW w:w="170" w:type="dxa"/>
            <w:tcBorders/>
            <w:vAlign w:val="center"/>
          </w:tcPr>
          <w:p>
            <w:pPr>
              <w:pStyle w:val="TableContents"/>
              <w:bidi w:val="0"/>
              <w:spacing w:before="0" w:after="283"/>
              <w:jc w:val="left"/>
              <w:rPr>
                <w:sz w:val="20"/>
              </w:rPr>
            </w:pPr>
            <w:r>
              <w:rPr>
                <w:sz w:val="20"/>
              </w:rPr>
              <w:t>*</w:t>
            </w:r>
          </w:p>
        </w:tc>
        <w:tc>
          <w:tcPr>
            <w:tcW w:w="6440" w:type="dxa"/>
            <w:tcBorders/>
            <w:vAlign w:val="center"/>
          </w:tcPr>
          <w:p>
            <w:pPr>
              <w:pStyle w:val="TableContents"/>
              <w:bidi w:val="0"/>
              <w:spacing w:before="0" w:after="283"/>
              <w:jc w:val="both"/>
              <w:rPr>
                <w:sz w:val="20"/>
              </w:rPr>
            </w:pPr>
            <w:r>
              <w:rPr>
                <w:sz w:val="20"/>
              </w:rPr>
              <w:t>An estimate of expected legal fees and expenses and printer fees and expenses.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k_021"/>
      <w:bookmarkEnd w:id="22"/>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British Virgin Islands with limited liability. We are incorporated in the British Virgin Islands because of certain benefits associated with being a British Virgin Islands company, such as political and economic stability, an effective judicial system, a favorable tax system, the absence of exchange control or currency restrictions and the availability of professional and support services. However, the British Virgin Islands has a less developed body of securities laws as compared to the United States and provides protections for investors to a lesser extent. In addition, British Virgin Islands companies may not have standing to sue before the federal courts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outside the United States. In addition, a majority of our directors and officers are nationals and/or residents of countries other than the United States, and all or a substantial portion of such persons’ assets are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to receive service of process with respect to any action brought against us in the United States District Court for districts in the State of New York under the federal securities laws of the United States or of any State of the United  States or any action brought against us in the Supreme Court of the State of New York under the securities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British Virgin Islands courts are unlikely: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to recognize or enforce against the Company, judgments of courts of the U.S. based on certain civil liability provisions of U.S. securities laws where that liability is in respect of penalties, taxes, fines or similar fiscal or revenue obligations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to impose liabilities against the Company, in original actions brought in the British Virgin Islands, based on certain civil liability provisions of U.S. securities laws that are penal in nature.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British Virgin Islands of judgments obtained in the U.S., however, the courts of the British Virgin Islands will in certain circumstances recognize such a foreign judgment and treat it as a cause of action in itself which may be sued upon as a debt at common law so that no retrial of the issues would be necessary, provided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U.S. court issuing the judgment had jurisdiction in the matter and the company either submitted to such jurisdiction or was resident or carrying on business within such jurisdiction and was duly served with process;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judgment is final and for a liquidated sum;</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judgment given by the U.S. court was not in respect of penalties, taxes, fines or similar fiscal or revenue obligations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in obtaining judgment there was no fraud on the part of the person in whose favor judgment was given or on the part of the court;</w:t>
            </w:r>
          </w:p>
        </w:tc>
      </w:tr>
    </w:tbl>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105"/>
        <w:gridCol w:w="200"/>
        <w:gridCol w:w="95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sz w:val="20"/>
              </w:rPr>
            </w:pPr>
            <w:r>
              <w:rPr>
                <w:sz w:val="20"/>
              </w:rPr>
              <w:t>recognition or enforcement of the judgment in the British Virgin Islands would not be contrary to public policy;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sz w:val="20"/>
              </w:rPr>
            </w:pPr>
            <w:r>
              <w:rPr>
                <w:sz w:val="20"/>
              </w:rPr>
              <w:t>the proceedings pursuant to which judgment was obtained were not contrary to natural justice.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appropriate circumstances, a British Virgin Islands Court may give effect in the British Virgin Islands to other kinds of final foreign judgments such as declaratory orders, orders for performance of contracts and injunctions.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k_022"/>
      <w:bookmarkEnd w:id="23"/>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F-1 under the Securities Act relating to this registration of the Ordinary Shares to be offered in this Best Efforts Offering. This prospectus, which is part of the Registration Statement,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pStyle w:val="TextBody"/>
        <w:bidi w:val="0"/>
        <w:spacing w:before="0" w:after="0"/>
        <w:ind w:left="0" w:right="0" w:firstLine="5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periodic reporting and other information requirements of the Exchange Act as applicable to a “Foreign Private Issuer,” and we will file annual reports and other information from time to time with the SEC in accordance with such requirements. Our filings with the SEC are also available to the public through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5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www.newgenivf.com. Information contained on, or that can be accessed through, our website does not constitute a part of this prospectus. We have included our website address in this prospectus solely as an inactive textual reference. We will post on our website any materials required to be so posted on such website under applicable corporate or securities laws and regulations, including, posting any XBRL interactive financial data required to be filed with the SEC and any notices of general meetings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LIMITED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60"/>
        <w:gridCol w:w="90"/>
        <w:gridCol w:w="355"/>
      </w:tblGrid>
      <w:tr>
        <w:trPr/>
        <w:tc>
          <w:tcPr>
            <w:tcW w:w="9760" w:type="dxa"/>
            <w:tcBorders/>
            <w:shd w:fill="CCEEFF" w:val="clear"/>
            <w:vAlign w:val="center"/>
          </w:tcPr>
          <w:p>
            <w:pPr>
              <w:pStyle w:val="TableContents"/>
              <w:bidi w:val="0"/>
              <w:spacing w:before="0" w:after="283"/>
              <w:ind w:left="0" w:right="0" w:hanging="180"/>
              <w:jc w:val="left"/>
              <w:rPr>
                <w:b/>
                <w:sz w:val="20"/>
              </w:rPr>
            </w:pPr>
            <w:r>
              <w:rPr>
                <w:b/>
                <w:sz w:val="20"/>
              </w:rPr>
              <w:t>AUDITED CONSOLIDATED FINANCIAL STATEMENTS</w:t>
            </w:r>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180"/>
              <w:jc w:val="left"/>
              <w:rPr/>
            </w:pPr>
            <w:r>
              <w:rPr/>
              <w:t> </w:t>
            </w:r>
          </w:p>
        </w:tc>
      </w:tr>
      <w:tr>
        <w:trPr/>
        <w:tc>
          <w:tcPr>
            <w:tcW w:w="9760" w:type="dxa"/>
            <w:tcBorders/>
            <w:shd w:fill="FFFFFF" w:val="clear"/>
            <w:vAlign w:val="center"/>
          </w:tcPr>
          <w:p>
            <w:pPr>
              <w:pStyle w:val="TableContents"/>
              <w:bidi w:val="0"/>
              <w:spacing w:before="0" w:after="283"/>
              <w:jc w:val="left"/>
              <w:rPr/>
            </w:pPr>
            <w:hyperlink w:anchor="f_001">
              <w:r>
                <w:rPr>
                  <w:rStyle w:val="InternetLink"/>
                  <w:sz w:val="20"/>
                </w:rPr>
                <w:t>Report of Independent Registered Public Accounting Firm (PCAOB ID: 6743)</w:t>
              </w:r>
            </w:hyperlink>
          </w:p>
        </w:tc>
        <w:tc>
          <w:tcPr>
            <w:tcW w:w="9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180"/>
              <w:jc w:val="center"/>
              <w:rPr>
                <w:sz w:val="20"/>
              </w:rPr>
            </w:pPr>
            <w:r>
              <w:rPr>
                <w:sz w:val="20"/>
              </w:rPr>
              <w:t>F-2</w:t>
            </w:r>
          </w:p>
        </w:tc>
      </w:tr>
      <w:tr>
        <w:trPr/>
        <w:tc>
          <w:tcPr>
            <w:tcW w:w="9760" w:type="dxa"/>
            <w:tcBorders/>
            <w:shd w:fill="CCEEFF" w:val="clear"/>
            <w:vAlign w:val="center"/>
          </w:tcPr>
          <w:p>
            <w:pPr>
              <w:pStyle w:val="TableContents"/>
              <w:bidi w:val="0"/>
              <w:spacing w:before="0" w:after="283"/>
              <w:jc w:val="left"/>
              <w:rPr/>
            </w:pPr>
            <w:hyperlink w:anchor="f_002">
              <w:r>
                <w:rPr>
                  <w:rStyle w:val="InternetLink"/>
                  <w:sz w:val="20"/>
                </w:rPr>
                <w:t>Consolidated Balance Sheets as of December 31, 2025 and 2024</w:t>
              </w:r>
            </w:hyperlink>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180"/>
              <w:jc w:val="center"/>
              <w:rPr>
                <w:sz w:val="20"/>
              </w:rPr>
            </w:pPr>
            <w:r>
              <w:rPr>
                <w:sz w:val="20"/>
              </w:rPr>
              <w:t>F-3</w:t>
            </w:r>
          </w:p>
        </w:tc>
      </w:tr>
      <w:tr>
        <w:trPr/>
        <w:tc>
          <w:tcPr>
            <w:tcW w:w="9760" w:type="dxa"/>
            <w:tcBorders/>
            <w:shd w:fill="FFFFFF" w:val="clear"/>
            <w:vAlign w:val="center"/>
          </w:tcPr>
          <w:p>
            <w:pPr>
              <w:pStyle w:val="TableContents"/>
              <w:bidi w:val="0"/>
              <w:spacing w:before="0" w:after="283"/>
              <w:jc w:val="left"/>
              <w:rPr/>
            </w:pPr>
            <w:hyperlink w:anchor="f_003">
              <w:r>
                <w:rPr>
                  <w:rStyle w:val="InternetLink"/>
                  <w:sz w:val="20"/>
                </w:rPr>
                <w:t>Consolidated Statements of Operations and Comprehensive Income (Loss) for the Years Ended December 31, 2025, 2024 and 2023</w:t>
              </w:r>
            </w:hyperlink>
          </w:p>
        </w:tc>
        <w:tc>
          <w:tcPr>
            <w:tcW w:w="9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180"/>
              <w:jc w:val="center"/>
              <w:rPr>
                <w:sz w:val="20"/>
              </w:rPr>
            </w:pPr>
            <w:r>
              <w:rPr>
                <w:sz w:val="20"/>
              </w:rPr>
              <w:t>F-4</w:t>
            </w:r>
          </w:p>
        </w:tc>
      </w:tr>
      <w:tr>
        <w:trPr/>
        <w:tc>
          <w:tcPr>
            <w:tcW w:w="9760" w:type="dxa"/>
            <w:tcBorders/>
            <w:shd w:fill="CCEEFF" w:val="clear"/>
            <w:vAlign w:val="center"/>
          </w:tcPr>
          <w:p>
            <w:pPr>
              <w:pStyle w:val="TableContents"/>
              <w:bidi w:val="0"/>
              <w:spacing w:before="0" w:after="283"/>
              <w:jc w:val="left"/>
              <w:rPr/>
            </w:pPr>
            <w:hyperlink w:anchor="f_004">
              <w:r>
                <w:rPr>
                  <w:rStyle w:val="InternetLink"/>
                  <w:sz w:val="20"/>
                </w:rPr>
                <w:t>Consolidated Statements of Changes in Shareholders’ Equity (Deficit) for the Years Ended December 31, 2025, 2024 and 2023</w:t>
              </w:r>
            </w:hyperlink>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180"/>
              <w:jc w:val="center"/>
              <w:rPr>
                <w:sz w:val="20"/>
              </w:rPr>
            </w:pPr>
            <w:r>
              <w:rPr>
                <w:sz w:val="20"/>
              </w:rPr>
              <w:t>F-5</w:t>
            </w:r>
          </w:p>
        </w:tc>
      </w:tr>
      <w:tr>
        <w:trPr/>
        <w:tc>
          <w:tcPr>
            <w:tcW w:w="9760" w:type="dxa"/>
            <w:tcBorders/>
            <w:shd w:fill="FFFFFF" w:val="clear"/>
            <w:vAlign w:val="center"/>
          </w:tcPr>
          <w:p>
            <w:pPr>
              <w:pStyle w:val="TableContents"/>
              <w:bidi w:val="0"/>
              <w:spacing w:before="0" w:after="283"/>
              <w:jc w:val="left"/>
              <w:rPr/>
            </w:pPr>
            <w:hyperlink w:anchor="f_005">
              <w:r>
                <w:rPr>
                  <w:rStyle w:val="InternetLink"/>
                  <w:sz w:val="20"/>
                </w:rPr>
                <w:t>Consolidated Statements of Cash Flows for the Years Ended December 31, 2025, 2024 and 2023</w:t>
              </w:r>
            </w:hyperlink>
          </w:p>
        </w:tc>
        <w:tc>
          <w:tcPr>
            <w:tcW w:w="9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180"/>
              <w:jc w:val="center"/>
              <w:rPr>
                <w:sz w:val="20"/>
              </w:rPr>
            </w:pPr>
            <w:r>
              <w:rPr>
                <w:sz w:val="20"/>
              </w:rPr>
              <w:t>F-6</w:t>
            </w:r>
          </w:p>
        </w:tc>
      </w:tr>
      <w:tr>
        <w:trPr/>
        <w:tc>
          <w:tcPr>
            <w:tcW w:w="9760" w:type="dxa"/>
            <w:tcBorders/>
            <w:shd w:fill="CCEEFF" w:val="clear"/>
            <w:vAlign w:val="center"/>
          </w:tcPr>
          <w:p>
            <w:pPr>
              <w:pStyle w:val="TableContents"/>
              <w:bidi w:val="0"/>
              <w:spacing w:before="0" w:after="283"/>
              <w:jc w:val="left"/>
              <w:rPr/>
            </w:pPr>
            <w:hyperlink w:anchor="f_006">
              <w:r>
                <w:rPr>
                  <w:rStyle w:val="InternetLink"/>
                  <w:sz w:val="20"/>
                </w:rPr>
                <w:t>Notes to the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center"/>
              <w:rPr>
                <w:sz w:val="20"/>
              </w:rPr>
            </w:pPr>
            <w:r>
              <w:rPr>
                <w:sz w:val="20"/>
              </w:rPr>
              <w:t>F-7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15" w:type="dxa"/>
        <w:jc w:val="left"/>
        <w:tblInd w:w="0" w:type="dxa"/>
        <w:tblLayout w:type="fixed"/>
        <w:tblCellMar>
          <w:top w:w="0" w:type="dxa"/>
          <w:left w:w="0" w:type="dxa"/>
          <w:bottom w:w="0" w:type="dxa"/>
          <w:right w:w="0" w:type="dxa"/>
        </w:tblCellMar>
      </w:tblPr>
      <w:tblGrid>
        <w:gridCol w:w="1305"/>
        <w:gridCol w:w="4820"/>
        <w:gridCol w:w="90"/>
        <w:gridCol w:w="770"/>
        <w:gridCol w:w="2030"/>
      </w:tblGrid>
      <w:tr>
        <w:trPr/>
        <w:tc>
          <w:tcPr>
            <w:tcW w:w="1305" w:type="dxa"/>
            <w:vMerge w:val="restart"/>
            <w:tcBorders/>
            <w:vAlign w:val="center"/>
          </w:tcPr>
          <w:p>
            <w:pPr>
              <w:pStyle w:val="TableContents"/>
              <w:bidi w:val="0"/>
              <w:spacing w:before="0" w:after="283"/>
              <w:jc w:val="left"/>
              <w:rPr/>
            </w:pPr>
            <w:r>
              <w:rPr/>
              <w:drawing>
                <wp:inline distT="0" distB="0" distL="0" distR="0">
                  <wp:extent cx="800100" cy="6096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0100" cy="609600"/>
                          </a:xfrm>
                          <a:prstGeom prst="rect">
                            <a:avLst/>
                          </a:prstGeom>
                        </pic:spPr>
                      </pic:pic>
                    </a:graphicData>
                  </a:graphic>
                </wp:inline>
              </w:drawing>
            </w:r>
          </w:p>
        </w:tc>
        <w:tc>
          <w:tcPr>
            <w:tcW w:w="4820" w:type="dxa"/>
            <w:tcBorders/>
            <w:vAlign w:val="center"/>
          </w:tcPr>
          <w:p>
            <w:pPr>
              <w:pStyle w:val="TableContents"/>
              <w:bidi w:val="0"/>
              <w:spacing w:before="0" w:after="283"/>
              <w:jc w:val="left"/>
              <w:rPr>
                <w:b/>
                <w:sz w:val="20"/>
              </w:rPr>
            </w:pPr>
            <w:r>
              <w:rPr>
                <w:b/>
                <w:sz w:val="20"/>
              </w:rPr>
              <w:t>J&amp;S ASSOCIATE PLT</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r>
      <w:tr>
        <w:trPr/>
        <w:tc>
          <w:tcPr>
            <w:tcW w:w="1305" w:type="dxa"/>
            <w:vMerge w:val="continue"/>
            <w:tcBorders/>
            <w:vAlign w:val="center"/>
          </w:tcPr>
          <w:p>
            <w:pPr>
              <w:pStyle w:val="Normal"/>
              <w:bidi w:val="0"/>
              <w:jc w:val="left"/>
              <w:rPr/>
            </w:pPr>
            <w:r>
              <w:rPr/>
            </w:r>
          </w:p>
        </w:tc>
        <w:tc>
          <w:tcPr>
            <w:tcW w:w="4820" w:type="dxa"/>
            <w:tcBorders/>
            <w:vAlign w:val="center"/>
          </w:tcPr>
          <w:p>
            <w:pPr>
              <w:pStyle w:val="TableContents"/>
              <w:bidi w:val="0"/>
              <w:spacing w:before="0" w:after="283"/>
              <w:jc w:val="left"/>
              <w:rPr>
                <w:sz w:val="20"/>
              </w:rPr>
            </w:pPr>
            <w:r>
              <w:rPr>
                <w:sz w:val="20"/>
              </w:rPr>
              <w:t>202206000037 (LLP0033395-LCA) &amp; AF002380</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r>
      <w:tr>
        <w:trPr/>
        <w:tc>
          <w:tcPr>
            <w:tcW w:w="1305" w:type="dxa"/>
            <w:vMerge w:val="continue"/>
            <w:tcBorders/>
            <w:vAlign w:val="center"/>
          </w:tcPr>
          <w:p>
            <w:pPr>
              <w:pStyle w:val="Normal"/>
              <w:bidi w:val="0"/>
              <w:jc w:val="left"/>
              <w:rPr/>
            </w:pPr>
            <w:r>
              <w:rPr/>
            </w:r>
          </w:p>
        </w:tc>
        <w:tc>
          <w:tcPr>
            <w:tcW w:w="4820" w:type="dxa"/>
            <w:tcBorders/>
            <w:vAlign w:val="center"/>
          </w:tcPr>
          <w:p>
            <w:pPr>
              <w:pStyle w:val="TableContents"/>
              <w:bidi w:val="0"/>
              <w:spacing w:before="0" w:after="283"/>
              <w:jc w:val="left"/>
              <w:rPr>
                <w:sz w:val="20"/>
              </w:rPr>
            </w:pPr>
            <w:r>
              <w:rPr>
                <w:sz w:val="20"/>
              </w:rPr>
              <w:t>(Registered with PCAOB and MIA)</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sz w:val="20"/>
              </w:rPr>
            </w:pPr>
            <w:r>
              <w:rPr>
                <w:sz w:val="20"/>
              </w:rPr>
              <w:t>Tel:</w:t>
            </w:r>
          </w:p>
        </w:tc>
        <w:tc>
          <w:tcPr>
            <w:tcW w:w="2030" w:type="dxa"/>
            <w:tcBorders/>
            <w:vAlign w:val="center"/>
          </w:tcPr>
          <w:p>
            <w:pPr>
              <w:pStyle w:val="TableContents"/>
              <w:bidi w:val="0"/>
              <w:spacing w:before="0" w:after="283"/>
              <w:jc w:val="left"/>
              <w:rPr>
                <w:sz w:val="20"/>
              </w:rPr>
            </w:pPr>
            <w:r>
              <w:rPr>
                <w:sz w:val="20"/>
              </w:rPr>
              <w:t>+603-4813 9469</w:t>
            </w:r>
          </w:p>
        </w:tc>
      </w:tr>
      <w:tr>
        <w:trPr/>
        <w:tc>
          <w:tcPr>
            <w:tcW w:w="1305" w:type="dxa"/>
            <w:vMerge w:val="continue"/>
            <w:tcBorders/>
            <w:vAlign w:val="center"/>
          </w:tcPr>
          <w:p>
            <w:pPr>
              <w:pStyle w:val="Normal"/>
              <w:bidi w:val="0"/>
              <w:jc w:val="left"/>
              <w:rPr/>
            </w:pPr>
            <w:r>
              <w:rPr/>
            </w:r>
          </w:p>
        </w:tc>
        <w:tc>
          <w:tcPr>
            <w:tcW w:w="4820" w:type="dxa"/>
            <w:tcBorders/>
            <w:vAlign w:val="center"/>
          </w:tcPr>
          <w:p>
            <w:pPr>
              <w:pStyle w:val="TableContents"/>
              <w:bidi w:val="0"/>
              <w:spacing w:before="0" w:after="283"/>
              <w:jc w:val="left"/>
              <w:rPr>
                <w:sz w:val="20"/>
              </w:rPr>
            </w:pPr>
            <w:r>
              <w:rPr>
                <w:sz w:val="20"/>
              </w:rPr>
              <w:t>B-11-14, Megan Avenue II</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sz w:val="20"/>
              </w:rPr>
            </w:pPr>
            <w:r>
              <w:rPr>
                <w:sz w:val="20"/>
              </w:rPr>
              <w:t>Email:</w:t>
            </w:r>
          </w:p>
        </w:tc>
        <w:tc>
          <w:tcPr>
            <w:tcW w:w="2030" w:type="dxa"/>
            <w:tcBorders/>
            <w:vAlign w:val="center"/>
          </w:tcPr>
          <w:p>
            <w:pPr>
              <w:pStyle w:val="TableContents"/>
              <w:bidi w:val="0"/>
              <w:spacing w:before="0" w:after="283"/>
              <w:jc w:val="left"/>
              <w:rPr>
                <w:sz w:val="20"/>
              </w:rPr>
            </w:pPr>
            <w:r>
              <w:rPr>
                <w:sz w:val="20"/>
              </w:rPr>
              <w:t>info@jns-associate.com</w:t>
            </w:r>
          </w:p>
        </w:tc>
      </w:tr>
      <w:tr>
        <w:trPr/>
        <w:tc>
          <w:tcPr>
            <w:tcW w:w="1305" w:type="dxa"/>
            <w:vMerge w:val="continue"/>
            <w:tcBorders/>
            <w:vAlign w:val="center"/>
          </w:tcPr>
          <w:p>
            <w:pPr>
              <w:pStyle w:val="Normal"/>
              <w:bidi w:val="0"/>
              <w:jc w:val="left"/>
              <w:rPr/>
            </w:pPr>
            <w:r>
              <w:rPr/>
            </w:r>
          </w:p>
        </w:tc>
        <w:tc>
          <w:tcPr>
            <w:tcW w:w="4820" w:type="dxa"/>
            <w:tcBorders/>
            <w:vAlign w:val="center"/>
          </w:tcPr>
          <w:p>
            <w:pPr>
              <w:pStyle w:val="TableContents"/>
              <w:bidi w:val="0"/>
              <w:spacing w:before="0" w:after="283"/>
              <w:jc w:val="left"/>
              <w:rPr>
                <w:sz w:val="20"/>
              </w:rPr>
            </w:pPr>
            <w:r>
              <w:rPr>
                <w:sz w:val="20"/>
              </w:rPr>
              <w:t>12, Jalan Yap Kwan Seng, 50450, Kuala Lumpur, Malaysia</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sz w:val="20"/>
              </w:rPr>
            </w:pPr>
            <w:r>
              <w:rPr>
                <w:sz w:val="20"/>
              </w:rPr>
              <w:t>Website:</w:t>
            </w:r>
          </w:p>
        </w:tc>
        <w:tc>
          <w:tcPr>
            <w:tcW w:w="2030" w:type="dxa"/>
            <w:tcBorders/>
            <w:vAlign w:val="center"/>
          </w:tcPr>
          <w:p>
            <w:pPr>
              <w:pStyle w:val="TableContents"/>
              <w:bidi w:val="0"/>
              <w:spacing w:before="0" w:after="283"/>
              <w:jc w:val="left"/>
              <w:rPr>
                <w:sz w:val="20"/>
              </w:rPr>
            </w:pPr>
            <w:r>
              <w:rPr>
                <w:sz w:val="20"/>
              </w:rPr>
              <w:t>jns-associate.com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f_001"/>
      <w:bookmarkEnd w:id="24"/>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 NewGenIvf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NewGenivf Group Limited and its subsidiaries (collectively, the “Company”) as of December 31, 2025 and 2024, and the related consolidated statements of operations and comprehensive income (loss), changes in shareholders’ equity, and cash flows for each of the three years in the period ended December 31, 2025, and the related notes to the consolidated financial statements and schedule (collectively,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ind w:left="72" w:right="0" w:firstLine="33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72" w:right="0" w:firstLine="33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J&amp;S Associate PLT</w:t>
        <w:br/>
        <w:t>Certified Public Accountants</w:t>
        <w:br/>
        <w:t>Firm ID: 6743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br/>
        <w:t>Kuala Lumpur, Malaysia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f_002"/>
      <w:bookmarkEnd w:id="25"/>
      <w:r>
        <w:rPr>
          <w:rFonts w:ascii="Times New Roman;Times;Serif" w:hAnsi="Times New Roman;Times;Serif"/>
          <w:b/>
          <w:i w:val="false"/>
          <w:caps w:val="false"/>
          <w:smallCaps w:val="false"/>
          <w:sz w:val="20"/>
        </w:rPr>
        <w:t>NEWGENIVF GROUP LIMITED</w:t>
        <w:br/>
        <w:t xml:space="preserve">AUDITED 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2024</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0"/>
        <w:gridCol w:w="90"/>
        <w:gridCol w:w="170"/>
        <w:gridCol w:w="1370"/>
        <w:gridCol w:w="125"/>
        <w:gridCol w:w="90"/>
        <w:gridCol w:w="170"/>
        <w:gridCol w:w="1370"/>
        <w:gridCol w:w="170"/>
      </w:tblGrid>
      <w:tr>
        <w:trPr/>
        <w:tc>
          <w:tcPr>
            <w:tcW w:w="66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center"/>
              <w:rPr>
                <w:b/>
              </w:rPr>
            </w:pPr>
            <w:r>
              <w:rPr>
                <w:b/>
              </w:rP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b/>
              </w:rPr>
            </w:pPr>
            <w:r>
              <w:rPr>
                <w:b/>
              </w:rPr>
              <w:t>Current assets</w:t>
            </w:r>
          </w:p>
        </w:tc>
        <w:tc>
          <w:tcPr>
            <w:tcW w:w="9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         </w:t>
            </w:r>
            <w:r>
              <w:rPr/>
              <w:t>758,621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         </w:t>
            </w:r>
            <w:r>
              <w:rPr/>
              <w:t>457,740</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Accounts receivable,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166,531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49,245</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Inventories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335,360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80,813</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Deposits, prepayments and other receivables,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503,588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393,152</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Deposit for land acquisition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4,614,749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Deposit with a digital asset custodian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34,987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1,000,000</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Deposit with futures broker,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59,369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Receivable from agents,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794,116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1,191,795</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Deferred offering costs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283"/>
              <w:jc w:val="right"/>
              <w:rPr/>
            </w:pPr>
            <w:r>
              <w:rPr/>
              <w:t>116,250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b/>
              </w:rPr>
            </w:pPr>
            <w:r>
              <w:rPr>
                <w:b/>
              </w:rPr>
              <w:t>Total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283"/>
              <w:jc w:val="right"/>
              <w:rPr/>
            </w:pPr>
            <w:r>
              <w:rPr/>
              <w:t>7,383,571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283"/>
              <w:jc w:val="right"/>
              <w:rPr/>
            </w:pPr>
            <w:r>
              <w:rPr/>
              <w:t>3,172,745</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b/>
              </w:rPr>
            </w:pPr>
            <w:r>
              <w:rPr>
                <w:b/>
              </w:rPr>
              <w:t>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Plant and equipment,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1,789,110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273,096</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Right-of-use assets,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504,192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98,570</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Intangible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21,415,069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Digital asset, at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1,630,827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Other receivable, deposit and other receivables,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33,333</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b/>
              </w:rPr>
            </w:pPr>
            <w:r>
              <w:rPr>
                <w:b/>
              </w:rPr>
              <w:t>Total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283"/>
              <w:jc w:val="right"/>
              <w:rPr/>
            </w:pPr>
            <w:r>
              <w:rPr/>
              <w:t>25,339,198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283"/>
              <w:jc w:val="right"/>
              <w:rPr/>
            </w:pPr>
            <w:r>
              <w:rPr/>
              <w:t>404,999</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b/>
              </w:rPr>
            </w:pPr>
            <w:r>
              <w:rPr>
                <w:b/>
              </w:rPr>
              <w:t>TOTAL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70" w:type="dxa"/>
            <w:tcBorders>
              <w:bottom w:val="double" w:sz="10" w:space="0" w:color="000000"/>
            </w:tcBorders>
            <w:shd w:fill="FFFFFF" w:val="clear"/>
            <w:tcMar>
              <w:bottom w:w="28" w:type="dxa"/>
            </w:tcMar>
            <w:vAlign w:val="center"/>
          </w:tcPr>
          <w:p>
            <w:pPr>
              <w:pStyle w:val="TableContents"/>
              <w:bidi w:val="0"/>
              <w:spacing w:before="0" w:after="283"/>
              <w:jc w:val="right"/>
              <w:rPr/>
            </w:pPr>
            <w:r>
              <w:rPr/>
              <w:t>32,722,769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70" w:type="dxa"/>
            <w:tcBorders>
              <w:bottom w:val="double" w:sz="10" w:space="0" w:color="000000"/>
            </w:tcBorders>
            <w:shd w:fill="FFFFFF" w:val="clear"/>
            <w:tcMar>
              <w:bottom w:w="28" w:type="dxa"/>
            </w:tcMar>
            <w:vAlign w:val="center"/>
          </w:tcPr>
          <w:p>
            <w:pPr>
              <w:pStyle w:val="TableContents"/>
              <w:bidi w:val="0"/>
              <w:spacing w:before="0" w:after="283"/>
              <w:jc w:val="right"/>
              <w:rPr/>
            </w:pPr>
            <w:r>
              <w:rPr/>
              <w:t>3,577,744</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b/>
              </w:rPr>
            </w:pPr>
            <w:r>
              <w:rPr>
                <w:b/>
              </w:rPr>
              <w:t>LIABILITIES AND SHAREHOLDERS’ EQUITY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b/>
              </w:rPr>
            </w:pPr>
            <w:r>
              <w:rPr>
                <w:b/>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Accounts payable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370" w:type="dxa"/>
            <w:tcBorders/>
            <w:shd w:fill="FFFFFF" w:val="clear"/>
            <w:vAlign w:val="center"/>
          </w:tcPr>
          <w:p>
            <w:pPr>
              <w:pStyle w:val="TableContents"/>
              <w:bidi w:val="0"/>
              <w:spacing w:before="0" w:after="283"/>
              <w:jc w:val="right"/>
              <w:rPr/>
            </w:pPr>
            <w:r>
              <w:rPr/>
              <w:t>779,280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370" w:type="dxa"/>
            <w:tcBorders/>
            <w:shd w:fill="FFFFFF" w:val="clear"/>
            <w:vAlign w:val="center"/>
          </w:tcPr>
          <w:p>
            <w:pPr>
              <w:pStyle w:val="TableContents"/>
              <w:bidi w:val="0"/>
              <w:spacing w:before="0" w:after="283"/>
              <w:jc w:val="right"/>
              <w:rPr/>
            </w:pPr>
            <w:r>
              <w:rPr/>
              <w:t>1,298,964</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Accrued liabilities and other payables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711,892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500,729</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Contract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111,981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63,489</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Due to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6,421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154,453</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Operating lease liabilities, current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238,105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108,526</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256,056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82,447</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Embedded derivative liability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262,616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Promissory note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500,000</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Taxes payable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b/>
              </w:rPr>
            </w:pPr>
            <w:r>
              <w:rPr>
                <w:b/>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283"/>
              <w:jc w:val="right"/>
              <w:rPr/>
            </w:pPr>
            <w:r>
              <w:rPr/>
              <w:t>2,366,351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283"/>
              <w:jc w:val="right"/>
              <w:rPr/>
            </w:pPr>
            <w:r>
              <w:rPr/>
              <w:t>2,720,354</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b/>
              </w:rPr>
            </w:pPr>
            <w:r>
              <w:rPr>
                <w:b/>
              </w:rPr>
              <w:t>Non-current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Operating lease liabilities, non-current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272,359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10,231</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Convertible notes, non-current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283"/>
              <w:jc w:val="right"/>
              <w:rPr/>
            </w:pPr>
            <w:r>
              <w:rPr/>
              <w:t>4,097,366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283"/>
              <w:jc w:val="right"/>
              <w:rPr/>
            </w:pPr>
            <w:r>
              <w:rPr/>
              <w:t>2,328,916</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b/>
              </w:rPr>
            </w:pPr>
            <w:r>
              <w:rPr>
                <w:b/>
              </w:rPr>
              <w:t>Total non-current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283"/>
              <w:jc w:val="right"/>
              <w:rPr/>
            </w:pPr>
            <w:r>
              <w:rPr/>
              <w:t>4,369,725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283"/>
              <w:jc w:val="right"/>
              <w:rPr/>
            </w:pPr>
            <w:r>
              <w:rPr/>
              <w:t>2,339,147</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b/>
              </w:rPr>
            </w:pPr>
            <w:r>
              <w:rPr>
                <w:b/>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70" w:type="dxa"/>
            <w:tcBorders>
              <w:bottom w:val="double" w:sz="10" w:space="0" w:color="000000"/>
            </w:tcBorders>
            <w:shd w:fill="CCEEFF" w:val="clear"/>
            <w:tcMar>
              <w:bottom w:w="28" w:type="dxa"/>
            </w:tcMar>
            <w:vAlign w:val="center"/>
          </w:tcPr>
          <w:p>
            <w:pPr>
              <w:pStyle w:val="TableContents"/>
              <w:bidi w:val="0"/>
              <w:spacing w:before="0" w:after="283"/>
              <w:jc w:val="right"/>
              <w:rPr/>
            </w:pPr>
            <w:r>
              <w:rPr/>
              <w:t>6,736,076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70" w:type="dxa"/>
            <w:tcBorders>
              <w:bottom w:val="double" w:sz="10" w:space="0" w:color="000000"/>
            </w:tcBorders>
            <w:shd w:fill="CCEEFF" w:val="clear"/>
            <w:tcMar>
              <w:bottom w:w="28" w:type="dxa"/>
            </w:tcMar>
            <w:vAlign w:val="center"/>
          </w:tcPr>
          <w:p>
            <w:pPr>
              <w:pStyle w:val="TableContents"/>
              <w:bidi w:val="0"/>
              <w:spacing w:before="0" w:after="283"/>
              <w:jc w:val="right"/>
              <w:rPr/>
            </w:pPr>
            <w:r>
              <w:rPr/>
              <w:t>5,059,501</w:t>
            </w:r>
          </w:p>
        </w:tc>
        <w:tc>
          <w:tcPr>
            <w:tcW w:w="17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b/>
              </w:rPr>
            </w:pPr>
            <w:r>
              <w:rPr>
                <w:b/>
              </w:rPr>
              <w:t>Shareholders’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650" w:type="dxa"/>
            <w:tcBorders/>
            <w:shd w:fill="FFFFFF" w:val="clear"/>
            <w:vAlign w:val="center"/>
          </w:tcPr>
          <w:p>
            <w:pPr>
              <w:pStyle w:val="TableContents"/>
              <w:bidi w:val="0"/>
              <w:spacing w:before="0" w:after="0"/>
              <w:jc w:val="left"/>
              <w:rPr/>
            </w:pPr>
            <w:r>
              <w:rPr/>
              <w:t>Ordinary shares, no par value, unlimited authorized shares and 240,622* and 380* shares issued and outstanding as of December 31, 2025 and December 31, 2024 respectively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370"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370"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Subscription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(204,000</w:t>
            </w:r>
          </w:p>
        </w:tc>
        <w:tc>
          <w:tcPr>
            <w:tcW w:w="170" w:type="dxa"/>
            <w:tcBorders/>
            <w:shd w:fill="CCEEFF" w:val="clear"/>
            <w:vAlign w:val="center"/>
          </w:tcPr>
          <w:p>
            <w:pPr>
              <w:pStyle w:val="TableContents"/>
              <w:bidi w:val="0"/>
              <w:spacing w:before="0" w:after="283"/>
              <w:jc w:val="left"/>
              <w:rPr/>
            </w:pPr>
            <w:r>
              <w:rPr/>
              <w:t>)</w:t>
            </w:r>
          </w:p>
        </w:tc>
      </w:tr>
      <w:tr>
        <w:trPr/>
        <w:tc>
          <w:tcPr>
            <w:tcW w:w="6650" w:type="dxa"/>
            <w:tcBorders/>
            <w:shd w:fill="FFFFFF" w:val="clear"/>
            <w:vAlign w:val="center"/>
          </w:tcPr>
          <w:p>
            <w:pPr>
              <w:pStyle w:val="TableContents"/>
              <w:bidi w:val="0"/>
              <w:spacing w:before="0" w:after="283"/>
              <w:jc w:val="left"/>
              <w:rPr/>
            </w:pPr>
            <w:r>
              <w:rPr/>
              <w:t>Additional paid-in capital</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17,881,176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122,505</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Retained earnings / (Accumulated deficit)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8,893,414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(985,994</w:t>
            </w:r>
          </w:p>
        </w:tc>
        <w:tc>
          <w:tcPr>
            <w:tcW w:w="170" w:type="dxa"/>
            <w:tcBorders/>
            <w:shd w:fill="CCEEFF" w:val="clear"/>
            <w:vAlign w:val="center"/>
          </w:tcPr>
          <w:p>
            <w:pPr>
              <w:pStyle w:val="TableContents"/>
              <w:bidi w:val="0"/>
              <w:spacing w:before="0" w:after="283"/>
              <w:jc w:val="left"/>
              <w:rPr/>
            </w:pPr>
            <w:r>
              <w:rPr/>
              <w:t>)</w:t>
            </w:r>
          </w:p>
        </w:tc>
      </w:tr>
      <w:tr>
        <w:trPr/>
        <w:tc>
          <w:tcPr>
            <w:tcW w:w="6650" w:type="dxa"/>
            <w:tcBorders/>
            <w:shd w:fill="FFFFFF" w:val="clear"/>
            <w:vAlign w:val="center"/>
          </w:tcPr>
          <w:p>
            <w:pPr>
              <w:pStyle w:val="TableContents"/>
              <w:bidi w:val="0"/>
              <w:spacing w:before="0" w:after="283"/>
              <w:jc w:val="left"/>
              <w:rPr/>
            </w:pPr>
            <w:r>
              <w:rPr/>
              <w:t>Accumulated other comprehensive (loss) income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FFFFFF" w:val="clear"/>
            <w:tcMar>
              <w:bottom w:w="28" w:type="dxa"/>
            </w:tcMar>
            <w:vAlign w:val="center"/>
          </w:tcPr>
          <w:p>
            <w:pPr>
              <w:pStyle w:val="TableContents"/>
              <w:bidi w:val="0"/>
              <w:spacing w:before="0" w:after="283"/>
              <w:jc w:val="right"/>
              <w:rPr/>
            </w:pPr>
            <w:r>
              <w:rPr/>
              <w:t>18,875</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b/>
              </w:rPr>
            </w:pPr>
            <w:r>
              <w:rPr>
                <w:b/>
              </w:rPr>
              <w:t>Equity attributable to the shareholders of the Company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26,631,519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(1,048,614</w:t>
            </w:r>
          </w:p>
        </w:tc>
        <w:tc>
          <w:tcPr>
            <w:tcW w:w="170" w:type="dxa"/>
            <w:tcBorders/>
            <w:shd w:fill="CCEEFF" w:val="clear"/>
            <w:vAlign w:val="center"/>
          </w:tcPr>
          <w:p>
            <w:pPr>
              <w:pStyle w:val="TableContents"/>
              <w:bidi w:val="0"/>
              <w:spacing w:before="0" w:after="283"/>
              <w:jc w:val="left"/>
              <w:rPr/>
            </w:pPr>
            <w:r>
              <w:rPr/>
              <w:t>)</w:t>
            </w:r>
          </w:p>
        </w:tc>
      </w:tr>
      <w:tr>
        <w:trPr/>
        <w:tc>
          <w:tcPr>
            <w:tcW w:w="6650" w:type="dxa"/>
            <w:tcBorders/>
            <w:shd w:fill="FFFFFF" w:val="clear"/>
            <w:vAlign w:val="center"/>
          </w:tcPr>
          <w:p>
            <w:pPr>
              <w:pStyle w:val="TableContents"/>
              <w:bidi w:val="0"/>
              <w:spacing w:before="0" w:after="283"/>
              <w:jc w:val="left"/>
              <w:rPr/>
            </w:pPr>
            <w:r>
              <w:rPr/>
              <w:t>Non-controlling interests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FFFFFF" w:val="clear"/>
            <w:tcMar>
              <w:bottom w:w="28" w:type="dxa"/>
            </w:tcMar>
            <w:vAlign w:val="center"/>
          </w:tcPr>
          <w:p>
            <w:pPr>
              <w:pStyle w:val="TableContents"/>
              <w:bidi w:val="0"/>
              <w:spacing w:before="0" w:after="283"/>
              <w:jc w:val="right"/>
              <w:rPr/>
            </w:pPr>
            <w:r>
              <w:rPr/>
              <w:t>(644,826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FFFFFF" w:val="clear"/>
            <w:tcMar>
              <w:bottom w:w="28" w:type="dxa"/>
            </w:tcMar>
            <w:vAlign w:val="center"/>
          </w:tcPr>
          <w:p>
            <w:pPr>
              <w:pStyle w:val="TableContents"/>
              <w:bidi w:val="0"/>
              <w:spacing w:before="0" w:after="283"/>
              <w:jc w:val="right"/>
              <w:rPr/>
            </w:pPr>
            <w:r>
              <w:rPr/>
              <w:t>(433,143</w:t>
            </w:r>
          </w:p>
        </w:tc>
        <w:tc>
          <w:tcPr>
            <w:tcW w:w="170" w:type="dxa"/>
            <w:tcBorders/>
            <w:shd w:fill="FFFFFF" w:val="clear"/>
            <w:vAlign w:val="center"/>
          </w:tcPr>
          <w:p>
            <w:pPr>
              <w:pStyle w:val="TableContents"/>
              <w:bidi w:val="0"/>
              <w:spacing w:before="0" w:after="283"/>
              <w:jc w:val="left"/>
              <w:rPr/>
            </w:pPr>
            <w:r>
              <w:rPr/>
              <w:t>)</w:t>
            </w:r>
          </w:p>
        </w:tc>
      </w:tr>
      <w:tr>
        <w:trPr/>
        <w:tc>
          <w:tcPr>
            <w:tcW w:w="6650" w:type="dxa"/>
            <w:tcBorders/>
            <w:shd w:fill="CCEEFF" w:val="clear"/>
            <w:vAlign w:val="center"/>
          </w:tcPr>
          <w:p>
            <w:pPr>
              <w:pStyle w:val="TableContents"/>
              <w:bidi w:val="0"/>
              <w:spacing w:before="0" w:after="283"/>
              <w:jc w:val="left"/>
              <w:rPr>
                <w:b/>
              </w:rPr>
            </w:pPr>
            <w:r>
              <w:rPr>
                <w:b/>
              </w:rPr>
              <w:t>Total shareholders’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double" w:sz="10" w:space="0" w:color="000000"/>
            </w:tcBorders>
            <w:shd w:fill="CCEEFF" w:val="clear"/>
            <w:tcMar>
              <w:bottom w:w="28" w:type="dxa"/>
            </w:tcMar>
            <w:vAlign w:val="center"/>
          </w:tcPr>
          <w:p>
            <w:pPr>
              <w:pStyle w:val="TableContents"/>
              <w:bidi w:val="0"/>
              <w:spacing w:before="0" w:after="283"/>
              <w:jc w:val="right"/>
              <w:rPr/>
            </w:pPr>
            <w:r>
              <w:rPr/>
              <w:t>25,986,693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double" w:sz="10" w:space="0" w:color="000000"/>
            </w:tcBorders>
            <w:shd w:fill="CCEEFF" w:val="clear"/>
            <w:tcMar>
              <w:bottom w:w="28" w:type="dxa"/>
            </w:tcMar>
            <w:vAlign w:val="center"/>
          </w:tcPr>
          <w:p>
            <w:pPr>
              <w:pStyle w:val="TableContents"/>
              <w:bidi w:val="0"/>
              <w:spacing w:before="0" w:after="283"/>
              <w:jc w:val="right"/>
              <w:rPr/>
            </w:pPr>
            <w:r>
              <w:rPr/>
              <w:t>(1,481,757</w:t>
            </w:r>
          </w:p>
        </w:tc>
        <w:tc>
          <w:tcPr>
            <w:tcW w:w="170" w:type="dxa"/>
            <w:tcBorders/>
            <w:shd w:fill="CCEEFF" w:val="clear"/>
            <w:vAlign w:val="center"/>
          </w:tcPr>
          <w:p>
            <w:pPr>
              <w:pStyle w:val="TableContents"/>
              <w:bidi w:val="0"/>
              <w:spacing w:before="0" w:after="283"/>
              <w:jc w:val="left"/>
              <w:rPr/>
            </w:pPr>
            <w:r>
              <w:rPr/>
              <w:t>)</w:t>
            </w:r>
          </w:p>
        </w:tc>
      </w:tr>
      <w:tr>
        <w:trPr/>
        <w:tc>
          <w:tcPr>
            <w:tcW w:w="665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b/>
              </w:rPr>
            </w:pPr>
            <w:r>
              <w:rPr>
                <w:b/>
              </w:rPr>
              <w:t>TOTAL LIABILITIES AND SHAREHOLDERS’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70" w:type="dxa"/>
            <w:tcBorders>
              <w:bottom w:val="double" w:sz="10" w:space="0" w:color="000000"/>
            </w:tcBorders>
            <w:shd w:fill="CCEEFF" w:val="clear"/>
            <w:tcMar>
              <w:bottom w:w="28" w:type="dxa"/>
            </w:tcMar>
            <w:vAlign w:val="center"/>
          </w:tcPr>
          <w:p>
            <w:pPr>
              <w:pStyle w:val="TableContents"/>
              <w:bidi w:val="0"/>
              <w:spacing w:before="0" w:after="283"/>
              <w:jc w:val="right"/>
              <w:rPr/>
            </w:pPr>
            <w:r>
              <w:rPr/>
              <w:t>32,722,769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70" w:type="dxa"/>
            <w:tcBorders>
              <w:bottom w:val="double" w:sz="10" w:space="0" w:color="000000"/>
            </w:tcBorders>
            <w:shd w:fill="CCEEFF" w:val="clear"/>
            <w:tcMar>
              <w:bottom w:w="28" w:type="dxa"/>
            </w:tcMar>
            <w:vAlign w:val="center"/>
          </w:tcPr>
          <w:p>
            <w:pPr>
              <w:pStyle w:val="TableContents"/>
              <w:bidi w:val="0"/>
              <w:spacing w:before="0" w:after="283"/>
              <w:jc w:val="right"/>
              <w:rPr/>
            </w:pPr>
            <w:r>
              <w:rPr/>
              <w:t>3,577,744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w:t>
            </w:r>
          </w:p>
        </w:tc>
        <w:tc>
          <w:tcPr>
            <w:tcW w:w="10035" w:type="dxa"/>
            <w:tcBorders/>
            <w:vAlign w:val="center"/>
          </w:tcPr>
          <w:p>
            <w:pPr>
              <w:pStyle w:val="TableContents"/>
              <w:bidi w:val="0"/>
              <w:spacing w:before="0" w:after="283"/>
              <w:jc w:val="both"/>
              <w:rPr>
                <w:sz w:val="20"/>
              </w:rPr>
            </w:pPr>
            <w:r>
              <w:rPr>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and in March 2026 of 1 share for every 4 shares issued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f_003"/>
      <w:bookmarkEnd w:id="26"/>
      <w:r>
        <w:rPr>
          <w:rFonts w:ascii="Times New Roman;Times;Serif" w:hAnsi="Times New Roman;Times;Serif"/>
          <w:b/>
          <w:i w:val="false"/>
          <w:caps w:val="false"/>
          <w:smallCaps w:val="false"/>
          <w:sz w:val="20"/>
        </w:rPr>
        <w:t>NEWGENIVF GROUP LIMITED</w:t>
        <w:br/>
        <w:t>AUDITED CONSOLIDATED STATEMENTS OF OPERATIONS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(LOSS)</w:t>
        <w:br/>
        <w:t>FOR THE YEARS ENDED DECEMBER 31, 2025, 2024 AND 2023</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10"/>
        <w:gridCol w:w="90"/>
        <w:gridCol w:w="90"/>
        <w:gridCol w:w="1205"/>
        <w:gridCol w:w="125"/>
        <w:gridCol w:w="90"/>
        <w:gridCol w:w="170"/>
        <w:gridCol w:w="1085"/>
        <w:gridCol w:w="125"/>
        <w:gridCol w:w="90"/>
        <w:gridCol w:w="170"/>
        <w:gridCol w:w="1085"/>
        <w:gridCol w:w="170"/>
      </w:tblGrid>
      <w:tr>
        <w:trPr/>
        <w:tc>
          <w:tcPr>
            <w:tcW w:w="5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5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b/>
              </w:rPr>
            </w:pPr>
            <w:r>
              <w:rPr>
                <w:b/>
              </w:rPr>
              <w:t>Revenues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4,726,433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5,433,375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5,136,153</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Cost of revenues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(3,770,587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(3,606,481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(3,454,368</w:t>
            </w:r>
          </w:p>
        </w:tc>
        <w:tc>
          <w:tcPr>
            <w:tcW w:w="170" w:type="dxa"/>
            <w:tcBorders/>
            <w:shd w:fill="FFFFFF" w:val="clear"/>
            <w:vAlign w:val="center"/>
          </w:tcPr>
          <w:p>
            <w:pPr>
              <w:pStyle w:val="TableContents"/>
              <w:bidi w:val="0"/>
              <w:spacing w:before="0" w:after="283"/>
              <w:jc w:val="left"/>
              <w:rPr/>
            </w:pPr>
            <w:r>
              <w:rPr/>
              <w:t>)</w:t>
            </w:r>
          </w:p>
        </w:tc>
      </w:tr>
      <w:tr>
        <w:trPr/>
        <w:tc>
          <w:tcPr>
            <w:tcW w:w="5710" w:type="dxa"/>
            <w:tcBorders/>
            <w:shd w:fill="CCEEFF" w:val="clear"/>
            <w:vAlign w:val="center"/>
          </w:tcPr>
          <w:p>
            <w:pPr>
              <w:pStyle w:val="TableContents"/>
              <w:bidi w:val="0"/>
              <w:spacing w:before="0" w:after="283"/>
              <w:jc w:val="left"/>
              <w:rPr>
                <w:b/>
              </w:rPr>
            </w:pPr>
            <w:r>
              <w:rPr>
                <w:b/>
              </w:rPr>
              <w:t>Gross profit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955,846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1,826,894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1,681,785</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b/>
              </w:rPr>
            </w:pPr>
            <w:r>
              <w:rPr>
                <w:b/>
              </w:rPr>
              <w:t>Operating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Selling and marketing expenses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(1,188,711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(206,314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(18,030</w:t>
            </w:r>
          </w:p>
        </w:tc>
        <w:tc>
          <w:tcPr>
            <w:tcW w:w="170" w:type="dxa"/>
            <w:tcBorders/>
            <w:shd w:fill="FFFFFF" w:val="clear"/>
            <w:vAlign w:val="center"/>
          </w:tcPr>
          <w:p>
            <w:pPr>
              <w:pStyle w:val="TableContents"/>
              <w:bidi w:val="0"/>
              <w:spacing w:before="0" w:after="283"/>
              <w:jc w:val="left"/>
              <w:rPr/>
            </w:pPr>
            <w:r>
              <w:rPr/>
              <w:t>)</w:t>
            </w:r>
          </w:p>
        </w:tc>
      </w:tr>
      <w:tr>
        <w:trPr/>
        <w:tc>
          <w:tcPr>
            <w:tcW w:w="5710"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(10,493,596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(2,781,075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(1,621,513</w:t>
            </w:r>
          </w:p>
        </w:tc>
        <w:tc>
          <w:tcPr>
            <w:tcW w:w="170" w:type="dxa"/>
            <w:tcBorders/>
            <w:shd w:fill="CCEEFF" w:val="clear"/>
            <w:vAlign w:val="center"/>
          </w:tcPr>
          <w:p>
            <w:pPr>
              <w:pStyle w:val="TableContents"/>
              <w:bidi w:val="0"/>
              <w:spacing w:before="0" w:after="283"/>
              <w:jc w:val="left"/>
              <w:rPr/>
            </w:pPr>
            <w:r>
              <w:rPr/>
              <w:t>)</w:t>
            </w:r>
          </w:p>
        </w:tc>
      </w:tr>
      <w:tr>
        <w:trPr/>
        <w:tc>
          <w:tcPr>
            <w:tcW w:w="57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b/>
              </w:rPr>
            </w:pPr>
            <w:r>
              <w:rPr>
                <w:b/>
              </w:rPr>
              <w:t>Total operating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(11,682,307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(2,987,389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(1,639,543</w:t>
            </w:r>
          </w:p>
        </w:tc>
        <w:tc>
          <w:tcPr>
            <w:tcW w:w="170" w:type="dxa"/>
            <w:tcBorders/>
            <w:shd w:fill="CCEEFF" w:val="clear"/>
            <w:vAlign w:val="center"/>
          </w:tcPr>
          <w:p>
            <w:pPr>
              <w:pStyle w:val="TableContents"/>
              <w:bidi w:val="0"/>
              <w:spacing w:before="0" w:after="283"/>
              <w:jc w:val="left"/>
              <w:rPr/>
            </w:pPr>
            <w:r>
              <w:rPr/>
              <w:t>)</w:t>
            </w:r>
          </w:p>
        </w:tc>
      </w:tr>
      <w:tr>
        <w:trPr/>
        <w:tc>
          <w:tcPr>
            <w:tcW w:w="57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b/>
              </w:rPr>
            </w:pPr>
            <w:r>
              <w:rPr>
                <w:b/>
              </w:rPr>
              <w:t>Operating (loss)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(10,726,461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(1,160,495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42,242</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b/>
              </w:rPr>
            </w:pPr>
            <w:r>
              <w:rPr>
                <w:b/>
              </w:rPr>
              <w:t>Other income (expenses),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Other income, net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(8,099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971,391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111,837</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Bargain purchase gain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21,653,835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Loss on digital assets, net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(332,480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Loss on financial assets,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(700,631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Gain on embedded derivative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456,731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2,251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6,953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518</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Interest expense</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(616,423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(778,656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(46,179</w:t>
            </w:r>
          </w:p>
        </w:tc>
        <w:tc>
          <w:tcPr>
            <w:tcW w:w="170" w:type="dxa"/>
            <w:tcBorders/>
            <w:shd w:fill="FFFFFF" w:val="clear"/>
            <w:vAlign w:val="center"/>
          </w:tcPr>
          <w:p>
            <w:pPr>
              <w:pStyle w:val="TableContents"/>
              <w:bidi w:val="0"/>
              <w:spacing w:before="0" w:after="283"/>
              <w:jc w:val="left"/>
              <w:rPr/>
            </w:pPr>
            <w:r>
              <w:rPr/>
              <w:t>)</w:t>
            </w:r>
          </w:p>
        </w:tc>
      </w:tr>
      <w:tr>
        <w:trPr/>
        <w:tc>
          <w:tcPr>
            <w:tcW w:w="5710" w:type="dxa"/>
            <w:tcBorders/>
            <w:shd w:fill="CCEEFF" w:val="clear"/>
            <w:vAlign w:val="center"/>
          </w:tcPr>
          <w:p>
            <w:pPr>
              <w:pStyle w:val="TableContents"/>
              <w:bidi w:val="0"/>
              <w:spacing w:before="0" w:after="283"/>
              <w:jc w:val="left"/>
              <w:rPr>
                <w:b/>
              </w:rPr>
            </w:pPr>
            <w:r>
              <w:rPr>
                <w:b/>
              </w:rPr>
              <w:t>Total other income (expenses), net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20,455,184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199,688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66,176</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b/>
              </w:rPr>
            </w:pPr>
            <w:r>
              <w:rPr>
                <w:b/>
              </w:rPr>
              <w:t>Income (Loss) before taxes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9,728,723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(960,807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108,418</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Tax income (expense)</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486,706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b/>
              </w:rPr>
            </w:pPr>
            <w:r>
              <w:rPr>
                <w:b/>
              </w:rPr>
              <w:t>Net income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9,728,723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(474,101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108,418</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Less: net (loss) income attributable to non-controlling interests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(150,685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50,542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(21,775</w:t>
            </w:r>
          </w:p>
        </w:tc>
        <w:tc>
          <w:tcPr>
            <w:tcW w:w="170" w:type="dxa"/>
            <w:tcBorders/>
            <w:shd w:fill="FFFFFF" w:val="clear"/>
            <w:vAlign w:val="center"/>
          </w:tcPr>
          <w:p>
            <w:pPr>
              <w:pStyle w:val="TableContents"/>
              <w:bidi w:val="0"/>
              <w:spacing w:before="0" w:after="283"/>
              <w:jc w:val="left"/>
              <w:rPr/>
            </w:pPr>
            <w:r>
              <w:rPr/>
              <w:t>)</w:t>
            </w:r>
          </w:p>
        </w:tc>
      </w:tr>
      <w:tr>
        <w:trPr/>
        <w:tc>
          <w:tcPr>
            <w:tcW w:w="5710" w:type="dxa"/>
            <w:tcBorders/>
            <w:shd w:fill="CCEEFF" w:val="clear"/>
            <w:vAlign w:val="center"/>
          </w:tcPr>
          <w:p>
            <w:pPr>
              <w:pStyle w:val="TableContents"/>
              <w:bidi w:val="0"/>
              <w:spacing w:before="0" w:after="283"/>
              <w:jc w:val="left"/>
              <w:rPr>
                <w:b/>
              </w:rPr>
            </w:pPr>
            <w:r>
              <w:rPr>
                <w:b/>
              </w:rPr>
              <w:t>Net income (loss) attributable to the shareholders of the Company</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9,879,408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(524,643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130,193</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b/>
              </w:rPr>
            </w:pPr>
            <w:r>
              <w:rPr>
                <w:b/>
              </w:rPr>
              <w:t>Other comprehensive (loss)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Foreign currency translation adjustment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(222,944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32,529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(22,704</w:t>
            </w:r>
          </w:p>
        </w:tc>
        <w:tc>
          <w:tcPr>
            <w:tcW w:w="170" w:type="dxa"/>
            <w:tcBorders/>
            <w:shd w:fill="FFFFFF" w:val="clear"/>
            <w:vAlign w:val="center"/>
          </w:tcPr>
          <w:p>
            <w:pPr>
              <w:pStyle w:val="TableContents"/>
              <w:bidi w:val="0"/>
              <w:spacing w:before="0" w:after="283"/>
              <w:jc w:val="left"/>
              <w:rPr/>
            </w:pPr>
            <w:r>
              <w:rPr/>
              <w:t>)</w:t>
            </w:r>
          </w:p>
        </w:tc>
      </w:tr>
      <w:tr>
        <w:trPr/>
        <w:tc>
          <w:tcPr>
            <w:tcW w:w="5710" w:type="dxa"/>
            <w:tcBorders/>
            <w:shd w:fill="CCEEFF" w:val="clear"/>
            <w:vAlign w:val="center"/>
          </w:tcPr>
          <w:p>
            <w:pPr>
              <w:pStyle w:val="TableContents"/>
              <w:bidi w:val="0"/>
              <w:spacing w:before="0" w:after="283"/>
              <w:jc w:val="left"/>
              <w:rPr/>
            </w:pPr>
            <w:r>
              <w:rPr/>
              <w:t>Total comprehensive (loss)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9,505,779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(441,572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85,714</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Less: total comprehensive (loss) income attributable to non-controlling interests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(211,683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56,908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(27,621</w:t>
            </w:r>
          </w:p>
        </w:tc>
        <w:tc>
          <w:tcPr>
            <w:tcW w:w="170" w:type="dxa"/>
            <w:tcBorders/>
            <w:shd w:fill="FFFFFF" w:val="clear"/>
            <w:vAlign w:val="center"/>
          </w:tcPr>
          <w:p>
            <w:pPr>
              <w:pStyle w:val="TableContents"/>
              <w:bidi w:val="0"/>
              <w:spacing w:before="0" w:after="283"/>
              <w:jc w:val="left"/>
              <w:rPr/>
            </w:pPr>
            <w:r>
              <w:rPr/>
              <w:t>)</w:t>
            </w:r>
          </w:p>
        </w:tc>
      </w:tr>
      <w:tr>
        <w:trPr/>
        <w:tc>
          <w:tcPr>
            <w:tcW w:w="5710" w:type="dxa"/>
            <w:tcBorders/>
            <w:shd w:fill="CCEEFF" w:val="clear"/>
            <w:vAlign w:val="center"/>
          </w:tcPr>
          <w:p>
            <w:pPr>
              <w:pStyle w:val="TableContents"/>
              <w:bidi w:val="0"/>
              <w:spacing w:before="0" w:after="283"/>
              <w:jc w:val="left"/>
              <w:rPr>
                <w:b/>
              </w:rPr>
            </w:pPr>
            <w:r>
              <w:rPr>
                <w:b/>
              </w:rPr>
              <w:t>Total comprehensive income (loss) attributable to the shareholders of the Company</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9,717,462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(498,480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113,335</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Earnings per share – basic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214.73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(4,408.76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13,019.30</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 xml:space="preserve">– </w:t>
            </w:r>
            <w:r>
              <w:rPr/>
              <w:t>diluted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3.04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(4,408.76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13,019.30</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Weighted average shares outstanding *- basic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46,009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 diluted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3,250,020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119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10</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w:t>
            </w:r>
          </w:p>
        </w:tc>
        <w:tc>
          <w:tcPr>
            <w:tcW w:w="10035" w:type="dxa"/>
            <w:tcBorders/>
            <w:vAlign w:val="center"/>
          </w:tcPr>
          <w:p>
            <w:pPr>
              <w:pStyle w:val="TableContents"/>
              <w:bidi w:val="0"/>
              <w:spacing w:before="0" w:after="283"/>
              <w:jc w:val="both"/>
              <w:rPr>
                <w:sz w:val="20"/>
              </w:rPr>
            </w:pPr>
            <w:r>
              <w:rPr>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and in March 2026 of 1 share for every 4 shares issued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f_004"/>
      <w:bookmarkEnd w:id="27"/>
      <w:r>
        <w:rPr>
          <w:rFonts w:ascii="Times New Roman;Times;Serif" w:hAnsi="Times New Roman;Times;Serif"/>
          <w:b/>
          <w:i w:val="false"/>
          <w:caps w:val="false"/>
          <w:smallCaps w:val="false"/>
          <w:sz w:val="20"/>
        </w:rPr>
        <w:t>NEWGENIVF GROUP LIMITED</w:t>
        <w:br/>
        <w:t>AUDITED CONSOLIDATED STATEMENTS OF CHANGES IN SHAREHOLDERS’ EQUITY</w:t>
        <w:br/>
        <w:t>FOR THE YEARS ENDED DECEMBER 31, 2025, 2024 AND 2023</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2180" w:type="dxa"/>
        <w:jc w:val="left"/>
        <w:tblInd w:w="0" w:type="dxa"/>
        <w:tblLayout w:type="fixed"/>
        <w:tblCellMar>
          <w:top w:w="0" w:type="dxa"/>
          <w:left w:w="0" w:type="dxa"/>
          <w:bottom w:w="0" w:type="dxa"/>
          <w:right w:w="0" w:type="dxa"/>
        </w:tblCellMar>
      </w:tblPr>
      <w:tblGrid>
        <w:gridCol w:w="1925"/>
        <w:gridCol w:w="90"/>
        <w:gridCol w:w="90"/>
        <w:gridCol w:w="635"/>
        <w:gridCol w:w="90"/>
        <w:gridCol w:w="90"/>
        <w:gridCol w:w="140"/>
        <w:gridCol w:w="650"/>
        <w:gridCol w:w="90"/>
        <w:gridCol w:w="90"/>
        <w:gridCol w:w="159"/>
        <w:gridCol w:w="791"/>
        <w:gridCol w:w="110"/>
        <w:gridCol w:w="90"/>
        <w:gridCol w:w="140"/>
        <w:gridCol w:w="860"/>
        <w:gridCol w:w="110"/>
        <w:gridCol w:w="90"/>
        <w:gridCol w:w="162"/>
        <w:gridCol w:w="893"/>
        <w:gridCol w:w="110"/>
        <w:gridCol w:w="90"/>
        <w:gridCol w:w="186"/>
        <w:gridCol w:w="929"/>
        <w:gridCol w:w="110"/>
        <w:gridCol w:w="90"/>
        <w:gridCol w:w="140"/>
        <w:gridCol w:w="860"/>
        <w:gridCol w:w="110"/>
        <w:gridCol w:w="90"/>
        <w:gridCol w:w="140"/>
        <w:gridCol w:w="695"/>
        <w:gridCol w:w="110"/>
        <w:gridCol w:w="90"/>
        <w:gridCol w:w="140"/>
        <w:gridCol w:w="860"/>
        <w:gridCol w:w="135"/>
      </w:tblGrid>
      <w:tr>
        <w:trPr/>
        <w:tc>
          <w:tcPr>
            <w:tcW w:w="19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Ordinary </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Subscription </w:t>
              <w:br/>
              <w:t>receivable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Additional </w:t>
              <w:br/>
              <w:t xml:space="preserve">paid-in </w:t>
              <w:br/>
              <w:t>capital</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Retained </w:t>
              <w:br/>
              <w:t xml:space="preserve">earnings </w:t>
              <w:br/>
              <w:t xml:space="preserve">(Accumulated </w:t>
              <w:b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Accumulated </w:t>
              <w:br/>
              <w:t xml:space="preserve">other </w:t>
              <w:br/>
              <w:t xml:space="preserve">comprehensive </w:t>
              <w:br/>
              <w:t>income/(loss)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Total </w:t>
              <w:br/>
              <w:t xml:space="preserve">attributable </w:t>
              <w:br/>
              <w:t xml:space="preserve">to the </w:t>
              <w:br/>
              <w:t xml:space="preserve">shareholders </w:t>
              <w:br/>
              <w:t xml:space="preserve">of the </w:t>
              <w:br/>
              <w:t>Company</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Non- controlling </w:t>
              <w:br/>
              <w:t>interests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135" w:type="dxa"/>
            <w:tcBorders/>
            <w:vAlign w:val="center"/>
          </w:tcPr>
          <w:p>
            <w:pPr>
              <w:pStyle w:val="TableContents"/>
              <w:bidi w:val="0"/>
              <w:spacing w:before="0" w:after="283"/>
              <w:ind w:left="0" w:right="0" w:hanging="180"/>
              <w:jc w:val="left"/>
              <w:rPr/>
            </w:pPr>
            <w:r>
              <w:rPr/>
              <w:t> </w:t>
            </w:r>
          </w:p>
        </w:tc>
      </w:tr>
      <w:tr>
        <w:trPr/>
        <w:tc>
          <w:tcPr>
            <w:tcW w:w="1925" w:type="dxa"/>
            <w:tcBorders/>
            <w:shd w:fill="CCEEFF" w:val="clear"/>
            <w:vAlign w:val="center"/>
          </w:tcPr>
          <w:p>
            <w:pPr>
              <w:pStyle w:val="TableContents"/>
              <w:bidi w:val="0"/>
              <w:spacing w:before="0" w:after="283"/>
              <w:jc w:val="left"/>
              <w:rPr>
                <w:b/>
                <w:sz w:val="16"/>
              </w:rPr>
            </w:pPr>
            <w:r>
              <w:rPr>
                <w:b/>
                <w:sz w:val="16"/>
              </w:rPr>
              <w:t>Balance, January 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sz w:val="16"/>
              </w:rPr>
            </w:pPr>
            <w:r>
              <w:rPr>
                <w:b/>
                <w:sz w:val="16"/>
              </w:rPr>
              <w:t>167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sz w:val="16"/>
              </w:rPr>
            </w:pPr>
            <w:r>
              <w:rPr>
                <w:b/>
                <w:sz w:val="16"/>
              </w:rPr>
              <w:t>$</w:t>
            </w:r>
          </w:p>
        </w:tc>
        <w:tc>
          <w:tcPr>
            <w:tcW w:w="6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b/>
                <w:sz w:val="16"/>
              </w:rPr>
            </w:pPr>
            <w:r>
              <w:rPr>
                <w:b/>
                <w:sz w:val="16"/>
              </w:rPr>
              <w:t>(319,872</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sz w:val="16"/>
              </w:rPr>
            </w:pPr>
            <w:r>
              <w:rPr>
                <w:b/>
                <w:sz w:val="16"/>
              </w:rPr>
              <w:t>$</w:t>
            </w:r>
          </w:p>
        </w:tc>
        <w:tc>
          <w:tcPr>
            <w:tcW w:w="860" w:type="dxa"/>
            <w:tcBorders/>
            <w:shd w:fill="CCEEFF" w:val="clear"/>
            <w:vAlign w:val="center"/>
          </w:tcPr>
          <w:p>
            <w:pPr>
              <w:pStyle w:val="TableContents"/>
              <w:bidi w:val="0"/>
              <w:spacing w:before="0" w:after="283"/>
              <w:jc w:val="right"/>
              <w:rPr>
                <w:b/>
                <w:sz w:val="16"/>
              </w:rPr>
            </w:pPr>
            <w:r>
              <w:rPr>
                <w:b/>
                <w:sz w:val="16"/>
              </w:rPr>
              <w:t>1,464,959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b/>
                <w:sz w:val="16"/>
              </w:rPr>
            </w:pPr>
            <w:r>
              <w:rPr>
                <w:b/>
                <w:sz w:val="16"/>
              </w:rPr>
              <w:t>$</w:t>
            </w:r>
          </w:p>
        </w:tc>
        <w:tc>
          <w:tcPr>
            <w:tcW w:w="893" w:type="dxa"/>
            <w:tcBorders/>
            <w:shd w:fill="CCEEFF" w:val="clear"/>
            <w:vAlign w:val="center"/>
          </w:tcPr>
          <w:p>
            <w:pPr>
              <w:pStyle w:val="TableContents"/>
              <w:bidi w:val="0"/>
              <w:spacing w:before="0" w:after="283"/>
              <w:jc w:val="right"/>
              <w:rPr>
                <w:b/>
                <w:sz w:val="16"/>
              </w:rPr>
            </w:pPr>
            <w:r>
              <w:rPr>
                <w:b/>
                <w:sz w:val="16"/>
              </w:rPr>
              <w:t>(591,544</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b/>
                <w:sz w:val="16"/>
              </w:rPr>
            </w:pPr>
            <w:r>
              <w:rPr>
                <w:b/>
                <w:sz w:val="16"/>
              </w:rPr>
              <w:t>9,570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b/>
                <w:sz w:val="16"/>
              </w:rPr>
            </w:pPr>
            <w:r>
              <w:rPr>
                <w:b/>
                <w:sz w:val="16"/>
              </w:rPr>
              <w:t>563,113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sz w:val="16"/>
              </w:rPr>
            </w:pPr>
            <w:r>
              <w:rPr>
                <w:b/>
                <w:sz w:val="16"/>
              </w:rPr>
              <w:t>$</w:t>
            </w:r>
          </w:p>
        </w:tc>
        <w:tc>
          <w:tcPr>
            <w:tcW w:w="695" w:type="dxa"/>
            <w:tcBorders/>
            <w:shd w:fill="CCEEFF" w:val="clear"/>
            <w:vAlign w:val="center"/>
          </w:tcPr>
          <w:p>
            <w:pPr>
              <w:pStyle w:val="TableContents"/>
              <w:bidi w:val="0"/>
              <w:spacing w:before="0" w:after="283"/>
              <w:jc w:val="right"/>
              <w:rPr>
                <w:b/>
                <w:sz w:val="16"/>
              </w:rPr>
            </w:pPr>
            <w:r>
              <w:rPr>
                <w:b/>
                <w:sz w:val="16"/>
              </w:rPr>
              <w:t>(462,430</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sz w:val="16"/>
              </w:rPr>
            </w:pPr>
            <w:r>
              <w:rPr>
                <w:b/>
                <w:sz w:val="16"/>
              </w:rPr>
              <w:t>$</w:t>
            </w:r>
          </w:p>
        </w:tc>
        <w:tc>
          <w:tcPr>
            <w:tcW w:w="860" w:type="dxa"/>
            <w:tcBorders/>
            <w:shd w:fill="CCEEFF" w:val="clear"/>
            <w:vAlign w:val="center"/>
          </w:tcPr>
          <w:p>
            <w:pPr>
              <w:pStyle w:val="TableContents"/>
              <w:bidi w:val="0"/>
              <w:spacing w:before="0" w:after="283"/>
              <w:jc w:val="right"/>
              <w:rPr>
                <w:b/>
                <w:sz w:val="16"/>
              </w:rPr>
            </w:pPr>
            <w:r>
              <w:rPr>
                <w:b/>
                <w:sz w:val="16"/>
              </w:rPr>
              <w:t>100,683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925" w:type="dxa"/>
            <w:tcBorders/>
            <w:shd w:fill="FFFFFF" w:val="clear"/>
            <w:vAlign w:val="center"/>
          </w:tcPr>
          <w:p>
            <w:pPr>
              <w:pStyle w:val="TableContents"/>
              <w:bidi w:val="0"/>
              <w:spacing w:before="0" w:after="283"/>
              <w:jc w:val="left"/>
              <w:rPr>
                <w:sz w:val="16"/>
              </w:rPr>
            </w:pPr>
            <w:r>
              <w:rPr>
                <w:sz w:val="16"/>
              </w:rPr>
              <w:t>Net loss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sz w:val="16"/>
              </w:rPr>
            </w:pPr>
            <w:r>
              <w:rPr>
                <w:sz w:val="16"/>
              </w:rPr>
              <w:t>130,193</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0"/>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130,193</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16"/>
              </w:rPr>
            </w:pPr>
            <w:r>
              <w:rPr>
                <w:sz w:val="16"/>
              </w:rPr>
              <w:t>(21,775</w:t>
            </w:r>
          </w:p>
        </w:tc>
        <w:tc>
          <w:tcPr>
            <w:tcW w:w="110" w:type="dxa"/>
            <w:tcBorders/>
            <w:shd w:fill="FFFFFF" w:val="clear"/>
            <w:vAlign w:val="center"/>
          </w:tcPr>
          <w:p>
            <w:pPr>
              <w:pStyle w:val="TableContents"/>
              <w:bidi w:val="0"/>
              <w:spacing w:before="0" w:after="283"/>
              <w:jc w:val="left"/>
              <w:rPr>
                <w:sz w:val="16"/>
              </w:rPr>
            </w:pPr>
            <w:r>
              <w:rPr>
                <w:sz w:val="16"/>
              </w:rPr>
              <w:t>)</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108,418</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925" w:type="dxa"/>
            <w:tcBorders/>
            <w:shd w:fill="CCEEFF" w:val="clear"/>
            <w:vAlign w:val="center"/>
          </w:tcPr>
          <w:p>
            <w:pPr>
              <w:pStyle w:val="TableContents"/>
              <w:bidi w:val="0"/>
              <w:spacing w:before="0" w:after="283"/>
              <w:jc w:val="left"/>
              <w:rPr>
                <w:sz w:val="16"/>
              </w:rPr>
            </w:pPr>
            <w:r>
              <w:rPr>
                <w:sz w:val="16"/>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sz w:val="16"/>
              </w:rPr>
            </w:pPr>
            <w:r>
              <w:rPr>
                <w:sz w:val="16"/>
              </w:rPr>
              <w:t>(16,858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(16,858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6"/>
              </w:rPr>
            </w:pPr>
            <w:r>
              <w:rPr>
                <w:sz w:val="16"/>
              </w:rPr>
              <w:t>(5,846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(22,704</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925" w:type="dxa"/>
            <w:tcBorders/>
            <w:shd w:fill="FFFFFF" w:val="clear"/>
            <w:vAlign w:val="center"/>
          </w:tcPr>
          <w:p>
            <w:pPr>
              <w:pStyle w:val="TableContents"/>
              <w:bidi w:val="0"/>
              <w:spacing w:before="0" w:after="283"/>
              <w:jc w:val="left"/>
              <w:rPr>
                <w:sz w:val="16"/>
              </w:rPr>
            </w:pPr>
            <w:r>
              <w:rPr>
                <w:sz w:val="16"/>
              </w:rPr>
              <w:t>Settlement of Subscription receivable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sz w:val="16"/>
              </w:rPr>
            </w:pPr>
            <w:r>
              <w:rPr>
                <w:sz w:val="16"/>
              </w:rPr>
              <w:t>192,308</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192,308</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192,308</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925" w:type="dxa"/>
            <w:tcBorders/>
            <w:shd w:fill="CCEEFF" w:val="clear"/>
            <w:vAlign w:val="center"/>
          </w:tcPr>
          <w:p>
            <w:pPr>
              <w:pStyle w:val="TableContents"/>
              <w:bidi w:val="0"/>
              <w:spacing w:before="0" w:after="283"/>
              <w:jc w:val="left"/>
              <w:rPr>
                <w:sz w:val="16"/>
              </w:rPr>
            </w:pPr>
            <w:r>
              <w:rPr>
                <w:sz w:val="16"/>
              </w:rPr>
              <w:t>Issuance of shares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925" w:type="dxa"/>
            <w:tcBorders/>
            <w:shd w:fill="FFFFFF" w:val="clear"/>
            <w:vAlign w:val="center"/>
          </w:tcPr>
          <w:p>
            <w:pPr>
              <w:pStyle w:val="TableContents"/>
              <w:bidi w:val="0"/>
              <w:spacing w:before="0" w:after="283"/>
              <w:jc w:val="left"/>
              <w:rPr>
                <w:b/>
                <w:sz w:val="16"/>
              </w:rPr>
            </w:pPr>
            <w:r>
              <w:rPr>
                <w:b/>
                <w:sz w:val="16"/>
              </w:rPr>
              <w:t>Balance, December 31, 2023</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169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791"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(127,564</w:t>
            </w:r>
          </w:p>
        </w:tc>
        <w:tc>
          <w:tcPr>
            <w:tcW w:w="110" w:type="dxa"/>
            <w:tcBorders/>
            <w:shd w:fill="FFFFFF" w:val="clear"/>
            <w:vAlign w:val="center"/>
          </w:tcPr>
          <w:p>
            <w:pPr>
              <w:pStyle w:val="TableContents"/>
              <w:bidi w:val="0"/>
              <w:spacing w:before="0" w:after="283"/>
              <w:jc w:val="left"/>
              <w:rPr>
                <w:b/>
                <w:sz w:val="16"/>
              </w:rPr>
            </w:pPr>
            <w:r>
              <w:rPr>
                <w:b/>
                <w:sz w:val="16"/>
              </w:rPr>
              <w:t>)</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6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4,331,815</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93"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(461,351</w:t>
            </w:r>
          </w:p>
        </w:tc>
        <w:tc>
          <w:tcPr>
            <w:tcW w:w="110" w:type="dxa"/>
            <w:tcBorders/>
            <w:shd w:fill="FFFFFF" w:val="clear"/>
            <w:vAlign w:val="center"/>
          </w:tcPr>
          <w:p>
            <w:pPr>
              <w:pStyle w:val="TableContents"/>
              <w:bidi w:val="0"/>
              <w:spacing w:before="0" w:after="283"/>
              <w:jc w:val="left"/>
              <w:rPr>
                <w:b/>
                <w:sz w:val="16"/>
              </w:rPr>
            </w:pPr>
            <w:r>
              <w:rPr>
                <w:b/>
                <w:sz w:val="16"/>
              </w:rPr>
              <w:t>)</w:t>
            </w:r>
          </w:p>
        </w:tc>
        <w:tc>
          <w:tcPr>
            <w:tcW w:w="90"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929"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(7,288</w:t>
            </w:r>
          </w:p>
        </w:tc>
        <w:tc>
          <w:tcPr>
            <w:tcW w:w="110" w:type="dxa"/>
            <w:tcBorders/>
            <w:shd w:fill="FFFFFF" w:val="clear"/>
            <w:vAlign w:val="center"/>
          </w:tcPr>
          <w:p>
            <w:pPr>
              <w:pStyle w:val="TableContents"/>
              <w:bidi w:val="0"/>
              <w:spacing w:before="0" w:after="283"/>
              <w:jc w:val="left"/>
              <w:rPr>
                <w:b/>
                <w:sz w:val="16"/>
              </w:rPr>
            </w:pPr>
            <w:r>
              <w:rPr>
                <w:b/>
                <w:sz w:val="16"/>
              </w:rPr>
              <w:t>)</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6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3,735,612</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(490,051</w:t>
            </w:r>
          </w:p>
        </w:tc>
        <w:tc>
          <w:tcPr>
            <w:tcW w:w="110" w:type="dxa"/>
            <w:tcBorders/>
            <w:shd w:fill="FFFFFF" w:val="clear"/>
            <w:vAlign w:val="center"/>
          </w:tcPr>
          <w:p>
            <w:pPr>
              <w:pStyle w:val="TableContents"/>
              <w:bidi w:val="0"/>
              <w:spacing w:before="0" w:after="283"/>
              <w:jc w:val="left"/>
              <w:rPr>
                <w:b/>
                <w:sz w:val="16"/>
              </w:rPr>
            </w:pPr>
            <w:r>
              <w:rPr>
                <w:b/>
                <w:sz w:val="16"/>
              </w:rPr>
              <w:t>)</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6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3,245,561</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925" w:type="dxa"/>
            <w:tcBorders/>
            <w:shd w:fill="CCEEFF" w:val="clear"/>
            <w:vAlign w:val="center"/>
          </w:tcPr>
          <w:p>
            <w:pPr>
              <w:pStyle w:val="TableContents"/>
              <w:bidi w:val="0"/>
              <w:spacing w:before="0" w:after="283"/>
              <w:jc w:val="left"/>
              <w:rPr>
                <w:sz w:val="16"/>
              </w:rPr>
            </w:pPr>
            <w:r>
              <w:rPr>
                <w:sz w:val="16"/>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sz w:val="16"/>
              </w:rPr>
            </w:pPr>
            <w:r>
              <w:rPr>
                <w:sz w:val="16"/>
              </w:rPr>
              <w:t>(524,643</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(524,643</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6"/>
              </w:rPr>
            </w:pPr>
            <w:r>
              <w:rPr>
                <w:sz w:val="16"/>
              </w:rPr>
              <w:t>50,542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(474,101</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925" w:type="dxa"/>
            <w:tcBorders/>
            <w:shd w:fill="FFFFFF" w:val="clear"/>
            <w:vAlign w:val="center"/>
          </w:tcPr>
          <w:p>
            <w:pPr>
              <w:pStyle w:val="TableContents"/>
              <w:bidi w:val="0"/>
              <w:spacing w:before="0" w:after="283"/>
              <w:jc w:val="left"/>
              <w:rPr>
                <w:sz w:val="16"/>
              </w:rPr>
            </w:pPr>
            <w:r>
              <w:rPr>
                <w:sz w:val="16"/>
              </w:rPr>
              <w:t>Foreign currency translation adjustment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sz w:val="16"/>
              </w:rPr>
            </w:pPr>
            <w:r>
              <w:rPr>
                <w:sz w:val="16"/>
              </w:rPr>
              <w:t>26,163</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26,163</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16"/>
              </w:rPr>
            </w:pPr>
            <w:r>
              <w:rPr>
                <w:sz w:val="16"/>
              </w:rPr>
              <w:t>6,366</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32,529</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925" w:type="dxa"/>
            <w:tcBorders/>
            <w:shd w:fill="CCEEFF" w:val="clear"/>
            <w:vAlign w:val="center"/>
          </w:tcPr>
          <w:p>
            <w:pPr>
              <w:pStyle w:val="TableContents"/>
              <w:bidi w:val="0"/>
              <w:spacing w:before="0" w:after="283"/>
              <w:jc w:val="left"/>
              <w:rPr>
                <w:sz w:val="16"/>
              </w:rPr>
            </w:pPr>
            <w:r>
              <w:rPr>
                <w:sz w:val="16"/>
              </w:rPr>
              <w:t>Reverse Capitalization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(6,028,690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(6,028,690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(6,028,690</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925" w:type="dxa"/>
            <w:tcBorders/>
            <w:shd w:fill="FFFFFF" w:val="clear"/>
            <w:vAlign w:val="center"/>
          </w:tcPr>
          <w:p>
            <w:pPr>
              <w:pStyle w:val="TableContents"/>
              <w:bidi w:val="0"/>
              <w:spacing w:before="0" w:after="283"/>
              <w:jc w:val="left"/>
              <w:rPr>
                <w:sz w:val="16"/>
              </w:rPr>
            </w:pPr>
            <w:r>
              <w:rPr>
                <w:sz w:val="16"/>
              </w:rPr>
              <w:t>Settlement of Subscription receivable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sz w:val="16"/>
              </w:rPr>
            </w:pPr>
            <w:r>
              <w:rPr>
                <w:sz w:val="16"/>
              </w:rPr>
              <w:t>127,564</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127,564</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127,564</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925" w:type="dxa"/>
            <w:tcBorders/>
            <w:shd w:fill="CCEEFF" w:val="clear"/>
            <w:vAlign w:val="center"/>
          </w:tcPr>
          <w:p>
            <w:pPr>
              <w:pStyle w:val="TableContents"/>
              <w:bidi w:val="0"/>
              <w:spacing w:before="0" w:after="283"/>
              <w:jc w:val="left"/>
              <w:rPr>
                <w:sz w:val="16"/>
              </w:rPr>
            </w:pPr>
            <w:r>
              <w:rPr>
                <w:sz w:val="16"/>
              </w:rPr>
              <w:t>Remeasurement of share 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(2,766,856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(2,766,856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(2,766,856</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925" w:type="dxa"/>
            <w:tcBorders/>
            <w:shd w:fill="FFFFFF" w:val="clear"/>
            <w:vAlign w:val="center"/>
          </w:tcPr>
          <w:p>
            <w:pPr>
              <w:pStyle w:val="TableContents"/>
              <w:bidi w:val="0"/>
              <w:spacing w:before="0" w:after="283"/>
              <w:jc w:val="left"/>
              <w:rPr>
                <w:sz w:val="16"/>
              </w:rPr>
            </w:pPr>
            <w:r>
              <w:rPr>
                <w:sz w:val="16"/>
              </w:rPr>
              <w:t>Issuance of shares under ELOC/Note Conversion arrangement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211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(204,000</w:t>
            </w:r>
          </w:p>
        </w:tc>
        <w:tc>
          <w:tcPr>
            <w:tcW w:w="110" w:type="dxa"/>
            <w:tcBorders/>
            <w:shd w:fill="FFFFFF" w:val="clear"/>
            <w:vAlign w:val="center"/>
          </w:tcPr>
          <w:p>
            <w:pPr>
              <w:pStyle w:val="TableContents"/>
              <w:bidi w:val="0"/>
              <w:spacing w:before="0" w:after="283"/>
              <w:jc w:val="left"/>
              <w:rPr>
                <w:sz w:val="16"/>
              </w:rPr>
            </w:pPr>
            <w:r>
              <w:rPr>
                <w:sz w:val="16"/>
              </w:rPr>
              <w:t>)</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4,586,236</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4,382,236</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4,382,236</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925" w:type="dxa"/>
            <w:tcBorders/>
            <w:shd w:fill="CCEEFF" w:val="clear"/>
            <w:vAlign w:val="center"/>
          </w:tcPr>
          <w:p>
            <w:pPr>
              <w:pStyle w:val="TableContents"/>
              <w:bidi w:val="0"/>
              <w:spacing w:before="0" w:after="283"/>
              <w:jc w:val="left"/>
              <w:rPr>
                <w:b/>
                <w:sz w:val="16"/>
              </w:rPr>
            </w:pPr>
            <w:r>
              <w:rPr>
                <w:b/>
                <w:sz w:val="16"/>
              </w:rPr>
              <w:t>Balance,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380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79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(204,000</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122,505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(985,994</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929"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18,875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(1,048,614</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(433,143</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(1,481,757</w:t>
            </w:r>
          </w:p>
        </w:tc>
        <w:tc>
          <w:tcPr>
            <w:tcW w:w="135"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1925" w:type="dxa"/>
            <w:tcBorders/>
            <w:shd w:fill="FFFFFF" w:val="clear"/>
            <w:vAlign w:val="center"/>
          </w:tcPr>
          <w:p>
            <w:pPr>
              <w:pStyle w:val="TableContents"/>
              <w:bidi w:val="0"/>
              <w:spacing w:before="0" w:after="283"/>
              <w:jc w:val="left"/>
              <w:rPr>
                <w:sz w:val="16"/>
              </w:rPr>
            </w:pPr>
            <w:r>
              <w:rPr>
                <w:sz w:val="16"/>
              </w:rPr>
              <w:t>Net Profit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sz w:val="16"/>
              </w:rPr>
            </w:pPr>
            <w:r>
              <w:rPr>
                <w:sz w:val="16"/>
              </w:rPr>
              <w:t>9,879,408</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9,879,408</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16"/>
              </w:rPr>
            </w:pPr>
            <w:r>
              <w:rPr>
                <w:sz w:val="16"/>
              </w:rPr>
              <w:t>(150,685</w:t>
            </w:r>
          </w:p>
        </w:tc>
        <w:tc>
          <w:tcPr>
            <w:tcW w:w="110" w:type="dxa"/>
            <w:tcBorders/>
            <w:shd w:fill="FFFFFF" w:val="clear"/>
            <w:vAlign w:val="center"/>
          </w:tcPr>
          <w:p>
            <w:pPr>
              <w:pStyle w:val="TableContents"/>
              <w:bidi w:val="0"/>
              <w:spacing w:before="0" w:after="283"/>
              <w:jc w:val="left"/>
              <w:rPr>
                <w:sz w:val="16"/>
              </w:rPr>
            </w:pPr>
            <w:r>
              <w:rPr>
                <w:sz w:val="16"/>
              </w:rPr>
              <w:t>)</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9,728,723</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925" w:type="dxa"/>
            <w:tcBorders/>
            <w:shd w:fill="CCEEFF" w:val="clear"/>
            <w:vAlign w:val="center"/>
          </w:tcPr>
          <w:p>
            <w:pPr>
              <w:pStyle w:val="TableContents"/>
              <w:bidi w:val="0"/>
              <w:spacing w:before="0" w:after="283"/>
              <w:jc w:val="left"/>
              <w:rPr>
                <w:sz w:val="16"/>
              </w:rPr>
            </w:pPr>
            <w:r>
              <w:rPr>
                <w:sz w:val="16"/>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sz w:val="16"/>
              </w:rPr>
            </w:pPr>
            <w:r>
              <w:rPr>
                <w:sz w:val="16"/>
              </w:rPr>
              <w:t>(161,946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(161,946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6"/>
              </w:rPr>
            </w:pPr>
            <w:r>
              <w:rPr>
                <w:sz w:val="16"/>
              </w:rPr>
              <w:t>(60,998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(222,944</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925" w:type="dxa"/>
            <w:tcBorders/>
            <w:shd w:fill="FFFFFF" w:val="clear"/>
            <w:vAlign w:val="center"/>
          </w:tcPr>
          <w:p>
            <w:pPr>
              <w:pStyle w:val="TableContents"/>
              <w:bidi w:val="0"/>
              <w:spacing w:before="0" w:after="283"/>
              <w:jc w:val="left"/>
              <w:rPr>
                <w:sz w:val="16"/>
              </w:rPr>
            </w:pPr>
            <w:r>
              <w:rPr>
                <w:sz w:val="16"/>
              </w:rPr>
              <w:t>Issuance of shares under ELOC</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sz w:val="16"/>
              </w:rPr>
            </w:pPr>
            <w:r>
              <w:rPr>
                <w:sz w:val="16"/>
              </w:rPr>
              <w:t>141,661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12,620,494</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12,620,494</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12,620,494</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925" w:type="dxa"/>
            <w:tcBorders/>
            <w:shd w:fill="CCEEFF" w:val="clear"/>
            <w:vAlign w:val="center"/>
          </w:tcPr>
          <w:p>
            <w:pPr>
              <w:pStyle w:val="TableContents"/>
              <w:bidi w:val="0"/>
              <w:spacing w:before="0" w:after="283"/>
              <w:jc w:val="left"/>
              <w:rPr>
                <w:sz w:val="16"/>
              </w:rPr>
            </w:pPr>
            <w:r>
              <w:rPr>
                <w:sz w:val="16"/>
              </w:rPr>
              <w:t>Issuance of shares under conversion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sz w:val="16"/>
              </w:rPr>
            </w:pPr>
            <w:r>
              <w:rPr>
                <w:sz w:val="16"/>
              </w:rPr>
              <w:t>58,424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sz w:val="16"/>
              </w:rPr>
            </w:pPr>
            <w:r>
              <w:rPr>
                <w:sz w:val="16"/>
              </w:rPr>
              <w:t>204,000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4,860,427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5,064,427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5,064,427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925" w:type="dxa"/>
            <w:tcBorders/>
            <w:shd w:fill="FFFFFF" w:val="clear"/>
            <w:vAlign w:val="center"/>
          </w:tcPr>
          <w:p>
            <w:pPr>
              <w:pStyle w:val="TableContents"/>
              <w:bidi w:val="0"/>
              <w:spacing w:before="0" w:after="283"/>
              <w:jc w:val="left"/>
              <w:rPr>
                <w:sz w:val="16"/>
              </w:rPr>
            </w:pPr>
            <w:r>
              <w:rPr>
                <w:sz w:val="16"/>
              </w:rPr>
              <w:t>Issuance of shares for business acquisition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sz w:val="16"/>
              </w:rPr>
            </w:pPr>
            <w:r>
              <w:rPr>
                <w:sz w:val="16"/>
              </w:rPr>
              <w:t>42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257,500</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257,500</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6"/>
              </w:rPr>
            </w:pPr>
            <w:r>
              <w:rPr>
                <w:sz w:val="16"/>
              </w:rPr>
              <w:t>257,500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925" w:type="dxa"/>
            <w:tcBorders/>
            <w:shd w:fill="CCEEFF" w:val="clear"/>
            <w:vAlign w:val="center"/>
          </w:tcPr>
          <w:p>
            <w:pPr>
              <w:pStyle w:val="TableContents"/>
              <w:bidi w:val="0"/>
              <w:spacing w:before="0" w:after="283"/>
              <w:jc w:val="left"/>
              <w:rPr>
                <w:sz w:val="16"/>
              </w:rPr>
            </w:pPr>
            <w:r>
              <w:rPr>
                <w:sz w:val="16"/>
              </w:rPr>
              <w:t>Issuance of shares for share-based compensation to consultant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sz w:val="16"/>
              </w:rPr>
            </w:pPr>
            <w:r>
              <w:rPr>
                <w:sz w:val="16"/>
              </w:rPr>
              <w:t>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20,250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20,250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20,250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925" w:type="dxa"/>
            <w:tcBorders/>
            <w:shd w:fill="FFFFFF" w:val="clear"/>
            <w:vAlign w:val="center"/>
          </w:tcPr>
          <w:p>
            <w:pPr>
              <w:pStyle w:val="TableContents"/>
              <w:bidi w:val="0"/>
              <w:spacing w:before="0" w:after="283"/>
              <w:jc w:val="left"/>
              <w:rPr>
                <w:sz w:val="16"/>
              </w:rPr>
            </w:pPr>
            <w:r>
              <w:rPr>
                <w:sz w:val="16"/>
              </w:rPr>
              <w:t>Issuance of shares for warrant exercise</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40,065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925" w:type="dxa"/>
            <w:tcBorders/>
            <w:shd w:fill="CCEEFF" w:val="clear"/>
            <w:vAlign w:val="center"/>
          </w:tcPr>
          <w:p>
            <w:pPr>
              <w:pStyle w:val="TableContents"/>
              <w:bidi w:val="0"/>
              <w:spacing w:before="0" w:after="283"/>
              <w:jc w:val="left"/>
              <w:rPr>
                <w:b/>
                <w:sz w:val="16"/>
              </w:rPr>
            </w:pPr>
            <w:r>
              <w:rPr>
                <w:b/>
                <w:sz w:val="16"/>
              </w:rPr>
              <w:t>Balance,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240,622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17,881,176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8,893,414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(143,071</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26,631,519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(644,826</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25,986,693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55"/>
        <w:gridCol w:w="99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w:t>
            </w:r>
          </w:p>
        </w:tc>
        <w:tc>
          <w:tcPr>
            <w:tcW w:w="9945" w:type="dxa"/>
            <w:tcBorders/>
            <w:vAlign w:val="center"/>
          </w:tcPr>
          <w:p>
            <w:pPr>
              <w:pStyle w:val="TableContents"/>
              <w:bidi w:val="0"/>
              <w:spacing w:before="0" w:after="283"/>
              <w:jc w:val="both"/>
              <w:rPr>
                <w:sz w:val="20"/>
              </w:rPr>
            </w:pPr>
            <w:r>
              <w:rPr>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and in March 2026 of 1 share for every 4 shares issued respectively.</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f_005"/>
      <w:bookmarkEnd w:id="28"/>
      <w:r>
        <w:rPr>
          <w:rFonts w:ascii="Times New Roman;Times;Serif" w:hAnsi="Times New Roman;Times;Serif"/>
          <w:b/>
          <w:i w:val="false"/>
          <w:caps w:val="false"/>
          <w:smallCaps w:val="false"/>
          <w:sz w:val="20"/>
        </w:rPr>
        <w:t>NEWGENIVF GROUP LIMITED</w:t>
        <w:br/>
        <w:t>CONSOLIDATED STATEMENTS OF CASH FLOWS</w:t>
        <w:br/>
        <w:t>FOR THE YEARS ENDED DECEMBER 31, 2025, 2024 AND 2023</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10"/>
        <w:gridCol w:w="90"/>
        <w:gridCol w:w="90"/>
        <w:gridCol w:w="1205"/>
        <w:gridCol w:w="125"/>
        <w:gridCol w:w="90"/>
        <w:gridCol w:w="170"/>
        <w:gridCol w:w="1085"/>
        <w:gridCol w:w="125"/>
        <w:gridCol w:w="90"/>
        <w:gridCol w:w="170"/>
        <w:gridCol w:w="1085"/>
        <w:gridCol w:w="170"/>
      </w:tblGrid>
      <w:tr>
        <w:trPr/>
        <w:tc>
          <w:tcPr>
            <w:tcW w:w="5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5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5710"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9,728,723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(474,101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108,418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710" w:type="dxa"/>
            <w:tcBorders/>
            <w:shd w:fill="FFFFFF" w:val="clear"/>
            <w:vAlign w:val="center"/>
          </w:tcPr>
          <w:p>
            <w:pPr>
              <w:pStyle w:val="TableContents"/>
              <w:bidi w:val="0"/>
              <w:spacing w:before="0" w:after="283"/>
              <w:jc w:val="left"/>
              <w:rPr>
                <w:b/>
              </w:rPr>
            </w:pPr>
            <w:r>
              <w:rPr>
                <w:b/>
              </w:rPr>
              <w:t>Adjustments to reconcile net income (loss) to net cash provided by operating activities: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Depreciation of plant and equipment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188,109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19,502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31,173</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Amortization of right-of-use assets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311,390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186,762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198,535</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Loss on digital assets, fair value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332,480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Loss on financial assets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700,631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Amortisation of share-based compensation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53,583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33,334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Non cash discount on convertible notes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402,500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Provision of expected credit loss allowance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625</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Interest expense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616,423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778,656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46,179</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Impairment on receivable from agency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818,780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Loss on disposal of subsidiary</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47,702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Waiver of related party balance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(88,151</w:t>
            </w:r>
          </w:p>
        </w:tc>
        <w:tc>
          <w:tcPr>
            <w:tcW w:w="170" w:type="dxa"/>
            <w:tcBorders/>
            <w:shd w:fill="CCEEFF" w:val="clear"/>
            <w:vAlign w:val="center"/>
          </w:tcPr>
          <w:p>
            <w:pPr>
              <w:pStyle w:val="TableContents"/>
              <w:bidi w:val="0"/>
              <w:spacing w:before="0" w:after="283"/>
              <w:jc w:val="left"/>
              <w:rPr/>
            </w:pPr>
            <w:r>
              <w:rPr/>
              <w:t>)</w:t>
            </w:r>
          </w:p>
        </w:tc>
      </w:tr>
      <w:tr>
        <w:trPr/>
        <w:tc>
          <w:tcPr>
            <w:tcW w:w="5710" w:type="dxa"/>
            <w:tcBorders/>
            <w:shd w:fill="FFFFFF" w:val="clear"/>
            <w:vAlign w:val="center"/>
          </w:tcPr>
          <w:p>
            <w:pPr>
              <w:pStyle w:val="TableContents"/>
              <w:bidi w:val="0"/>
              <w:spacing w:before="0" w:after="283"/>
              <w:jc w:val="left"/>
              <w:rPr/>
            </w:pPr>
            <w:r>
              <w:rPr/>
              <w:t>Gain on lease modification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(13,092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Gain on promissory note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(953,861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Gain on bargain purchase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(21,653,835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Embedded derivative gain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(456,731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Legal and professional fee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27,320</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(Gain on) Provision for income taxes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(486,706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b/>
              </w:rPr>
            </w:pPr>
            <w:r>
              <w:rPr>
                <w:b/>
              </w:rPr>
              <w:t>Changes in operating assets and liabilities: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(117,285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(39,871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1,166</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Inventories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(254,547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45,451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(80,665</w:t>
            </w:r>
          </w:p>
        </w:tc>
        <w:tc>
          <w:tcPr>
            <w:tcW w:w="170" w:type="dxa"/>
            <w:tcBorders/>
            <w:shd w:fill="FFFFFF" w:val="clear"/>
            <w:vAlign w:val="center"/>
          </w:tcPr>
          <w:p>
            <w:pPr>
              <w:pStyle w:val="TableContents"/>
              <w:bidi w:val="0"/>
              <w:spacing w:before="0" w:after="283"/>
              <w:jc w:val="left"/>
              <w:rPr/>
            </w:pPr>
            <w:r>
              <w:rPr/>
              <w:t>)</w:t>
            </w:r>
          </w:p>
        </w:tc>
      </w:tr>
      <w:tr>
        <w:trPr/>
        <w:tc>
          <w:tcPr>
            <w:tcW w:w="5710" w:type="dxa"/>
            <w:tcBorders/>
            <w:shd w:fill="CCEEFF" w:val="clear"/>
            <w:vAlign w:val="center"/>
          </w:tcPr>
          <w:p>
            <w:pPr>
              <w:pStyle w:val="TableContents"/>
              <w:bidi w:val="0"/>
              <w:spacing w:before="0" w:after="283"/>
              <w:jc w:val="left"/>
              <w:rPr/>
            </w:pPr>
            <w:r>
              <w:rPr/>
              <w:t>Deposit and other receivables,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(110,436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(2,000,851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(448,266</w:t>
            </w:r>
          </w:p>
        </w:tc>
        <w:tc>
          <w:tcPr>
            <w:tcW w:w="170" w:type="dxa"/>
            <w:tcBorders/>
            <w:shd w:fill="CCEEFF" w:val="clear"/>
            <w:vAlign w:val="center"/>
          </w:tcPr>
          <w:p>
            <w:pPr>
              <w:pStyle w:val="TableContents"/>
              <w:bidi w:val="0"/>
              <w:spacing w:before="0" w:after="283"/>
              <w:jc w:val="left"/>
              <w:rPr/>
            </w:pPr>
            <w:r>
              <w:rPr/>
              <w:t>)</w:t>
            </w:r>
          </w:p>
        </w:tc>
      </w:tr>
      <w:tr>
        <w:trPr/>
        <w:tc>
          <w:tcPr>
            <w:tcW w:w="5710" w:type="dxa"/>
            <w:tcBorders/>
            <w:shd w:fill="FFFFFF" w:val="clear"/>
            <w:vAlign w:val="center"/>
          </w:tcPr>
          <w:p>
            <w:pPr>
              <w:pStyle w:val="TableContents"/>
              <w:bidi w:val="0"/>
              <w:spacing w:before="0" w:after="283"/>
              <w:jc w:val="left"/>
              <w:rPr/>
            </w:pPr>
            <w:r>
              <w:rPr/>
              <w:t>Amount due from agency</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(421,101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Deferred issuance cost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(116,250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Accounts payable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(519,684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1,126,338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71,362</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Accrued liabilities and other payables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211,161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(6,750,587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(51,167</w:t>
            </w:r>
          </w:p>
        </w:tc>
        <w:tc>
          <w:tcPr>
            <w:tcW w:w="170" w:type="dxa"/>
            <w:tcBorders/>
            <w:shd w:fill="CCEEFF" w:val="clear"/>
            <w:vAlign w:val="center"/>
          </w:tcPr>
          <w:p>
            <w:pPr>
              <w:pStyle w:val="TableContents"/>
              <w:bidi w:val="0"/>
              <w:spacing w:before="0" w:after="283"/>
              <w:jc w:val="left"/>
              <w:rPr/>
            </w:pPr>
            <w:r>
              <w:rPr/>
              <w:t>)</w:t>
            </w:r>
          </w:p>
        </w:tc>
      </w:tr>
      <w:tr>
        <w:trPr/>
        <w:tc>
          <w:tcPr>
            <w:tcW w:w="5710" w:type="dxa"/>
            <w:tcBorders/>
            <w:shd w:fill="FFFFFF" w:val="clear"/>
            <w:vAlign w:val="center"/>
          </w:tcPr>
          <w:p>
            <w:pPr>
              <w:pStyle w:val="TableContents"/>
              <w:bidi w:val="0"/>
              <w:spacing w:before="0" w:after="283"/>
              <w:jc w:val="left"/>
              <w:rPr/>
            </w:pPr>
            <w:r>
              <w:rPr/>
              <w:t>Contract liabilities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48,492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55,552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(1,352,231</w:t>
            </w:r>
          </w:p>
        </w:tc>
        <w:tc>
          <w:tcPr>
            <w:tcW w:w="170" w:type="dxa"/>
            <w:tcBorders/>
            <w:shd w:fill="FFFFFF" w:val="clear"/>
            <w:vAlign w:val="center"/>
          </w:tcPr>
          <w:p>
            <w:pPr>
              <w:pStyle w:val="TableContents"/>
              <w:bidi w:val="0"/>
              <w:spacing w:before="0" w:after="283"/>
              <w:jc w:val="left"/>
              <w:rPr/>
            </w:pPr>
            <w:r>
              <w:rPr/>
              <w:t>)</w:t>
            </w:r>
          </w:p>
        </w:tc>
      </w:tr>
      <w:tr>
        <w:trPr/>
        <w:tc>
          <w:tcPr>
            <w:tcW w:w="5710"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(321,915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(204,846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(230,433</w:t>
            </w:r>
          </w:p>
        </w:tc>
        <w:tc>
          <w:tcPr>
            <w:tcW w:w="170" w:type="dxa"/>
            <w:tcBorders/>
            <w:shd w:fill="CCEEFF" w:val="clear"/>
            <w:vAlign w:val="center"/>
          </w:tcPr>
          <w:p>
            <w:pPr>
              <w:pStyle w:val="TableContents"/>
              <w:bidi w:val="0"/>
              <w:spacing w:before="0" w:after="283"/>
              <w:jc w:val="left"/>
              <w:rPr/>
            </w:pPr>
            <w:r>
              <w:rPr/>
              <w:t>)</w:t>
            </w:r>
          </w:p>
        </w:tc>
      </w:tr>
      <w:tr>
        <w:trPr/>
        <w:tc>
          <w:tcPr>
            <w:tcW w:w="5710" w:type="dxa"/>
            <w:tcBorders/>
            <w:shd w:fill="FFFFFF" w:val="clear"/>
            <w:vAlign w:val="center"/>
          </w:tcPr>
          <w:p>
            <w:pPr>
              <w:pStyle w:val="TableContents"/>
              <w:bidi w:val="0"/>
              <w:spacing w:before="0" w:after="283"/>
              <w:jc w:val="left"/>
              <w:rPr/>
            </w:pPr>
            <w:r>
              <w:rPr/>
              <w:t>Tax paid</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(10,926,056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(8,264,074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(1,766,135</w:t>
            </w:r>
          </w:p>
        </w:tc>
        <w:tc>
          <w:tcPr>
            <w:tcW w:w="170" w:type="dxa"/>
            <w:tcBorders/>
            <w:shd w:fill="CCEEFF" w:val="clear"/>
            <w:vAlign w:val="center"/>
          </w:tcPr>
          <w:p>
            <w:pPr>
              <w:pStyle w:val="TableContents"/>
              <w:bidi w:val="0"/>
              <w:spacing w:before="0" w:after="283"/>
              <w:jc w:val="left"/>
              <w:rPr/>
            </w:pPr>
            <w:r>
              <w:rPr/>
              <w:t>)</w:t>
            </w:r>
          </w:p>
        </w:tc>
      </w:tr>
      <w:tr>
        <w:trPr/>
        <w:tc>
          <w:tcPr>
            <w:tcW w:w="57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b/>
              </w:rPr>
            </w:pPr>
            <w:r>
              <w:rPr>
                <w:b/>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Purchase of plant and equipment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(135,025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(53,045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(69,848</w:t>
            </w:r>
          </w:p>
        </w:tc>
        <w:tc>
          <w:tcPr>
            <w:tcW w:w="170" w:type="dxa"/>
            <w:tcBorders/>
            <w:shd w:fill="FFFFFF" w:val="clear"/>
            <w:vAlign w:val="center"/>
          </w:tcPr>
          <w:p>
            <w:pPr>
              <w:pStyle w:val="TableContents"/>
              <w:bidi w:val="0"/>
              <w:spacing w:before="0" w:after="283"/>
              <w:jc w:val="left"/>
              <w:rPr/>
            </w:pPr>
            <w:r>
              <w:rPr/>
              <w:t>)</w:t>
            </w:r>
          </w:p>
        </w:tc>
      </w:tr>
      <w:tr>
        <w:trPr/>
        <w:tc>
          <w:tcPr>
            <w:tcW w:w="5710" w:type="dxa"/>
            <w:tcBorders/>
            <w:shd w:fill="CCEEFF" w:val="clear"/>
            <w:vAlign w:val="center"/>
          </w:tcPr>
          <w:p>
            <w:pPr>
              <w:pStyle w:val="TableContents"/>
              <w:bidi w:val="0"/>
              <w:spacing w:before="0" w:after="283"/>
              <w:jc w:val="left"/>
              <w:rPr/>
            </w:pPr>
            <w:r>
              <w:rPr/>
              <w:t>Investment in financial asset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(760,000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Investment in digital assets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(1,000,000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Deposit paid for acquisition of land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(4,614,749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Acquisition of businesses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(1,050,000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Net cash used in investing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(7,559,774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(53,045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(69,848</w:t>
            </w:r>
          </w:p>
        </w:tc>
        <w:tc>
          <w:tcPr>
            <w:tcW w:w="170" w:type="dxa"/>
            <w:tcBorders/>
            <w:shd w:fill="CCEEFF" w:val="clear"/>
            <w:vAlign w:val="center"/>
          </w:tcPr>
          <w:p>
            <w:pPr>
              <w:pStyle w:val="TableContents"/>
              <w:bidi w:val="0"/>
              <w:spacing w:before="0" w:after="283"/>
              <w:jc w:val="left"/>
              <w:rPr/>
            </w:pPr>
            <w:r>
              <w:rPr/>
              <w:t>)</w:t>
            </w:r>
          </w:p>
        </w:tc>
      </w:tr>
      <w:tr>
        <w:trPr/>
        <w:tc>
          <w:tcPr>
            <w:tcW w:w="57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Amount due from A SPAC I</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140,000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(140,000</w:t>
            </w:r>
          </w:p>
        </w:tc>
        <w:tc>
          <w:tcPr>
            <w:tcW w:w="170" w:type="dxa"/>
            <w:tcBorders/>
            <w:shd w:fill="FFFFFF" w:val="clear"/>
            <w:vAlign w:val="center"/>
          </w:tcPr>
          <w:p>
            <w:pPr>
              <w:pStyle w:val="TableContents"/>
              <w:bidi w:val="0"/>
              <w:spacing w:before="0" w:after="283"/>
              <w:jc w:val="left"/>
              <w:rPr/>
            </w:pPr>
            <w:r>
              <w:rPr/>
              <w:t>)</w:t>
            </w:r>
          </w:p>
        </w:tc>
      </w:tr>
      <w:tr>
        <w:trPr/>
        <w:tc>
          <w:tcPr>
            <w:tcW w:w="5710" w:type="dxa"/>
            <w:tcBorders/>
            <w:shd w:fill="CCEEFF" w:val="clear"/>
            <w:vAlign w:val="center"/>
          </w:tcPr>
          <w:p>
            <w:pPr>
              <w:pStyle w:val="TableContents"/>
              <w:bidi w:val="0"/>
              <w:spacing w:before="0" w:after="283"/>
              <w:jc w:val="left"/>
              <w:rPr/>
            </w:pPr>
            <w:r>
              <w:rPr/>
              <w:t>Finance lease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(6,446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(9,317</w:t>
            </w:r>
          </w:p>
        </w:tc>
        <w:tc>
          <w:tcPr>
            <w:tcW w:w="170" w:type="dxa"/>
            <w:tcBorders/>
            <w:shd w:fill="CCEEFF" w:val="clear"/>
            <w:vAlign w:val="center"/>
          </w:tcPr>
          <w:p>
            <w:pPr>
              <w:pStyle w:val="TableContents"/>
              <w:bidi w:val="0"/>
              <w:spacing w:before="0" w:after="283"/>
              <w:jc w:val="left"/>
              <w:rPr/>
            </w:pPr>
            <w:r>
              <w:rPr/>
              <w:t>)</w:t>
            </w:r>
          </w:p>
        </w:tc>
      </w:tr>
      <w:tr>
        <w:trPr/>
        <w:tc>
          <w:tcPr>
            <w:tcW w:w="5710" w:type="dxa"/>
            <w:tcBorders/>
            <w:shd w:fill="FFFFFF" w:val="clear"/>
            <w:vAlign w:val="center"/>
          </w:tcPr>
          <w:p>
            <w:pPr>
              <w:pStyle w:val="TableContents"/>
              <w:bidi w:val="0"/>
              <w:spacing w:before="0" w:after="283"/>
              <w:jc w:val="left"/>
              <w:rPr/>
            </w:pPr>
            <w:r>
              <w:rPr/>
              <w:t>Settlement of Promissory note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(500,000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Issuance of convertible notes,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6,842,500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8,583,597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Issuance of shares under ELOC</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12,620,496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192,308</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Interest paid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(26,206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(677,663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(24,704</w:t>
            </w:r>
          </w:p>
        </w:tc>
        <w:tc>
          <w:tcPr>
            <w:tcW w:w="170" w:type="dxa"/>
            <w:tcBorders/>
            <w:shd w:fill="CCEEFF" w:val="clear"/>
            <w:vAlign w:val="center"/>
          </w:tcPr>
          <w:p>
            <w:pPr>
              <w:pStyle w:val="TableContents"/>
              <w:bidi w:val="0"/>
              <w:spacing w:before="0" w:after="283"/>
              <w:jc w:val="left"/>
              <w:rPr/>
            </w:pPr>
            <w:r>
              <w:rPr/>
              <w:t>)</w:t>
            </w:r>
          </w:p>
        </w:tc>
      </w:tr>
      <w:tr>
        <w:trPr/>
        <w:tc>
          <w:tcPr>
            <w:tcW w:w="5710" w:type="dxa"/>
            <w:tcBorders/>
            <w:shd w:fill="FFFFFF" w:val="clear"/>
            <w:vAlign w:val="center"/>
          </w:tcPr>
          <w:p>
            <w:pPr>
              <w:pStyle w:val="TableContents"/>
              <w:bidi w:val="0"/>
              <w:spacing w:before="0" w:after="283"/>
              <w:jc w:val="left"/>
              <w:rPr/>
            </w:pPr>
            <w:r>
              <w:rPr/>
              <w:t>Amount with related parties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(148,032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508,738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1,863,206</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Subscription receivable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204,000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127,564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18,992,758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8,675,790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1,881,493</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Net increase/(decrease) in cash and cash equivalents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506,928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358,671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45,510</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Effect of foreign currency translation on cash and cash equivalents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(206,047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44,965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(18,962</w:t>
            </w:r>
          </w:p>
        </w:tc>
        <w:tc>
          <w:tcPr>
            <w:tcW w:w="170" w:type="dxa"/>
            <w:tcBorders/>
            <w:shd w:fill="FFFFFF" w:val="clear"/>
            <w:vAlign w:val="center"/>
          </w:tcPr>
          <w:p>
            <w:pPr>
              <w:pStyle w:val="TableContents"/>
              <w:bidi w:val="0"/>
              <w:spacing w:before="0" w:after="283"/>
              <w:jc w:val="left"/>
              <w:rPr/>
            </w:pPr>
            <w:r>
              <w:rPr/>
              <w:t>)</w:t>
            </w:r>
          </w:p>
        </w:tc>
      </w:tr>
      <w:tr>
        <w:trPr/>
        <w:tc>
          <w:tcPr>
            <w:tcW w:w="5710" w:type="dxa"/>
            <w:tcBorders/>
            <w:shd w:fill="CCEEFF" w:val="clear"/>
            <w:vAlign w:val="center"/>
          </w:tcPr>
          <w:p>
            <w:pPr>
              <w:pStyle w:val="TableContents"/>
              <w:bidi w:val="0"/>
              <w:spacing w:before="0" w:after="283"/>
              <w:jc w:val="left"/>
              <w:rPr/>
            </w:pPr>
            <w:r>
              <w:rPr/>
              <w:t>Cash and cash equivalents, beginning of year</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457,740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54,104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27,556</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Cash and cash equivalents, end of year</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758,621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FFFFFF" w:val="clear"/>
            <w:tcMar>
              <w:bottom w:w="28" w:type="dxa"/>
            </w:tcMar>
            <w:vAlign w:val="center"/>
          </w:tcPr>
          <w:p>
            <w:pPr>
              <w:pStyle w:val="TableContents"/>
              <w:bidi w:val="0"/>
              <w:spacing w:before="0" w:after="283"/>
              <w:jc w:val="right"/>
              <w:rPr/>
            </w:pPr>
            <w:r>
              <w:rPr/>
              <w:t>457,740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FFFFFF" w:val="clear"/>
            <w:tcMar>
              <w:bottom w:w="28" w:type="dxa"/>
            </w:tcMar>
            <w:vAlign w:val="center"/>
          </w:tcPr>
          <w:p>
            <w:pPr>
              <w:pStyle w:val="TableContents"/>
              <w:bidi w:val="0"/>
              <w:spacing w:before="0" w:after="283"/>
              <w:jc w:val="right"/>
              <w:rPr/>
            </w:pPr>
            <w:r>
              <w:rPr/>
              <w:t>54,104</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i/>
              </w:rPr>
            </w:pPr>
            <w:r>
              <w:rPr>
                <w:i/>
              </w:rPr>
              <w:t>Supplementary cash flow information: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Taxes paid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10" w:type="dxa"/>
            <w:tcBorders/>
            <w:shd w:fill="FFFFFF" w:val="clear"/>
            <w:vAlign w:val="center"/>
          </w:tcPr>
          <w:p>
            <w:pPr>
              <w:pStyle w:val="TableContents"/>
              <w:bidi w:val="0"/>
              <w:spacing w:before="0" w:after="283"/>
              <w:jc w:val="left"/>
              <w:rPr/>
            </w:pPr>
            <w:r>
              <w:rPr/>
              <w:t>Interest paid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(26,206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(677,663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(24,704</w:t>
            </w:r>
          </w:p>
        </w:tc>
        <w:tc>
          <w:tcPr>
            <w:tcW w:w="17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no cash was exchanged in respect of these transactions:</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shd w:fill="FFFFFF" w:val="clear"/>
        <w:tblLayout w:type="fixed"/>
        <w:tblCellMar>
          <w:top w:w="0" w:type="dxa"/>
          <w:left w:w="0" w:type="dxa"/>
          <w:bottom w:w="0" w:type="dxa"/>
          <w:right w:w="0" w:type="dxa"/>
        </w:tblCellMar>
      </w:tblPr>
      <w:tblGrid>
        <w:gridCol w:w="105"/>
        <w:gridCol w:w="185"/>
        <w:gridCol w:w="4805"/>
      </w:tblGrid>
      <w:tr>
        <w:trPr/>
        <w:tc>
          <w:tcPr>
            <w:tcW w:w="10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a.</w:t>
            </w:r>
          </w:p>
        </w:tc>
        <w:tc>
          <w:tcPr>
            <w:tcW w:w="4805" w:type="dxa"/>
            <w:tcBorders/>
            <w:shd w:fill="FFFFFF" w:val="clear"/>
            <w:vAlign w:val="center"/>
          </w:tcPr>
          <w:p>
            <w:pPr>
              <w:pStyle w:val="TableContents"/>
              <w:bidi w:val="0"/>
              <w:spacing w:before="0" w:after="283"/>
              <w:jc w:val="left"/>
              <w:rPr>
                <w:sz w:val="20"/>
              </w:rPr>
            </w:pPr>
            <w:r>
              <w:rPr>
                <w:sz w:val="20"/>
              </w:rPr>
              <w:t>$4,860,427 of convertible debt was converted into equity.</w:t>
            </w:r>
          </w:p>
        </w:tc>
      </w:tr>
    </w:tbl>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shd w:fill="FFFFFF" w:val="clear"/>
        <w:tblLayout w:type="fixed"/>
        <w:tblCellMar>
          <w:top w:w="0" w:type="dxa"/>
          <w:left w:w="0" w:type="dxa"/>
          <w:bottom w:w="0" w:type="dxa"/>
          <w:right w:w="0" w:type="dxa"/>
        </w:tblCellMar>
      </w:tblPr>
      <w:tblGrid>
        <w:gridCol w:w="105"/>
        <w:gridCol w:w="200"/>
        <w:gridCol w:w="7145"/>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sz w:val="20"/>
              </w:rPr>
            </w:pPr>
            <w:r>
              <w:rPr>
                <w:sz w:val="20"/>
              </w:rPr>
              <w:t>b.</w:t>
            </w:r>
          </w:p>
        </w:tc>
        <w:tc>
          <w:tcPr>
            <w:tcW w:w="7145" w:type="dxa"/>
            <w:tcBorders/>
            <w:shd w:fill="FFFFFF" w:val="clear"/>
            <w:vAlign w:val="center"/>
          </w:tcPr>
          <w:p>
            <w:pPr>
              <w:pStyle w:val="TableContents"/>
              <w:bidi w:val="0"/>
              <w:spacing w:before="0" w:after="283"/>
              <w:jc w:val="left"/>
              <w:rPr>
                <w:sz w:val="20"/>
              </w:rPr>
            </w:pPr>
            <w:r>
              <w:rPr>
                <w:sz w:val="20"/>
              </w:rPr>
              <w:t>$20,250 was credited to APIC in relation to shares issued for share-based compensation</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shd w:fill="FFFFFF" w:val="clear"/>
        <w:tblLayout w:type="fixed"/>
        <w:tblCellMar>
          <w:top w:w="0" w:type="dxa"/>
          <w:left w:w="0" w:type="dxa"/>
          <w:bottom w:w="0" w:type="dxa"/>
          <w:right w:w="0" w:type="dxa"/>
        </w:tblCellMar>
      </w:tblPr>
      <w:tblGrid>
        <w:gridCol w:w="105"/>
        <w:gridCol w:w="185"/>
        <w:gridCol w:w="8435"/>
      </w:tblGrid>
      <w:tr>
        <w:trPr/>
        <w:tc>
          <w:tcPr>
            <w:tcW w:w="10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c.</w:t>
            </w:r>
          </w:p>
        </w:tc>
        <w:tc>
          <w:tcPr>
            <w:tcW w:w="8435" w:type="dxa"/>
            <w:tcBorders/>
            <w:shd w:fill="FFFFFF" w:val="clear"/>
            <w:vAlign w:val="center"/>
          </w:tcPr>
          <w:p>
            <w:pPr>
              <w:pStyle w:val="TableContents"/>
              <w:bidi w:val="0"/>
              <w:spacing w:before="0" w:after="283"/>
              <w:jc w:val="left"/>
              <w:rPr>
                <w:sz w:val="20"/>
              </w:rPr>
            </w:pPr>
            <w:r>
              <w:rPr>
                <w:sz w:val="20"/>
              </w:rPr>
              <w:t>$257,500 was credited to APIC in relation to shares issued for acquisition of a business during the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no cash was exchanged in respect of these transactions:</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shd w:fill="FFFFFF" w:val="clear"/>
        <w:tblLayout w:type="fixed"/>
        <w:tblCellMar>
          <w:top w:w="0" w:type="dxa"/>
          <w:left w:w="0" w:type="dxa"/>
          <w:bottom w:w="0" w:type="dxa"/>
          <w:right w:w="0" w:type="dxa"/>
        </w:tblCellMar>
      </w:tblPr>
      <w:tblGrid>
        <w:gridCol w:w="105"/>
        <w:gridCol w:w="185"/>
        <w:gridCol w:w="4805"/>
      </w:tblGrid>
      <w:tr>
        <w:trPr/>
        <w:tc>
          <w:tcPr>
            <w:tcW w:w="10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a.</w:t>
            </w:r>
          </w:p>
        </w:tc>
        <w:tc>
          <w:tcPr>
            <w:tcW w:w="4805" w:type="dxa"/>
            <w:tcBorders/>
            <w:shd w:fill="FFFFFF" w:val="clear"/>
            <w:vAlign w:val="center"/>
          </w:tcPr>
          <w:p>
            <w:pPr>
              <w:pStyle w:val="TableContents"/>
              <w:bidi w:val="0"/>
              <w:spacing w:before="0" w:after="283"/>
              <w:jc w:val="left"/>
              <w:rPr>
                <w:sz w:val="20"/>
              </w:rPr>
            </w:pPr>
            <w:r>
              <w:rPr>
                <w:sz w:val="20"/>
              </w:rPr>
              <w:t>$2,650,000 of convertible debt was converted into equity.</w:t>
            </w:r>
          </w:p>
        </w:tc>
      </w:tr>
    </w:tbl>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shd w:fill="FFFFFF" w:val="clear"/>
        <w:tblLayout w:type="fixed"/>
        <w:tblCellMar>
          <w:top w:w="0" w:type="dxa"/>
          <w:left w:w="0" w:type="dxa"/>
          <w:bottom w:w="0" w:type="dxa"/>
          <w:right w:w="0" w:type="dxa"/>
        </w:tblCellMar>
      </w:tblPr>
      <w:tblGrid>
        <w:gridCol w:w="105"/>
        <w:gridCol w:w="200"/>
        <w:gridCol w:w="9200"/>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sz w:val="20"/>
              </w:rPr>
            </w:pPr>
            <w:r>
              <w:rPr>
                <w:sz w:val="20"/>
              </w:rPr>
              <w:t>b.</w:t>
            </w:r>
          </w:p>
        </w:tc>
        <w:tc>
          <w:tcPr>
            <w:tcW w:w="9200" w:type="dxa"/>
            <w:tcBorders/>
            <w:shd w:fill="FFFFFF" w:val="clear"/>
            <w:vAlign w:val="center"/>
          </w:tcPr>
          <w:p>
            <w:pPr>
              <w:pStyle w:val="TableContents"/>
              <w:bidi w:val="0"/>
              <w:spacing w:before="0" w:after="283"/>
              <w:jc w:val="left"/>
              <w:rPr>
                <w:sz w:val="20"/>
              </w:rPr>
            </w:pPr>
            <w:r>
              <w:rPr>
                <w:sz w:val="20"/>
              </w:rPr>
              <w:t>Reversal arising from remeasurement of share-based compensation within prepayment amounting to $2,739,856.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_006"/>
      <w:bookmarkEnd w:id="29"/>
      <w:r>
        <w:rPr>
          <w:rFonts w:ascii="Times New Roman;Times;Serif" w:hAnsi="Times New Roman;Times;Serif"/>
          <w:b/>
          <w:i w:val="false"/>
          <w:caps w:val="false"/>
          <w:smallCaps w:val="false"/>
          <w:sz w:val="20"/>
        </w:rPr>
        <w:t>NEWGENIVF GROUP LIMITED</w:t>
        <w:br/>
        <w:t>NOTES TO THE CONSOLIDATED FINANCIAL STATEMENTS</w:t>
        <w:br/>
        <w:t>FOR THE YEARS ENDED DECEMBER 31, 2025 AND DECEMBER 31, 2024</w:t>
        <w:b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 — ORGANIZATION AND PRINCIPAL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then the listed company was renamed as NewGenIvf Group Limited;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Legacy NewGenIvf, ASCA agreed to waive its termination rights and the right to receive any break-up fee due to Legacy NewGenIvf’s failure to deliver audited financial statements by no later than February 28,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Business Combination was consummated with the Company as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organization chart of the Company and its subsidiaries as of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143750" cy="25717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2571750"/>
                    </a:xfrm>
                    <a:prstGeom prst="rect">
                      <a:avLst/>
                    </a:prstGeom>
                  </pic:spPr>
                </pic:pic>
              </a:graphicData>
            </a:graphic>
          </wp:inline>
        </w:drawing>
      </w: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are detailed in the table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32"/>
        <w:gridCol w:w="90"/>
        <w:gridCol w:w="2338"/>
        <w:gridCol w:w="90"/>
        <w:gridCol w:w="1097"/>
        <w:gridCol w:w="90"/>
        <w:gridCol w:w="3568"/>
      </w:tblGrid>
      <w:tr>
        <w:trPr/>
        <w:tc>
          <w:tcPr>
            <w:tcW w:w="2932"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2338" w:type="dxa"/>
            <w:tcBorders>
              <w:bottom w:val="single" w:sz="12" w:space="0" w:color="000000"/>
            </w:tcBorders>
            <w:vAlign w:val="center"/>
          </w:tcPr>
          <w:p>
            <w:pPr>
              <w:pStyle w:val="TableContents"/>
              <w:bidi w:val="0"/>
              <w:spacing w:before="0" w:after="283"/>
              <w:jc w:val="center"/>
              <w:rPr>
                <w:b/>
                <w:sz w:val="20"/>
              </w:rPr>
            </w:pPr>
            <w:r>
              <w:rPr>
                <w:b/>
                <w:sz w:val="20"/>
              </w:rPr>
              <w:t>Background</w:t>
            </w:r>
          </w:p>
        </w:tc>
        <w:tc>
          <w:tcPr>
            <w:tcW w:w="90" w:type="dxa"/>
            <w:tcBorders/>
            <w:tcMar>
              <w:bottom w:w="0" w:type="dxa"/>
            </w:tcMar>
            <w:vAlign w:val="center"/>
          </w:tcPr>
          <w:p>
            <w:pPr>
              <w:pStyle w:val="TableContents"/>
              <w:bidi w:val="0"/>
              <w:spacing w:before="0" w:after="283"/>
              <w:jc w:val="left"/>
              <w:rPr/>
            </w:pPr>
            <w:r>
              <w:rPr/>
              <w:t> </w:t>
            </w:r>
          </w:p>
        </w:tc>
        <w:tc>
          <w:tcPr>
            <w:tcW w:w="1097" w:type="dxa"/>
            <w:tcBorders>
              <w:bottom w:val="single" w:sz="12" w:space="0" w:color="000000"/>
            </w:tcBorders>
            <w:vAlign w:val="center"/>
          </w:tcPr>
          <w:p>
            <w:pPr>
              <w:pStyle w:val="TableContents"/>
              <w:bidi w:val="0"/>
              <w:spacing w:before="0" w:after="283"/>
              <w:jc w:val="center"/>
              <w:rPr>
                <w:b/>
                <w:sz w:val="20"/>
              </w:rPr>
            </w:pPr>
            <w:r>
              <w:rPr>
                <w:b/>
                <w:sz w:val="20"/>
              </w:rPr>
              <w:t>Ownership %</w:t>
            </w:r>
          </w:p>
        </w:tc>
        <w:tc>
          <w:tcPr>
            <w:tcW w:w="90" w:type="dxa"/>
            <w:tcBorders/>
            <w:tcMar>
              <w:bottom w:w="0" w:type="dxa"/>
            </w:tcMar>
            <w:vAlign w:val="center"/>
          </w:tcPr>
          <w:p>
            <w:pPr>
              <w:pStyle w:val="TableContents"/>
              <w:bidi w:val="0"/>
              <w:spacing w:before="0" w:after="283"/>
              <w:jc w:val="left"/>
              <w:rPr/>
            </w:pPr>
            <w:r>
              <w:rPr/>
              <w:t> </w:t>
            </w:r>
          </w:p>
        </w:tc>
        <w:tc>
          <w:tcPr>
            <w:tcW w:w="3568" w:type="dxa"/>
            <w:tcBorders>
              <w:bottom w:val="single" w:sz="12" w:space="0" w:color="000000"/>
            </w:tcBorders>
            <w:vAlign w:val="center"/>
          </w:tcPr>
          <w:p>
            <w:pPr>
              <w:pStyle w:val="TableContents"/>
              <w:bidi w:val="0"/>
              <w:spacing w:before="0" w:after="283"/>
              <w:ind w:left="0" w:right="0" w:hanging="180"/>
              <w:jc w:val="center"/>
              <w:rPr>
                <w:b/>
                <w:sz w:val="20"/>
              </w:rPr>
            </w:pPr>
            <w:r>
              <w:rPr>
                <w:b/>
                <w:sz w:val="20"/>
              </w:rPr>
              <w:t>Principal activity</w:t>
            </w:r>
          </w:p>
        </w:tc>
      </w:tr>
      <w:tr>
        <w:trPr/>
        <w:tc>
          <w:tcPr>
            <w:tcW w:w="2932" w:type="dxa"/>
            <w:tcBorders/>
            <w:shd w:fill="CCEEFF" w:val="clear"/>
            <w:tcMar>
              <w:bottom w:w="0" w:type="dxa"/>
            </w:tcMar>
            <w:vAlign w:val="center"/>
          </w:tcPr>
          <w:p>
            <w:pPr>
              <w:pStyle w:val="TableContents"/>
              <w:bidi w:val="0"/>
              <w:spacing w:before="0" w:after="283"/>
              <w:jc w:val="left"/>
              <w:rPr>
                <w:sz w:val="20"/>
              </w:rPr>
            </w:pPr>
            <w:r>
              <w:rPr>
                <w:sz w:val="20"/>
              </w:rPr>
              <w:t>NewGenivf Limited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38"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Cayman Islands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16 January, 2019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7"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68"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32" w:type="dxa"/>
            <w:tcBorders/>
            <w:shd w:fill="FFFFFF" w:val="clear"/>
            <w:tcMar>
              <w:bottom w:w="0" w:type="dxa"/>
            </w:tcMar>
            <w:vAlign w:val="center"/>
          </w:tcPr>
          <w:p>
            <w:pPr>
              <w:pStyle w:val="TableContents"/>
              <w:bidi w:val="0"/>
              <w:spacing w:before="0" w:after="283"/>
              <w:jc w:val="left"/>
              <w:rPr>
                <w:sz w:val="20"/>
              </w:rPr>
            </w:pPr>
            <w:r>
              <w:rPr>
                <w:sz w:val="20"/>
              </w:rPr>
              <w:t>FFPGS (HK) Limited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38"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December 19, 2019</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7"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3568"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Marketing and administrative services</w:t>
            </w:r>
          </w:p>
        </w:tc>
      </w:tr>
      <w:tr>
        <w:trPr/>
        <w:tc>
          <w:tcPr>
            <w:tcW w:w="2932" w:type="dxa"/>
            <w:tcBorders/>
            <w:shd w:fill="CCEEFF" w:val="clear"/>
            <w:tcMar>
              <w:bottom w:w="0" w:type="dxa"/>
            </w:tcMar>
            <w:vAlign w:val="center"/>
          </w:tcPr>
          <w:p>
            <w:pPr>
              <w:pStyle w:val="TableContents"/>
              <w:bidi w:val="0"/>
              <w:spacing w:before="0" w:after="283"/>
              <w:jc w:val="left"/>
              <w:rPr>
                <w:sz w:val="20"/>
              </w:rPr>
            </w:pPr>
            <w:r>
              <w:rPr>
                <w:sz w:val="20"/>
              </w:rPr>
              <w:t>Well Image Limited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38" w:type="dxa"/>
            <w:tcBorders/>
            <w:shd w:fill="CCEEFF" w:val="clear"/>
            <w:tcMar>
              <w:bottom w:w="0"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July 11, 2008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7"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68"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32" w:type="dxa"/>
            <w:tcBorders/>
            <w:shd w:fill="FFFFFF" w:val="clear"/>
            <w:tcMar>
              <w:bottom w:w="0" w:type="dxa"/>
            </w:tcMar>
            <w:vAlign w:val="center"/>
          </w:tcPr>
          <w:p>
            <w:pPr>
              <w:pStyle w:val="TableContents"/>
              <w:bidi w:val="0"/>
              <w:spacing w:before="0" w:after="283"/>
              <w:jc w:val="left"/>
              <w:rPr>
                <w:sz w:val="20"/>
              </w:rPr>
            </w:pPr>
            <w:r>
              <w:rPr>
                <w:sz w:val="20"/>
              </w:rPr>
              <w:t>Med Holdings Limited (“Med Holdings”) (Note)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38"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Thailand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21, 2015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7" w:type="dxa"/>
            <w:tcBorders/>
            <w:shd w:fill="FFFFFF" w:val="clear"/>
            <w:tcMar>
              <w:bottom w:w="0" w:type="dxa"/>
            </w:tcMar>
            <w:vAlign w:val="center"/>
          </w:tcPr>
          <w:p>
            <w:pPr>
              <w:pStyle w:val="TableContents"/>
              <w:bidi w:val="0"/>
              <w:spacing w:before="0" w:after="283"/>
              <w:jc w:val="center"/>
              <w:rPr>
                <w:sz w:val="20"/>
              </w:rPr>
            </w:pPr>
            <w:r>
              <w:rPr>
                <w:sz w:val="20"/>
              </w:rPr>
              <w:t>49%*</w:t>
            </w:r>
          </w:p>
        </w:tc>
        <w:tc>
          <w:tcPr>
            <w:tcW w:w="90" w:type="dxa"/>
            <w:tcBorders/>
            <w:shd w:fill="FFFFFF" w:val="clear"/>
            <w:tcMar>
              <w:bottom w:w="0" w:type="dxa"/>
            </w:tcMar>
            <w:vAlign w:val="center"/>
          </w:tcPr>
          <w:p>
            <w:pPr>
              <w:pStyle w:val="TableContents"/>
              <w:bidi w:val="0"/>
              <w:spacing w:before="0" w:after="283"/>
              <w:jc w:val="left"/>
              <w:rPr/>
            </w:pPr>
            <w:r>
              <w:rPr/>
              <w:t> </w:t>
            </w:r>
          </w:p>
        </w:tc>
        <w:tc>
          <w:tcPr>
            <w:tcW w:w="3568"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32" w:type="dxa"/>
            <w:tcBorders/>
            <w:shd w:fill="CCEEFF" w:val="clear"/>
            <w:tcMar>
              <w:bottom w:w="0" w:type="dxa"/>
            </w:tcMar>
            <w:vAlign w:val="center"/>
          </w:tcPr>
          <w:p>
            <w:pPr>
              <w:pStyle w:val="TableContents"/>
              <w:bidi w:val="0"/>
              <w:spacing w:before="0" w:after="283"/>
              <w:jc w:val="left"/>
              <w:rPr>
                <w:sz w:val="20"/>
              </w:rPr>
            </w:pPr>
            <w:r>
              <w:rPr>
                <w:sz w:val="20"/>
              </w:rPr>
              <w:t>First Fertility PGS Center Limited (“FFC”) (Note)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38"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Thailand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March 6, 2014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7" w:type="dxa"/>
            <w:tcBorders/>
            <w:shd w:fill="CCEEFF" w:val="clear"/>
            <w:tcMar>
              <w:bottom w:w="0" w:type="dxa"/>
            </w:tcMar>
            <w:vAlign w:val="center"/>
          </w:tcPr>
          <w:p>
            <w:pPr>
              <w:pStyle w:val="TableContents"/>
              <w:bidi w:val="0"/>
              <w:spacing w:before="0" w:after="283"/>
              <w:jc w:val="center"/>
              <w:rPr>
                <w:sz w:val="20"/>
              </w:rPr>
            </w:pPr>
            <w:r>
              <w:rPr>
                <w:sz w:val="20"/>
              </w:rPr>
              <w:t>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68"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Provision of IVF treatment</w:t>
            </w:r>
          </w:p>
        </w:tc>
      </w:tr>
      <w:tr>
        <w:trPr/>
        <w:tc>
          <w:tcPr>
            <w:tcW w:w="2932" w:type="dxa"/>
            <w:tcBorders/>
            <w:shd w:fill="FFFFFF" w:val="clear"/>
            <w:tcMar>
              <w:bottom w:w="0" w:type="dxa"/>
            </w:tcMar>
            <w:vAlign w:val="center"/>
          </w:tcPr>
          <w:p>
            <w:pPr>
              <w:pStyle w:val="TableContents"/>
              <w:bidi w:val="0"/>
              <w:spacing w:before="0" w:after="283"/>
              <w:jc w:val="left"/>
              <w:rPr>
                <w:sz w:val="20"/>
              </w:rPr>
            </w:pPr>
            <w:r>
              <w:rPr>
                <w:sz w:val="20"/>
              </w:rPr>
              <w:t>First Fertility Phnom Penh Limited (“FFPP”)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38"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Cambodia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August 10, 2015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7"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3568"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Provision of IVF treatment</w:t>
            </w:r>
          </w:p>
        </w:tc>
      </w:tr>
      <w:tr>
        <w:trPr/>
        <w:tc>
          <w:tcPr>
            <w:tcW w:w="2932" w:type="dxa"/>
            <w:tcBorders/>
            <w:shd w:fill="CCEEFF" w:val="clear"/>
            <w:tcMar>
              <w:bottom w:w="0" w:type="dxa"/>
            </w:tcMar>
            <w:vAlign w:val="center"/>
          </w:tcPr>
          <w:p>
            <w:pPr>
              <w:pStyle w:val="TableContents"/>
              <w:bidi w:val="0"/>
              <w:spacing w:before="0" w:after="283"/>
              <w:jc w:val="left"/>
              <w:rPr>
                <w:sz w:val="20"/>
              </w:rPr>
            </w:pPr>
            <w:r>
              <w:rPr>
                <w:sz w:val="20"/>
              </w:rPr>
              <w:t>Bi Clinic Ltd (“FFBi”)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38"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Kyrgyzstan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December 16, 2021</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Acquired on December 17,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7"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68"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Provision of IVF treatment, surrogacy and ancillary caring services</w:t>
            </w:r>
          </w:p>
        </w:tc>
      </w:tr>
      <w:tr>
        <w:trPr/>
        <w:tc>
          <w:tcPr>
            <w:tcW w:w="2932" w:type="dxa"/>
            <w:tcBorders/>
            <w:shd w:fill="FFFFFF" w:val="clear"/>
            <w:tcMar>
              <w:bottom w:w="0" w:type="dxa"/>
            </w:tcMar>
            <w:vAlign w:val="center"/>
          </w:tcPr>
          <w:p>
            <w:pPr>
              <w:pStyle w:val="TableContents"/>
              <w:bidi w:val="0"/>
              <w:spacing w:before="0" w:after="283"/>
              <w:jc w:val="left"/>
              <w:rPr>
                <w:sz w:val="20"/>
              </w:rPr>
            </w:pPr>
            <w:r>
              <w:rPr>
                <w:sz w:val="20"/>
              </w:rPr>
              <w:t>MicroSort Lab Services LLC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38"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US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June 16, 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7"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3568"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Specialized applications, in provision of IVF treatment</w:t>
            </w:r>
          </w:p>
        </w:tc>
      </w:tr>
      <w:tr>
        <w:trPr/>
        <w:tc>
          <w:tcPr>
            <w:tcW w:w="2932" w:type="dxa"/>
            <w:tcBorders/>
            <w:shd w:fill="CCEEFF" w:val="clear"/>
            <w:tcMar>
              <w:bottom w:w="0" w:type="dxa"/>
            </w:tcMar>
            <w:vAlign w:val="center"/>
          </w:tcPr>
          <w:p>
            <w:pPr>
              <w:pStyle w:val="TableContents"/>
              <w:bidi w:val="0"/>
              <w:spacing w:before="0" w:after="283"/>
              <w:jc w:val="left"/>
              <w:rPr>
                <w:sz w:val="20"/>
              </w:rPr>
            </w:pPr>
            <w:r>
              <w:rPr>
                <w:sz w:val="20"/>
              </w:rPr>
              <w:t>NewGenDigital Limited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38"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21,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7"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68"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32" w:type="dxa"/>
            <w:tcBorders/>
            <w:shd w:fill="FFFFFF" w:val="clear"/>
            <w:tcMar>
              <w:bottom w:w="0" w:type="dxa"/>
            </w:tcMar>
            <w:vAlign w:val="center"/>
          </w:tcPr>
          <w:p>
            <w:pPr>
              <w:pStyle w:val="TableContents"/>
              <w:bidi w:val="0"/>
              <w:spacing w:before="0" w:after="283"/>
              <w:jc w:val="left"/>
              <w:rPr>
                <w:sz w:val="20"/>
              </w:rPr>
            </w:pPr>
            <w:r>
              <w:rPr>
                <w:sz w:val="20"/>
              </w:rPr>
              <w:t>NewGenProperty Limited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38"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September 18, 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7"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3568"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32" w:type="dxa"/>
            <w:tcBorders/>
            <w:shd w:fill="CCEEFF" w:val="clear"/>
            <w:tcMar>
              <w:bottom w:w="0" w:type="dxa"/>
            </w:tcMar>
            <w:vAlign w:val="center"/>
          </w:tcPr>
          <w:p>
            <w:pPr>
              <w:pStyle w:val="TableContents"/>
              <w:bidi w:val="0"/>
              <w:spacing w:before="0" w:after="283"/>
              <w:jc w:val="left"/>
              <w:rPr>
                <w:sz w:val="20"/>
              </w:rPr>
            </w:pPr>
            <w:r>
              <w:rPr>
                <w:sz w:val="20"/>
              </w:rPr>
              <w:t>HyFi Innovations Limited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38"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October 20,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7"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68" w:type="dxa"/>
            <w:tcBorders/>
            <w:shd w:fill="CCEEFF" w:val="clear"/>
            <w:tcMar>
              <w:bottom w:w="0" w:type="dxa"/>
            </w:tcMar>
            <w:vAlign w:val="center"/>
          </w:tcPr>
          <w:p>
            <w:pPr>
              <w:pStyle w:val="TableContents"/>
              <w:bidi w:val="0"/>
              <w:spacing w:before="0" w:after="283"/>
              <w:jc w:val="center"/>
              <w:rPr>
                <w:sz w:val="20"/>
              </w:rPr>
            </w:pPr>
            <w:r>
              <w:rPr>
                <w:sz w:val="20"/>
              </w:rPr>
              <w:t>Tokenization Service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6"/>
        <w:gridCol w:w="90"/>
        <w:gridCol w:w="2359"/>
        <w:gridCol w:w="90"/>
        <w:gridCol w:w="465"/>
        <w:gridCol w:w="90"/>
        <w:gridCol w:w="1435"/>
      </w:tblGrid>
      <w:tr>
        <w:trPr/>
        <w:tc>
          <w:tcPr>
            <w:tcW w:w="10205" w:type="dxa"/>
            <w:gridSpan w:val="7"/>
            <w:tcBorders/>
            <w:shd w:fill="FFFFFF" w:val="clear"/>
            <w:vAlign w:val="center"/>
          </w:tcPr>
          <w:p>
            <w:pPr>
              <w:pStyle w:val="TableContents"/>
              <w:bidi w:val="0"/>
              <w:spacing w:before="0" w:after="283"/>
              <w:jc w:val="left"/>
              <w:rPr>
                <w:sz w:val="20"/>
              </w:rPr>
            </w:pPr>
            <w:r>
              <w:rPr>
                <w:sz w:val="20"/>
              </w:rPr>
              <w:t>Incorporated subsequent to the financial year end:</w:t>
            </w:r>
          </w:p>
        </w:tc>
      </w:tr>
      <w:tr>
        <w:trPr/>
        <w:tc>
          <w:tcPr>
            <w:tcW w:w="10205" w:type="dxa"/>
            <w:gridSpan w:val="7"/>
            <w:tcBorders/>
            <w:shd w:fill="FFFFFF" w:val="clear"/>
            <w:vAlign w:val="center"/>
          </w:tcPr>
          <w:p>
            <w:pPr>
              <w:pStyle w:val="TableContents"/>
              <w:bidi w:val="0"/>
              <w:spacing w:before="0" w:after="283"/>
              <w:ind w:left="0" w:right="0" w:hanging="180"/>
              <w:jc w:val="left"/>
              <w:rPr/>
            </w:pPr>
            <w:r>
              <w:rPr/>
              <w:t> </w:t>
            </w:r>
          </w:p>
        </w:tc>
      </w:tr>
      <w:tr>
        <w:trPr/>
        <w:tc>
          <w:tcPr>
            <w:tcW w:w="5676" w:type="dxa"/>
            <w:tcBorders/>
            <w:shd w:fill="CCEEFF" w:val="clear"/>
            <w:vAlign w:val="center"/>
          </w:tcPr>
          <w:p>
            <w:pPr>
              <w:pStyle w:val="TableContents"/>
              <w:bidi w:val="0"/>
              <w:spacing w:before="0" w:after="283"/>
              <w:jc w:val="left"/>
              <w:rPr>
                <w:sz w:val="20"/>
              </w:rPr>
            </w:pPr>
            <w:r>
              <w:rPr>
                <w:sz w:val="20"/>
              </w:rPr>
              <w:t>NewGenBiz Limited  </w:t>
            </w:r>
          </w:p>
        </w:tc>
        <w:tc>
          <w:tcPr>
            <w:tcW w:w="9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13, 2026</w:t>
            </w:r>
          </w:p>
        </w:tc>
        <w:tc>
          <w:tcPr>
            <w:tcW w:w="90"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center"/>
              <w:rPr>
                <w:sz w:val="20"/>
              </w:rPr>
            </w:pPr>
            <w:r>
              <w:rPr>
                <w:sz w:val="20"/>
              </w:rPr>
              <w:t>100%</w:t>
            </w:r>
          </w:p>
        </w:tc>
        <w:tc>
          <w:tcPr>
            <w:tcW w:w="90"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ind w:left="0" w:right="0" w:hanging="180"/>
              <w:jc w:val="center"/>
              <w:rPr>
                <w:sz w:val="20"/>
              </w:rPr>
            </w:pPr>
            <w:r>
              <w:rPr>
                <w:sz w:val="20"/>
              </w:rPr>
              <w:t>Investment Holding</w:t>
            </w:r>
          </w:p>
        </w:tc>
      </w:tr>
      <w:tr>
        <w:trPr/>
        <w:tc>
          <w:tcPr>
            <w:tcW w:w="5676" w:type="dxa"/>
            <w:tcBorders/>
            <w:shd w:fill="FFFFFF" w:val="clear"/>
            <w:vAlign w:val="center"/>
          </w:tcPr>
          <w:p>
            <w:pPr>
              <w:pStyle w:val="TableContents"/>
              <w:bidi w:val="0"/>
              <w:spacing w:before="0" w:after="283"/>
              <w:jc w:val="left"/>
              <w:rPr>
                <w:sz w:val="20"/>
              </w:rPr>
            </w:pPr>
            <w:r>
              <w:rPr>
                <w:sz w:val="20"/>
              </w:rPr>
              <w:t>NewGenOman Limited  </w:t>
            </w:r>
          </w:p>
        </w:tc>
        <w:tc>
          <w:tcPr>
            <w:tcW w:w="90" w:type="dxa"/>
            <w:tcBorders/>
            <w:shd w:fill="FFFFFF" w:val="clear"/>
            <w:vAlign w:val="center"/>
          </w:tcPr>
          <w:p>
            <w:pPr>
              <w:pStyle w:val="TableContents"/>
              <w:bidi w:val="0"/>
              <w:spacing w:before="0" w:after="283"/>
              <w:jc w:val="left"/>
              <w:rPr/>
            </w:pPr>
            <w:r>
              <w:rPr/>
              <w:t> </w:t>
            </w:r>
          </w:p>
        </w:tc>
        <w:tc>
          <w:tcPr>
            <w:tcW w:w="2359" w:type="dxa"/>
            <w:tcBorders/>
            <w:shd w:fill="FFFF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February 2, 2026</w:t>
            </w:r>
          </w:p>
        </w:tc>
        <w:tc>
          <w:tcPr>
            <w:tcW w:w="9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center"/>
              <w:rPr>
                <w:sz w:val="20"/>
              </w:rPr>
            </w:pPr>
            <w:r>
              <w:rPr>
                <w:sz w:val="20"/>
              </w:rPr>
              <w:t>100%</w:t>
            </w:r>
          </w:p>
        </w:tc>
        <w:tc>
          <w:tcPr>
            <w:tcW w:w="90"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ind w:left="0" w:right="0" w:hanging="180"/>
              <w:jc w:val="center"/>
              <w:rPr>
                <w:sz w:val="20"/>
              </w:rPr>
            </w:pPr>
            <w:r>
              <w:rPr>
                <w:sz w:val="20"/>
              </w:rPr>
              <w:t>Investment Holding</w:t>
            </w:r>
          </w:p>
        </w:tc>
      </w:tr>
      <w:tr>
        <w:trPr/>
        <w:tc>
          <w:tcPr>
            <w:tcW w:w="5676" w:type="dxa"/>
            <w:tcBorders/>
            <w:shd w:fill="CCEEFF" w:val="clear"/>
            <w:vAlign w:val="center"/>
          </w:tcPr>
          <w:p>
            <w:pPr>
              <w:pStyle w:val="TableContents"/>
              <w:bidi w:val="0"/>
              <w:spacing w:before="0" w:after="283"/>
              <w:jc w:val="left"/>
              <w:rPr>
                <w:sz w:val="20"/>
              </w:rPr>
            </w:pPr>
            <w:r>
              <w:rPr>
                <w:sz w:val="20"/>
              </w:rPr>
              <w:t>Alfred Siu Charitable Foundation Limited  </w:t>
            </w:r>
          </w:p>
        </w:tc>
        <w:tc>
          <w:tcPr>
            <w:tcW w:w="9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Foundation</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February 27, 2026</w:t>
            </w:r>
          </w:p>
        </w:tc>
        <w:tc>
          <w:tcPr>
            <w:tcW w:w="90"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center"/>
              <w:rPr>
                <w:sz w:val="20"/>
              </w:rPr>
            </w:pPr>
            <w:r>
              <w:rPr>
                <w:sz w:val="20"/>
              </w:rPr>
              <w:t>100%</w:t>
            </w:r>
          </w:p>
        </w:tc>
        <w:tc>
          <w:tcPr>
            <w:tcW w:w="90"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center"/>
              <w:rPr>
                <w:sz w:val="20"/>
              </w:rPr>
            </w:pPr>
            <w:r>
              <w:rPr>
                <w:sz w:val="20"/>
              </w:rPr>
              <w:t>Charitable activities</w:t>
            </w:r>
          </w:p>
        </w:tc>
      </w:tr>
      <w:tr>
        <w:trPr/>
        <w:tc>
          <w:tcPr>
            <w:tcW w:w="8125" w:type="dxa"/>
            <w:gridSpan w:val="3"/>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left"/>
              <w:rPr/>
            </w:pPr>
            <w:r>
              <w:rPr/>
              <w:t> </w:t>
            </w:r>
          </w:p>
        </w:tc>
      </w:tr>
      <w:tr>
        <w:trPr/>
        <w:tc>
          <w:tcPr>
            <w:tcW w:w="10205" w:type="dxa"/>
            <w:gridSpan w:val="7"/>
            <w:tcBorders/>
            <w:shd w:fill="FFFFFF" w:val="clear"/>
            <w:vAlign w:val="center"/>
          </w:tcPr>
          <w:p>
            <w:pPr>
              <w:pStyle w:val="TableContents"/>
              <w:bidi w:val="0"/>
              <w:spacing w:before="0" w:after="283"/>
              <w:jc w:val="left"/>
              <w:rPr>
                <w:sz w:val="20"/>
              </w:rPr>
            </w:pPr>
            <w:r>
              <w:rPr>
                <w:sz w:val="20"/>
              </w:rPr>
              <w:t>The following subsidiary was disposed during the year</w:t>
            </w:r>
          </w:p>
        </w:tc>
      </w:tr>
      <w:tr>
        <w:trPr/>
        <w:tc>
          <w:tcPr>
            <w:tcW w:w="10205" w:type="dxa"/>
            <w:gridSpan w:val="7"/>
            <w:tcBorders/>
            <w:shd w:fill="FFFFFF" w:val="clear"/>
            <w:vAlign w:val="center"/>
          </w:tcPr>
          <w:p>
            <w:pPr>
              <w:pStyle w:val="TableContents"/>
              <w:bidi w:val="0"/>
              <w:spacing w:before="0" w:after="283"/>
              <w:ind w:left="0" w:right="0" w:hanging="180"/>
              <w:jc w:val="left"/>
              <w:rPr/>
            </w:pPr>
            <w:r>
              <w:rPr/>
              <w:t> </w:t>
            </w:r>
          </w:p>
        </w:tc>
      </w:tr>
      <w:tr>
        <w:trPr/>
        <w:tc>
          <w:tcPr>
            <w:tcW w:w="5676" w:type="dxa"/>
            <w:tcBorders/>
            <w:shd w:fill="CCEEFF" w:val="clear"/>
            <w:vAlign w:val="center"/>
          </w:tcPr>
          <w:p>
            <w:pPr>
              <w:pStyle w:val="TableContents"/>
              <w:bidi w:val="0"/>
              <w:spacing w:before="0" w:after="283"/>
              <w:jc w:val="left"/>
              <w:rPr/>
            </w:pPr>
            <w:r>
              <w:rPr>
                <w:rFonts w:eastAsia="Times New Roman;Times;Serif"/>
                <w:sz w:val="20"/>
              </w:rPr>
              <w:t>深圳前海豐泰仁匯健康科技有限公司</w:t>
            </w:r>
            <w:r>
              <w:rPr/>
              <w:t xml:space="preserve"> </w:t>
            </w:r>
            <w:r>
              <w:rPr>
                <w:sz w:val="20"/>
              </w:rPr>
              <w:t>(Shenzhen Qianhai Fengtai Renhui Health Technology Co., Ltd.)</w:t>
            </w:r>
          </w:p>
        </w:tc>
        <w:tc>
          <w:tcPr>
            <w:tcW w:w="9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PRC China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Disposed on July 29, 2025  </w:t>
            </w:r>
          </w:p>
        </w:tc>
        <w:tc>
          <w:tcPr>
            <w:tcW w:w="90"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center"/>
              <w:rPr>
                <w:sz w:val="20"/>
              </w:rPr>
            </w:pPr>
            <w:r>
              <w:rPr>
                <w:sz w:val="20"/>
              </w:rPr>
              <w:t>100%</w:t>
            </w:r>
          </w:p>
        </w:tc>
        <w:tc>
          <w:tcPr>
            <w:tcW w:w="90"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center"/>
              <w:rPr>
                <w:sz w:val="20"/>
              </w:rPr>
            </w:pPr>
            <w:r>
              <w:rPr>
                <w:sz w:val="20"/>
              </w:rPr>
              <w:t>Marketing services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w:t>
            </w:r>
          </w:p>
        </w:tc>
        <w:tc>
          <w:tcPr>
            <w:tcW w:w="10035" w:type="dxa"/>
            <w:tcBorders/>
            <w:vAlign w:val="center"/>
          </w:tcPr>
          <w:p>
            <w:pPr>
              <w:pStyle w:val="TableContents"/>
              <w:bidi w:val="0"/>
              <w:spacing w:before="0" w:after="283"/>
              <w:jc w:val="both"/>
              <w:rPr>
                <w:sz w:val="20"/>
              </w:rPr>
            </w:pPr>
            <w:r>
              <w:rPr>
                <w:sz w:val="20"/>
              </w:rPr>
              <w:t>Where less than 50% of the equity of an investee is held, the Company (through its subsidiaries) holds significantly more voting rights than any other vote holder or organized company of vote holders. An assessment has been made, taking into account all the factors relevant to the relationship with the investee, to ascertain control has been established and the investee should be consolidated as a subsidiary of the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Thailand’s Foreign Business Act (the “FBA”), the majority shareholdings of limited company incorporated in Thailand is required to be owned by Thai nationals.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reference to the capital structure and voting rights structure of ordinary shares and preference shares (the “Share Structure”) of Med Holdings and FFC, all the preference share capital shall be owned by a Thai national. No preference shares, however, have been issued to date. The ordinary shares and preference shares have the same rights and status in all respects except for the distribution of profits by way of dividends with details as follow:</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18"/>
        <w:gridCol w:w="9882"/>
      </w:tblGrid>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sz w:val="20"/>
              </w:rPr>
            </w:pPr>
            <w:r>
              <w:rPr>
                <w:sz w:val="20"/>
              </w:rPr>
              <w:t>(a)</w:t>
            </w:r>
          </w:p>
        </w:tc>
        <w:tc>
          <w:tcPr>
            <w:tcW w:w="9882" w:type="dxa"/>
            <w:tcBorders/>
            <w:vAlign w:val="center"/>
          </w:tcPr>
          <w:p>
            <w:pPr>
              <w:pStyle w:val="TableContents"/>
              <w:bidi w:val="0"/>
              <w:spacing w:before="0" w:after="283"/>
              <w:jc w:val="both"/>
              <w:rPr>
                <w:sz w:val="20"/>
              </w:rPr>
            </w:pPr>
            <w:r>
              <w:rPr>
                <w:sz w:val="20"/>
              </w:rPr>
              <w:t>Dividends from profits of Med Holdings and FFC shall be allocated to the holders of preference shares at a rate fixed from time to time by the board of directors prior to allocating to the holders of ordinary shares. In any event, such dividends to be allocated to the holders of preference shares shall not exceed 15% of the total amount of dividends declared from time to time;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54"/>
        <w:gridCol w:w="9846"/>
      </w:tblGrid>
      <w:tr>
        <w:trPr/>
        <w:tc>
          <w:tcPr>
            <w:tcW w:w="10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sz w:val="20"/>
              </w:rPr>
            </w:pPr>
            <w:r>
              <w:rPr>
                <w:sz w:val="20"/>
              </w:rPr>
              <w:t>(b)</w:t>
            </w:r>
          </w:p>
        </w:tc>
        <w:tc>
          <w:tcPr>
            <w:tcW w:w="9846" w:type="dxa"/>
            <w:tcBorders/>
            <w:vAlign w:val="center"/>
          </w:tcPr>
          <w:p>
            <w:pPr>
              <w:pStyle w:val="TableContents"/>
              <w:bidi w:val="0"/>
              <w:spacing w:before="0" w:after="283"/>
              <w:jc w:val="both"/>
              <w:rPr>
                <w:sz w:val="20"/>
              </w:rPr>
            </w:pPr>
            <w:r>
              <w:rPr>
                <w:sz w:val="20"/>
              </w:rPr>
              <w:t>After allocation of dividends as per (a) above, the rest of the dividends shall be distributed equally amongst the holders of ordinary shares according to their shareholding ratio;</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35"/>
        <w:gridCol w:w="9865"/>
      </w:tblGrid>
      <w:tr>
        <w:trPr/>
        <w:tc>
          <w:tcPr>
            <w:tcW w:w="10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20"/>
              </w:rPr>
            </w:pPr>
            <w:r>
              <w:rPr>
                <w:sz w:val="20"/>
              </w:rPr>
              <w:t>(c)</w:t>
            </w:r>
          </w:p>
        </w:tc>
        <w:tc>
          <w:tcPr>
            <w:tcW w:w="9865" w:type="dxa"/>
            <w:tcBorders/>
            <w:vAlign w:val="center"/>
          </w:tcPr>
          <w:p>
            <w:pPr>
              <w:pStyle w:val="TableContents"/>
              <w:bidi w:val="0"/>
              <w:spacing w:before="0" w:after="283"/>
              <w:jc w:val="both"/>
              <w:rPr>
                <w:sz w:val="20"/>
              </w:rPr>
            </w:pPr>
            <w:r>
              <w:rPr>
                <w:sz w:val="20"/>
              </w:rPr>
              <w:t>The holders of preferred shares shall be entitled to dividends only in respect of the years for which the Company has declared a dividend payment, and there shall be no cumulative dividends;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52"/>
        <w:gridCol w:w="9848"/>
      </w:tblGrid>
      <w:tr>
        <w:trPr/>
        <w:tc>
          <w:tcPr>
            <w:tcW w:w="10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sz w:val="20"/>
              </w:rPr>
            </w:pPr>
            <w:r>
              <w:rPr>
                <w:sz w:val="20"/>
              </w:rPr>
              <w:t>(d)</w:t>
            </w:r>
          </w:p>
        </w:tc>
        <w:tc>
          <w:tcPr>
            <w:tcW w:w="9848" w:type="dxa"/>
            <w:tcBorders/>
            <w:vAlign w:val="center"/>
          </w:tcPr>
          <w:p>
            <w:pPr>
              <w:pStyle w:val="TableContents"/>
              <w:bidi w:val="0"/>
              <w:spacing w:before="0" w:after="283"/>
              <w:jc w:val="both"/>
              <w:rPr>
                <w:sz w:val="20"/>
              </w:rPr>
            </w:pPr>
            <w:r>
              <w:rPr>
                <w:sz w:val="20"/>
              </w:rPr>
              <w:t>Dividends allocated to the holders of preferred shares in each year shall be limited at the rate as stated in (a) only. No additional dividends shall be paid to the holders of preferred shares.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management’s judgement on the Shares Structure, as the Company is able to exercise majority voting power in any board meeting, the Company accounts for Med Holdings and FFC as subsidiaries on the ground that the Company is able to control Med Holdings and FFC by exercising its majority voting power in any board meetings.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2024, the Company entered into a non-binding term sheet (the “Non-Binding Term Sheet”) with European Wellness Investment Holdings Limited (“EWIHL”) for (i) the potential acquisition of the entire equity interest of EWIHL by the Company for a consideration of US$268,000,000 to be payable by issuing 53,600,000 ordinary shares of the of the Company to the shareholder(s) of EWIHL or its associate and (ii) the fund-raising activity by the Company from public or private shareholders, and in a form mutually acceptable to the parties, including structured equity investment for up to US$30 million. On December 11, 2024, NewGenIvf announced its entry into a binding term sheet with European Wellness Investment Holdings Limited (“EWIHL”) for the above proposed reverse merger, completion of which was subject to, among other conditions, the completion of due diligence, the negotiation of a definitive agreement, and obtaining adequate financing</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On March 31, 2025, the Company terminated the binding term sheet with healthcare company EWIHL regarding their previously announced reverse merger transaction on the grounds of non fulfilment of certain criteria as contained in the term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deficiency letter from the Listing Qualifications Department of The Nasdaq Stock Market LLC (“Nasdaq”) notifying the Company of its non-compliance with two (2) listing requirements for continued listing on Nasdaq pursuant to Nasdaq Listing Rules. On November 21, 2024, a delisting notice was received from the continued non-compliance. The Company had filed to appeal the delisting determination and undertook several strategic actions to regain compliance with Nasdaq’s listing require. On February 27, 2025, the Company received approval for the transfer of the Company’s securities from the Nasdaq Global Market to the Nasdaq Capital Market and on March 10, 2025 met its compliance with the listing requirements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2024, the Company announced the execution of a non-binding term sheet (the “Term Sheet”) regarding a proposed reverse merger (the “Proposed Transaction”) with pharmaceutical company COVIRIX Medical Pty Ltd (“COVIRIX”). The consideration was to be settled by way of the issuance of issue 102,890,000 of its ordinary shares to the shareholder(s) of COVIRIX or their respective nominees (the “COVIRIX Shareholders”) in exchange for 100% equity interest of COVIRIX, at a deemed price per share of US$6, representing an aggregate amount of US$617,340,000. Simultaneously, it is proposed that COVIRIX undertakes to introduce investors to raise US$6 million at US$6 per share for NIVF, in a form mutually acceptable to both NewGen and COVIRIX. Following stockholder approval of the Proposed Transaction, COVIRIX Shareholders are expected to hold approximately 85.8% equity interest in NewGen. However, on September 21, 2024, COVIRIX withdrew from the Proposed Transaction, as such the Proposed Transaction was terminated with no cost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2024, the Company entered into a Securities Purchase Agreement with certain investors named therein (collectively, the “Buyers”), pursuant to which, amongst other things: (i) the Company agreed to sell, at an initial closing with JAK Opportunities VI LLC (“JAK” and such initial closing, the “Initial Closing”), pursuant to which the Company agreed to sell to JAK (a) a senior convertible note (the “Initial Note”) in the aggregate original principal amount not exceeding $1,100,000), and which terms are further set forth below under the subheading “(ii) Initial Closing with JAK”), (b) a warrant to purchase 1,325,301 Class A Ordinary Shares of the Company, no par value (“Class A Shares” and such warrant, the Series A Warrant), and (c) a warrant to purchase 180,722 Class B Ordinary Shares of the Company, no par value (“Class B Shares” and such warrant, the Series B Warrant, and the Series B Warrants, together with the Series A Warrants, the “Warrants”); and (ii) the Company may require each Buyer (or each Buyer may require the Company, as applicable) to participate in the sale of (a) one or more additional convertible notes (which aggregate original principal amount for all additional convertible notes shall not exceed $9,500,000) (the “Additional Notes,” and, together with the Initial Note,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the Company and JAK consummated the Initial Closing. The Initial Note sold to JAK in connection with the Securities Purchase Agreement bears an interest rate of 14.75% per annum and is convertible into the Company’s Class A Shares as follows: the Conversion Amount (as defined below) into validly issued, fully paid and non-assessable Class A at the Conversion Rate determined by dividing the aggregate of the principal sum plus the interest rates (including late interest charges, if any) and the Make-Whole Amount, if any, by conversion price of $0.83.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the Company also sold to JAK a Series A Warrant to purchase 1,325,301 Class A Shares and a Series B Warrant to purchase 180,722 Class B Shares subject to Reverse Stock Split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the Securities Purchase Agreement, the Company entered into amendment and exchange agreements with certain holders of its convertible promissory notes (the “Existing Notes” and each of such amendment and exchange agreements, “Amendment and Exchange Agreement”), pursuant to which the Company will exchange the Existing Notes by issuing, among other things, (i) senior convertible notes in the aggregate principal amount of $2,700,000 (the “Exchange Notes”) and (b) a series of warrants to initially acquire up to a certain number of ordinary shares to the holders of the Existing Notes set forth therein or in the Amendment and Exchange Agreement (the “Exchange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2024, the Company consummated the second tranche of its debt financing under the terms of the Securities Purchase Agreement. At the closing of the second tranche, the Company sold to JAK Opportunities VI LLC (“JAK”) a senior convertible note (the “Note”) in the principal amount of $500,000.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2024, the Company consummated the third tranche of its debt financing under the terms of the Securities Purchase Agreement (“SPA”) referenced in the current report on Form 6-K filed with the United States Securities and Exchange Commission (the “SEC”) on August 16, 2024. The Form 6-K filed with the SEC on August 16, 2024 is incorporated by reference herein. Pursuant to the terms of the SPA, the Company may elect at the second additional mandatory closing to sell and the institutional investor party to the SPA shall be required to purchases, subject to certain conditions, an additional note (“Second Additional Mandatory Note”) in the principal amount of $1,500,000, after the effective date of the Registration Statement (as defined in the SPA). The sale of the Second Additional Mandatory Note resulted in $1,395,000 of gross proceeds to the company before fees and expenses. The Notes bears an interest rate of 14.75% per annum and may be adjustable from time to time pursuant to its terms, with maturity at the 4.5 years anniversary of the date of issuance, subject to extension at the option of the holders in certain circumstances. The Second Additional Note are convertible at any time, at an initial conversion price of $0.658.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2024, the Company entered into a binding term sheet (the “Term Sheet”) with White Lion Capital, LLC, (“White Lion”) a California-based institutional investor focused on high-growth, early-stage public companies, setting out the principal terms and conditions for a $100 million equity line of credit, expandable to $500 million. Pursuant to the Term Sheet, NewGen will have the option, but not the obligation, to sell to White Lion up to $100.0 million in shares of common stock over an initial 36-month period, with the potential to increase to $300.0 million upon substantial M&amp;A or merger activity, and further to $500.0 million after $250.0 million has been 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the Company completed its acquisition of the MicroSort business from Genetics &amp; IVF Institute, Inc. (“GIVF”). Pursuant to a Purchase Agreement dated January 21, 2025 between the Company and GIVF (“Purchase Agreement”), the Company purchased all of the Assets (as defined in the Purchase Agreement) and IP Licenses (as defined in the Purchase Agreement) relating to the MicroSort business from GIVF for a total cash consideration of for US$5 million, which was satisfied through a combination of US$750,000 in cash and the issuance of 2,500,000 ordinary shares (as was adjusted to 42 ordinary shares after all the Reverse Stock Splits done as of this Report date at date of completion) at a deemed value of US$1.70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2025, the Company entered into a cooperation agreement with FERTILITY GROUP LLC (“BOBCARE”) to jointly develop fertility services in the Kyrgyzstan market. The collaboration aims to combine NewGen’s technical expertise in fertility treatments with BOBCARE’s market resources in the region. This strategic partnership is anticipated to contribute to NewGen’s market presence over the next three years, improving the competitive position of both parties in the Kyrgyzstan market. Both companies will work together on several initiatives, including enhancing clinical protocols and patient management systems, knowledge exchange between fertility specialists, coordinated marketing and brand-building activities in Kyrgyzstan, and developing specialized fertility treatment options for the regional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Company’s Board approved certain amendments to its Share Incentive Plan of 2024, the awards of which are valid for a period of 10 years from March 28, 2025, whereby the maximum aggregate number of shares with respect to which Awards may be granted under the Plan shall be 1,054,260 Shares (351 ordinary shares as adjusted for reverse stock splits in May 2025, August 2025, December 2025, January 2026 and March 2026) and has been increased in March 2026 by the Board to 454,812 ordinary shares (113,703 ordinary shares as adjusted by reverse stock split in 16 March 2026) of the Company, which may be increased from time to time as determined by the Board or Committee of the Board, in an amount equal to 20% of the then outstanding ordinary shares of the Company at the time of such increase. On May 27, 2026, the Company’s Board approved the replenishment of the Share Incentive Plan such that the maximum aggregate number of ordinary shares with respect to which awards may be granted under the Plan be increased to 20% of the total outstanding ordinary shares, which was 555,584 ordinary shares. Shares may be made available from Shares held in treasury or authorized but unissued shares of the Company not reserved for any other purpose. To date, 113,702 ordinary shares have been awarded under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the Company entered into a new Securities Purchase Agreement (“2025 Securities Purchase Agreement”) with JAK, pursuant to which, amongst other things: (i) the Company agreed to sell, at an initial closing, a senior convertible note in the aggregate original principal amount not exceeding $3,200,000, convertible into Class A Ordinary Shares pursuant to its terms; and (ii) the Company may require JAK (or JAK may require the Company, as applicable) to participate in the sale of one or more additional convertible notes (which aggregate original principal amount for all additional convertible notes shall not exceed $25,600,000).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Securities Purchase Agreement is filed as Exhibit 4.1 of the Company’s current report on Form 6-K dated April 3, 2025 and is incorporated by reference herein. The first tranche of $3,200,000 was received on June 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2025 and July 16, 2025, the Company consummated the fourth and fifth tranche of its debt financing under the terms of its existing Securities Purchase Agreement with the investor, At the closing of the fourth and fifth tranche, the Company sold to the investor a senior convertible note in the principal amount of $2,000,000 each. The Note bears an interest rate of 14.75% per annum and may be adjustable from time to time pursuant to its terms. The funding from these arrangements with the investor is intended to be used to finance the establishment of a fertility clinic in Dubai.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NewGenIvf signed a Purchase Agreement to acquire the Nodexus business which included certain tangible assets, company domain and six patents from Nodexus Inc, a distressed company, for a consideration of $300,000.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NewGenProperty Limited (“NewGenProperty”), a wholly owned subsidiary of the Company, entered into a joint venture agreement with BNW to develop the Plot. Under the terms of the joint venture agreement, NewGenProperty shall hold 60% of the joint venture, and be responsible for funding 36% of the purchase price of the Plot to the Master Developer, while BNW shall be responsible for all the other cashflow and financing requirements of the project. In the event that BNW pays the balance of the Purchase Price of the Plot to the Master Developer, NewGenProperty shall reimburse BNW in accordance with the provisions of the joint venture agreement. NewGenProperty’s entitlement is an amount equivalent to 36% of the Gross Sales Revenue or Gross Sellable Area generated from the project, with deductions including (i) up to 10% of External and Internal Real Estate Agent and Brokerage Fees; (ii) 2% of Gross Sales Revenue for BNW’s Marketing Fees; and (iii) any amounts paid by the Developer towards the balance of the Purchase Price of the Plot on behalf of NewGenProperty.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November 4, 2025 and January 22, 2026, the Company entered into three Convertible Promissory notes with Vanguish Funding Group, in amount to $257,000, 157,000 and $107,000 respectively and also November 12, 2025, the Company entered another Convertible Promissory notes with Labrys Fund II, L.P. Note, totaling to $250,000.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the Company announced the execution of a non-binding term sheet regarding a proposed reverse merger (the “Proposed RTO”) with SAXA, Inc. (“SAXA”), an international holdings company focused on mining and processing operations. On November 5, 2025, the Company announced the signing of an service agreement with SAXA to act as the worldwide agent for the tokenization of an initial US$100 million tranche of SAXA’s gold-backed assets (“Tokenization Engagement”). The Tokenization Engagement was intended to be the first part of a two-part transaction culminating in the Proposed RTO. The Proposed RTO was subject to completion of due diligence, and negotiation of a definitive agreement, among other conditions. As the conditions set out in the term sheet, in particular, with respect to due diligence and execution of definitive agreements, had not been satisfied by SAXA by the later of: (i) the end of the 30-day period as set out in the term sheet; or (ii) the tentative timetable with completion by January 28, 2026 as set out in the term sheet, the Company will not be proceeding with the Proposed RTO, or the Tokenization Engagement. No material agreements have been entered into between SAXA and the Company, and the Company is not pursuing any transaction with SAXA.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Board of Directors (the “Board”) has authorized a share repurchase program under which the Company may repurchase up to US$2 million of its outstanding Class A ordinary shares over the next 24 months (“Share Repurchase Program”). The Company plans to adopt and implement this Share Repurchase Program in accordance with applicable rules and requirements under the Securities Exchange Act of 1934, as amended (the “Exchange Act”), and the Company’s insider trading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Yip Eng Jeremy Foo, a director of NewGenIvf Group Limited (the “Company”), has resigned from the Board of Directors of the Company, the Audit Committee of the Company, and the Compensation Committee of the Company due to personal reasons, effective April 4, 2025. Mr. Foo’s resignation did not result from any disagreement with the Board or the Company on any matter relating to the Company’s operations, policies or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Florianna Ann Chi Wan Chan was appointed as a director of the Company, effective April 15, 2025, to fill the vacancy on the Audit Committee and the Compensation Committee created by Mr. Foo’s resignation. Ms Chan has over 20 years of experience in project management, real estate development, and luxury hospitality, and is a proven leader in driving growth and operational excellence. Since 2015, Ms. Chan has led Lab Concept Company Limited, a subsidiary of The Lane Crawford Joyce Group, where she successfully restructured operations, spearheaded rebranding, and digitized processes, achieving significant revenue growth. Previously, she held senior roles at VCC Company Limited, Eton Properties, and Crown Macau, excelling in real estate development, marketing, and VIP services. She holds a Bachelor of Hospitality Management from Central Queensland University in Australia and an Advanced Diploma from William Angliss Institute of TAFE. Fluent in Cantonese, Mandarin, and English, Ms. Chan brings a deep understanding of Asia Pacific markets and a strategic vision that will drive the Company’s continued growth and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 and basis of preparation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reflect the accounts of the Company and all of its subsidiaries in which a controlling interest is maintained. All inter-company balances and transactions have been eliminated in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transaction between Legacy NewGenIvf and SPAC I was accounted for as a reverse recapitalization under ASC 805, Business Combinations, with NewGenIvf Group Limited, and deemed to be the accounting acquirer. As SPAC I did not meet the definition of a business under ASC 805, the transaction was not treated as a business combination. Instead, it was accounted for as a recapitalization.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consolidated assets, liabilities and results of operations of the accounting acquirer will become the historical financial statements of the Company, and the accounting acquirer’s assets, liabilities and results of operations will be consolidated with the Company beginning on the acquisition date. The Legacy NewGenIvf was the legal acquiree but deemed to be the accounting acquirer. The Company was the legal acquirer but deemed to be the accounting acquiree in the reverse merger. The historical financial statements prior to the acquisition are those of the accounting acquirer (Legacy NewGenivf). After completion of the Share Exchange Transaction, the Company’s consolidated financial statements include the assets and liabilities, the operations and cash flow of the accounting acquirer. Any excess of the value of shares issued by the Company over the net book value of the accounting acquirer will be recognized as a reduction to equity (APIC).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combination and gain on bargain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805, the accounting for business combinations which requires the application of the acquisition method. This method mandates that the acquiring entity recognize all assets acquired and liabilities assumed at their acquisition-date fair values. Gain on a business acquisition is recognized in earnings only in the specific circumstance of a “bargain purchase.” This occurs when the fair value of the identifiable net assets acquired exceeds the total consideration transferred (including the fair value of any non-controlling interest). It requires the acquirer to first meticulously reassess all measurements—including the identification and valuation of assets, liabilities, and the consideration—to ensure the gain is not a measurement error. Once confirmed, the resulting bargain purchase gain is recognized in profit or loss on the acquisition date. This treatment reflects the economic benefit obtained by the acquirer from purchasing net assets for less than their aggregate fair value. Under US GAAP, the distinction between acquiring a business and acquiring a group of assets is determined by a defined screen test. A transaction is accounted for as a business combination only if the acquired set meets the specific definition of a business, which requires an integrated set of activities with, at a minimum, an input and a substantive process that together significantly contribute to the ability to create outputs.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Segmental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entity with securities listed on the Nasdaq Stock Market, the Company is required to apply the provisions of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The Company determines its operating segments based on the information used by the Chief Operating Decision Maker (CODM) to allocate resources and assess performance. The CODM has been identified as the Chief Executive Officer.</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financial information at the operating segment level on a regular basis. Based on this review process, the Company has determined its reportable segments to be IVF Revenue and Fertility Referral Revenue. These segments reflect how the CEO manages the business, evaluates performance, and makes strategic decisions regarding resource allocation.</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evaluates the performance of each segment based on segment contribution margin. Significant expenses are reviewed by CEO and it is determined that expenses related to Fertility Referral Revenue are immaterial and thus there is no need to segregate the expenses under different segments. Other segment items represent general and administrative and other miscellaneous expenses not separately reported to the CODM.</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entity with securities listed on the Nasdaq Stock Market, the Company applies the provisions of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Segment assets are not regularly provided to the CODM and are therefore not reported in the segment disclosures.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revenues and expenses during the periods presented. Actual results could differ from those estimates. Significant accounting estimates reflected in the Company’s consolidated financial statements includes the impairment of long-lived assets including the intangible assets, revenue recognition, fair value measurement of digital assets, assessment of whether an acquisition is that of a business or an asset and recognition of bargain purchase gain, determination of embedded derivatives requiring bifurcation and valuation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currency translation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presented in United States dollar (“$”), which is the reporting currency of the Company. The functional currency of the Company and its subsidiaries, FFPGS (HK) Limited and Well Image Limited, are Hong Kong dollar (“HK$”). Med Holdings and FFC use Thai baht (“THB”) as their functional currencies. The other subsidiaries use United States dollar (“USD”) as their functional 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denominated in currencies other than the reporting currency are translated into the reporting currency at the rates of exchange prevailing at the balance sheet date. Monetary assets and liabilities denominated in currencies other than the functional currency are translated into the functional currency using the applicable exchange rates at the balance sheet dates. Translation gains and losses are recognized in the consolidated statements of operations and comprehensive income as other comprehensive income or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currencies other than the reporting currency are measured and recorded in the reporting currency at the exchange rate prevailing on the transaction date. The cumulative gain or loss from foreign currency transactions is reflected in the consolidated statements of operations and comprehensive income as other income (other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foreign currencies including, the HK$, THB and RMB, may fluctuate against the United States dollar. Any significant variations of the aforementioned currencies relative to the United States dollar may materially affect the Company’s financial condition in terms of reporting in USD. The following table outlines the currency exchange rates that were used in preparing the accompanying consolidated financial statements:</w:t>
      </w:r>
    </w:p>
    <w:p>
      <w:pPr>
        <w:pStyle w:val="TextBody"/>
        <w:bidi w:val="0"/>
        <w:spacing w:before="0" w:after="0"/>
        <w:ind w:left="0" w:right="0" w:firstLine="72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1475"/>
        <w:gridCol w:w="90"/>
        <w:gridCol w:w="710"/>
        <w:gridCol w:w="90"/>
        <w:gridCol w:w="90"/>
        <w:gridCol w:w="90"/>
        <w:gridCol w:w="830"/>
        <w:gridCol w:w="90"/>
        <w:gridCol w:w="90"/>
        <w:gridCol w:w="90"/>
        <w:gridCol w:w="830"/>
        <w:gridCol w:w="90"/>
        <w:gridCol w:w="90"/>
        <w:gridCol w:w="90"/>
        <w:gridCol w:w="830"/>
        <w:gridCol w:w="135"/>
      </w:tblGrid>
      <w:tr>
        <w:trPr/>
        <w:tc>
          <w:tcPr>
            <w:tcW w:w="1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Period-end</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sz w:val="20"/>
              </w:rPr>
            </w:pPr>
            <w:r>
              <w:rPr>
                <w:sz w:val="20"/>
              </w:rPr>
              <w:t>$: HK$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7.8000</w:t>
            </w:r>
          </w:p>
        </w:tc>
        <w:tc>
          <w:tcPr>
            <w:tcW w:w="135"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Period average</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sz w:val="20"/>
              </w:rPr>
            </w:pPr>
            <w:r>
              <w:rPr>
                <w:sz w:val="20"/>
              </w:rPr>
              <w:t>$: HK$</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7.8000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7.8000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7.8000</w:t>
            </w:r>
          </w:p>
        </w:tc>
        <w:tc>
          <w:tcPr>
            <w:tcW w:w="135"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Period-end</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sz w:val="20"/>
              </w:rPr>
            </w:pPr>
            <w:r>
              <w:rPr>
                <w:sz w:val="20"/>
              </w:rPr>
              <w:t>$: THB</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31.4215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34.3353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34.2265</w:t>
            </w:r>
          </w:p>
        </w:tc>
        <w:tc>
          <w:tcPr>
            <w:tcW w:w="135"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Period average</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sz w:val="20"/>
              </w:rPr>
            </w:pPr>
            <w:r>
              <w:rPr>
                <w:sz w:val="20"/>
              </w:rPr>
              <w:t>$: THB</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31.7436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35.2262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34.7867</w:t>
            </w:r>
          </w:p>
        </w:tc>
        <w:tc>
          <w:tcPr>
            <w:tcW w:w="135"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Period-end</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sz w:val="20"/>
              </w:rPr>
            </w:pPr>
            <w:r>
              <w:rPr>
                <w:sz w:val="20"/>
              </w:rPr>
              <w:t>$: RMB</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7.2001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7.2994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7.0971</w:t>
            </w:r>
          </w:p>
        </w:tc>
        <w:tc>
          <w:tcPr>
            <w:tcW w:w="135"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Period average</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sz w:val="20"/>
              </w:rPr>
            </w:pPr>
            <w:r>
              <w:rPr>
                <w:sz w:val="20"/>
              </w:rPr>
              <w:t>$: RMB</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7.2327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7.1946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7.0835</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deposits held at call with financial institutions, other short-term deposits with original maturities of three months or less that are readily convertible to known amounts of cash and which are subject to an insignificant risk of changes in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Deposits, prepayments other receivables,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other receivables, net primarily include deposits paid to suppliers and prepaid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fees incurred in connection with issuing convertible debt are deferred and amortized over the life of the debt. These costs are presented as a direct deduction from the carrying amount of the debt liability on the balance sheet (per ASC 835-30).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Digital assets,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crypto assets in accordance with ASC 350-60, Intangibles — Goodwill and Other — Crypto Assets. We have ownership of and control over our digital assets and use third-party custodial services to store the private keys that provide access to the digital assets in its digital wallets. Digital assets are initially recorded at cost and are subsequently remeasured at fair value, with changes in fair value recognized in net income in the period of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and record the fair value of our digital assets in accordance with ASC 820, Fair Value Measurement (“ASC 820”), based on quoted prices on the active exchange(s) that we have determined is the principal market for such assets (Level I inputs). We determine the cost basis (using the first-in, first-out (“FIFO”) method) of our digital assets using the specific identification of each unit received. Realized and unrealized gains and losses are recorded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in accordance with ASC Topic 718-10, Compensation-Stock Compensation, which requires the measurement and recognition of compensation expense for all share-based payment arrangements related to the acquisition of goods and services from both non-employees and employees based on fair values of the shares at grant date represented by the closing prices of the Company’s common stock at the respective grant date in accordance with ASC 718. Stock-based compensation expense recognized during the period is based on the value of the portion of share-based payment awards that relate to the service period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share-based compensation is recorded when the Company issues fully vested, nonforfeitable share-based payment awards to nonemployees on the grant date, when the nonemployee earns the right to receive and where no specific performance is required by the nonemployee to retain those equity instruments, in accordance with ASC 718-10-45-3. The prepayment is recorded where the shares are issued before the financial year end in accordance with the grant date and represents the fair value of goods or services that are to be received from the nonemployee subsequent to the financial period end.</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cost for awards that do not have an established accounting grant date, but for which the service inception date has been established is based on the best estimate of fair value of Company’s common stock at the end of each reporting period and a corresponding accrual is recorded.</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cost is recognized over the requisite service period for employees and over the service period for non employees.</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 are stated at cost less accumulated depreciation. Depreciation is provided over their estimated useful lives, using the straight-line method. The Company typically applies a salvage value of 0%. The estimated useful lives of the plan and equipment are as follows:</w:t>
      </w:r>
    </w:p>
    <w:p>
      <w:pPr>
        <w:pStyle w:val="TextBody"/>
        <w:bidi w:val="0"/>
        <w:spacing w:before="0" w:after="0"/>
        <w:ind w:left="0" w:right="0" w:firstLine="72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2435"/>
        <w:gridCol w:w="90"/>
        <w:gridCol w:w="3725"/>
      </w:tblGrid>
      <w:tr>
        <w:trPr/>
        <w:tc>
          <w:tcPr>
            <w:tcW w:w="2435" w:type="dxa"/>
            <w:tcBorders/>
            <w:shd w:fill="CCEEFF" w:val="clear"/>
            <w:vAlign w:val="center"/>
          </w:tcPr>
          <w:p>
            <w:pPr>
              <w:pStyle w:val="TableContents"/>
              <w:bidi w:val="0"/>
              <w:spacing w:before="0" w:after="283"/>
              <w:jc w:val="left"/>
              <w:rPr/>
            </w:pPr>
            <w:r>
              <w:rPr/>
              <w:t>Furniture and fixtures</w:t>
            </w:r>
          </w:p>
        </w:tc>
        <w:tc>
          <w:tcPr>
            <w:tcW w:w="90" w:type="dxa"/>
            <w:tcBorders/>
            <w:shd w:fill="CCEEFF" w:val="clear"/>
            <w:vAlign w:val="center"/>
          </w:tcPr>
          <w:p>
            <w:pPr>
              <w:pStyle w:val="TableContents"/>
              <w:bidi w:val="0"/>
              <w:spacing w:before="0" w:after="283"/>
              <w:jc w:val="left"/>
              <w:rPr/>
            </w:pPr>
            <w:r>
              <w:rPr/>
              <w:t> </w:t>
            </w:r>
          </w:p>
        </w:tc>
        <w:tc>
          <w:tcPr>
            <w:tcW w:w="3725" w:type="dxa"/>
            <w:tcBorders/>
            <w:shd w:fill="CCEEFF" w:val="clear"/>
            <w:vAlign w:val="center"/>
          </w:tcPr>
          <w:p>
            <w:pPr>
              <w:pStyle w:val="TableContents"/>
              <w:bidi w:val="0"/>
              <w:spacing w:before="0" w:after="283"/>
              <w:jc w:val="center"/>
              <w:rPr/>
            </w:pPr>
            <w:r>
              <w:rPr/>
              <w:t>3 – 5 years</w:t>
            </w:r>
          </w:p>
        </w:tc>
      </w:tr>
      <w:tr>
        <w:trPr/>
        <w:tc>
          <w:tcPr>
            <w:tcW w:w="2435" w:type="dxa"/>
            <w:tcBorders/>
            <w:shd w:fill="FFFFFF" w:val="clear"/>
            <w:vAlign w:val="center"/>
          </w:tcPr>
          <w:p>
            <w:pPr>
              <w:pStyle w:val="TableContents"/>
              <w:bidi w:val="0"/>
              <w:spacing w:before="0" w:after="283"/>
              <w:jc w:val="left"/>
              <w:rPr/>
            </w:pPr>
            <w:r>
              <w:rPr/>
              <w:t>Leasehold improvements</w:t>
            </w:r>
          </w:p>
        </w:tc>
        <w:tc>
          <w:tcPr>
            <w:tcW w:w="90" w:type="dxa"/>
            <w:tcBorders/>
            <w:shd w:fill="FFFFFF" w:val="clear"/>
            <w:vAlign w:val="center"/>
          </w:tcPr>
          <w:p>
            <w:pPr>
              <w:pStyle w:val="TableContents"/>
              <w:bidi w:val="0"/>
              <w:spacing w:before="0" w:after="283"/>
              <w:jc w:val="left"/>
              <w:rPr/>
            </w:pPr>
            <w:r>
              <w:rPr/>
              <w:t> </w:t>
            </w:r>
          </w:p>
        </w:tc>
        <w:tc>
          <w:tcPr>
            <w:tcW w:w="3725" w:type="dxa"/>
            <w:tcBorders/>
            <w:shd w:fill="FFFFFF" w:val="clear"/>
            <w:vAlign w:val="center"/>
          </w:tcPr>
          <w:p>
            <w:pPr>
              <w:pStyle w:val="TableContents"/>
              <w:bidi w:val="0"/>
              <w:spacing w:before="0" w:after="283"/>
              <w:jc w:val="center"/>
              <w:rPr/>
            </w:pPr>
            <w:r>
              <w:rPr/>
              <w:t>the lesser of useful life or term of lease</w:t>
            </w:r>
          </w:p>
        </w:tc>
      </w:tr>
      <w:tr>
        <w:trPr/>
        <w:tc>
          <w:tcPr>
            <w:tcW w:w="2435" w:type="dxa"/>
            <w:tcBorders/>
            <w:shd w:fill="CCEEFF" w:val="clear"/>
            <w:vAlign w:val="center"/>
          </w:tcPr>
          <w:p>
            <w:pPr>
              <w:pStyle w:val="TableContents"/>
              <w:bidi w:val="0"/>
              <w:spacing w:before="0" w:after="283"/>
              <w:jc w:val="left"/>
              <w:rPr/>
            </w:pPr>
            <w:r>
              <w:rPr/>
              <w:t>Medical instruments</w:t>
            </w:r>
          </w:p>
        </w:tc>
        <w:tc>
          <w:tcPr>
            <w:tcW w:w="90" w:type="dxa"/>
            <w:tcBorders/>
            <w:shd w:fill="CCEEFF" w:val="clear"/>
            <w:vAlign w:val="center"/>
          </w:tcPr>
          <w:p>
            <w:pPr>
              <w:pStyle w:val="TableContents"/>
              <w:bidi w:val="0"/>
              <w:spacing w:before="0" w:after="283"/>
              <w:jc w:val="left"/>
              <w:rPr/>
            </w:pPr>
            <w:r>
              <w:rPr/>
              <w:t> </w:t>
            </w:r>
          </w:p>
        </w:tc>
        <w:tc>
          <w:tcPr>
            <w:tcW w:w="3725" w:type="dxa"/>
            <w:tcBorders/>
            <w:shd w:fill="CCEEFF" w:val="clear"/>
            <w:vAlign w:val="center"/>
          </w:tcPr>
          <w:p>
            <w:pPr>
              <w:pStyle w:val="TableContents"/>
              <w:bidi w:val="0"/>
              <w:spacing w:before="0" w:after="283"/>
              <w:jc w:val="center"/>
              <w:rPr/>
            </w:pPr>
            <w:r>
              <w:rPr/>
              <w:t>3 – 10 years</w:t>
            </w:r>
          </w:p>
        </w:tc>
      </w:tr>
      <w:tr>
        <w:trPr/>
        <w:tc>
          <w:tcPr>
            <w:tcW w:w="2435" w:type="dxa"/>
            <w:tcBorders/>
            <w:shd w:fill="FFFFFF" w:val="clear"/>
            <w:vAlign w:val="center"/>
          </w:tcPr>
          <w:p>
            <w:pPr>
              <w:pStyle w:val="TableContents"/>
              <w:bidi w:val="0"/>
              <w:spacing w:before="0" w:after="283"/>
              <w:jc w:val="left"/>
              <w:rPr/>
            </w:pPr>
            <w:r>
              <w:rPr/>
              <w:t>Motor vehicle</w:t>
            </w:r>
          </w:p>
        </w:tc>
        <w:tc>
          <w:tcPr>
            <w:tcW w:w="90" w:type="dxa"/>
            <w:tcBorders/>
            <w:shd w:fill="FFFFFF" w:val="clear"/>
            <w:vAlign w:val="center"/>
          </w:tcPr>
          <w:p>
            <w:pPr>
              <w:pStyle w:val="TableContents"/>
              <w:bidi w:val="0"/>
              <w:spacing w:before="0" w:after="283"/>
              <w:jc w:val="left"/>
              <w:rPr/>
            </w:pPr>
            <w:r>
              <w:rPr/>
              <w:t> </w:t>
            </w:r>
          </w:p>
        </w:tc>
        <w:tc>
          <w:tcPr>
            <w:tcW w:w="3725" w:type="dxa"/>
            <w:tcBorders/>
            <w:shd w:fill="FFFFFF" w:val="clear"/>
            <w:vAlign w:val="center"/>
          </w:tcPr>
          <w:p>
            <w:pPr>
              <w:pStyle w:val="TableContents"/>
              <w:bidi w:val="0"/>
              <w:spacing w:before="0" w:after="283"/>
              <w:jc w:val="center"/>
              <w:rPr/>
            </w:pPr>
            <w:r>
              <w:rPr/>
              <w:t>3 – 5 years</w:t>
            </w:r>
          </w:p>
        </w:tc>
      </w:tr>
      <w:tr>
        <w:trPr/>
        <w:tc>
          <w:tcPr>
            <w:tcW w:w="2435" w:type="dxa"/>
            <w:tcBorders/>
            <w:shd w:fill="CCEEFF" w:val="clear"/>
            <w:vAlign w:val="center"/>
          </w:tcPr>
          <w:p>
            <w:pPr>
              <w:pStyle w:val="TableContents"/>
              <w:bidi w:val="0"/>
              <w:spacing w:before="0" w:after="283"/>
              <w:jc w:val="left"/>
              <w:rPr/>
            </w:pPr>
            <w:r>
              <w:rPr/>
              <w:t>Office equipment</w:t>
            </w:r>
          </w:p>
        </w:tc>
        <w:tc>
          <w:tcPr>
            <w:tcW w:w="90" w:type="dxa"/>
            <w:tcBorders/>
            <w:shd w:fill="CCEEFF" w:val="clear"/>
            <w:vAlign w:val="center"/>
          </w:tcPr>
          <w:p>
            <w:pPr>
              <w:pStyle w:val="TableContents"/>
              <w:bidi w:val="0"/>
              <w:spacing w:before="0" w:after="283"/>
              <w:jc w:val="left"/>
              <w:rPr/>
            </w:pPr>
            <w:r>
              <w:rPr/>
              <w:t> </w:t>
            </w:r>
          </w:p>
        </w:tc>
        <w:tc>
          <w:tcPr>
            <w:tcW w:w="3725" w:type="dxa"/>
            <w:tcBorders/>
            <w:shd w:fill="CCEEFF" w:val="clear"/>
            <w:vAlign w:val="center"/>
          </w:tcPr>
          <w:p>
            <w:pPr>
              <w:pStyle w:val="TableContents"/>
              <w:bidi w:val="0"/>
              <w:spacing w:before="0" w:after="283"/>
              <w:jc w:val="center"/>
              <w:rPr/>
            </w:pPr>
            <w:r>
              <w:rPr/>
              <w:t>3 – 5 years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related accumulated depreciation of assets sold or otherwise retired are eliminated from the accounts, and any gain or loss are included in the Company’s results of operations. The costs of maintenance and repairs are expensed as incurred. Significant renewals and betterments that extend the useful life of an assets are capitalized.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from third parties are measured initially at fair value and those with an infinite live are not amortized. The Company annually evaluates the recoverability of the infinite-lived intangible assets for possible impairment whenever events or circumstances indicate that the carrying amount of such assets may not be recoverable. To test indefinite-lived intangible assets for impairment, the Company first performs a qualitative assessment to determine if it is more likely than not that the carrying amount of each of its indefinite-lived intangible assets exceeds its fair value. If it is, a quantitative assessment is required. Alternatively, the Company may bypass the qualitative assessment and perform a quantitative impairment test. The qualitative assessment requires the consideration of factors such as recent market transactions, macroeconomic conditions and changes in projected future cash flows. The quantitative assessment compares the fair value of an indefinite-lived intangible asset to its carrying amount. If the carrying amount of an indefinite-lived intangible asset exceeds its fair value, an impairment loss is recognized for the excess. Fair values of indefinite-lived intangible assets are determined based on discounted cash flows or appraised values, as appropriate. If such a review indicates that the carrying amount of intangible assets is not recoverable, the carrying amount of such assets is reduced to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did not record an impairment on the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Impairment of long-lived assets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provisions of ASC Topic 360, </w:t>
      </w:r>
      <w:r>
        <w:rPr>
          <w:rFonts w:ascii="Times New Roman;Times;Serif" w:hAnsi="Times New Roman;Times;Serif"/>
          <w:b w:val="false"/>
          <w:i/>
          <w:caps w:val="false"/>
          <w:smallCaps w:val="false"/>
          <w:sz w:val="20"/>
        </w:rPr>
        <w:t>Impairment or Disposal of Long-Lived Assets</w:t>
      </w:r>
      <w:r>
        <w:rPr>
          <w:rFonts w:ascii="Times New Roman;Times;Serif" w:hAnsi="Times New Roman;Times;Serif"/>
          <w:b w:val="false"/>
          <w:i w:val="false"/>
          <w:caps w:val="false"/>
          <w:smallCaps w:val="false"/>
          <w:sz w:val="20"/>
        </w:rPr>
        <w:t>, all long-lived assets such as property, plant and equipment owned and held by the Company are reviewed for impairment whenever events or changes in circumstances indicate that the carrying amount of an asset may not be recoverable. Recoverability of assets to be held and used is evaluated by a comparison of the carrying amount of an asset to its estimated future undiscounted cash flows expected to be generated by the asset. If such assets are considered to be impaired, the impairment to be recognized is measured by the amount by which the carrying amounts of the assets exceed the fair value of the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impairment loss on plant and equipment for the year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Deposit with futures broker,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financial assets, derivative instruments, and broker margin balances in accordance with Accounting Standards Codification (“ASC”) 815, Derivatives and Hedging, ASC 820, Fair Value Measurement. The Company has engaged in trading of exchange-traded equity index futures through a margin account maintained with a regulated futures broker. Futures contracts are accounted for as derivative instruments under ASC 815.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designate any derivative instruments as hedging instruments for accounting purposes. Accordingly, all derivatives are accounted for at fair value with changes in fair value recognized in earnings as incurred. Realised and unrealised gains and losses arising from derivative trading activities are recorded within other income (expense) in the consolidated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deposited with a futures broker to support margin requirements is included within deposit held by futures broker. The margin account reflects the accumulation of realised gains and losses from futures transactions, brokerage commissions, margin interest, and other related charges. Broker margin accounts may include balances denominated in multiple currencies. Amounts related to trading activity are primarily accumulated in Japanese yen (“JPY”), while margin deposits are funded principally in U.S. dollars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closure of a margin account, cash proceeds are expected to be received net of outstanding broker charges and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incurred on negative balances within broker margin accounts is recognized as interest expense in the period incurred and included within other income (expense) or finance costs,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Exchange-traded futures contracts are measured at fair value using quoted prices in active markets. When outstanding, such instruments are classified within Level 1 of the fair value hierarchy described in ASC 820.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and net realizable value. Costs are determined on a first-in, first-out basis. Net realizable value is based on the estimated selling prices less any estimated costs to be incurred to completion and disposal. A provision for excess and obsolete inventory will be made based primarily on products approaching expiry period and forecasts of product demand. The excess balance above the product demand as determined by this analysis becomes the basis for excess inventory charge and the written-down value of the inventory becomes its cost. Written-down inventory would not be reversed if market conditions improve.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which consist of legal and other expenses incurred through the balance sheet date that are directly related to the proposed public offering, are capitalized, and will be charged against the gross proceeds of the offering and recorded as reduction of shareholders’ equity upon the completion of the proposed offering. Should the proposed public offering prove to be unsuccessful, these deferred costs, as well as additional expenses incurred, will be charged to the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borrowings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borrowings are recognized initially at fair value, net of debt issuance costs incurred. Other borrowings are subsequently stated at amortized cost; any difference between the proceeds (net of debt issuance costs) and the redemption value is recognized in the consolidated statements of operations over the period of the borrowings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Instruments are categorized as equity or debt based on the terms of the notes. Convertible Notes are recorded at amounts equal to the proceeds of the issuance, including the embedded conversion feature, and net of discounts and unamortized debt issuance in accordance with ASC 480-10-55-44 on the consolidated balance sheets. An evaluation of all conversion, purchase and redemption features contained in a debt instrument is performed to determine if there are any embedded features that require bifurcation as a derivative. The conversion feature is recorded separately as a derivative liability at its fair value, calculated using the Black-Scholes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and offering costs are amortized over the contractual term of the Convertible Notes, to the consolidated statements of operations in accordance with ASC 835-30-45-1A and presented as a reduction of the amortised cost of the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subsequently recorded at amortized cost, with interest expense recognized using the effective interest method. The derivative liability, if any is remeasured at fair value at each reporting date and any gain or loss on fair value is recognized in the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ASC Topic 480, Distinguishing Liabilities from Equity (“ASC 480”) and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our control, among other conditions for equity classification. This assessment, which requires the use of professional judgment, is conducted at the time of warrant issuance and as of each subsequent period end date while the warrants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Warrants classified as equity instruments are initially recognized at fair value within additional paid in capital and are not subsequently remeasured. The warrants have been assessed to meet the requirements for equity classification and accounted for as equity. Upon exercise of the warrants, the Company will record the proceeds received, together with the carrying value of the warrants, as an increase to common stock and additional paid-in capital. Warrants that expire unexercised will be derecognized with no impact on the statement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do not meet all the criteria for equity classification, the warrants are required to be recorded as liabilities at their initial fair value on the date of issuance and are remeasured at each reporting date until settlement. Changes in fair value is recognized as a component of change in fair value of warrant liability in the condensed consolidated statements of operations and as a non-cash gain or loss in the condensed consolidated statement of comprehensive loss. Transaction costs allocated to warrants that are presented as a liability are immediately expensed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classified warrants have been issued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notes, are of non-interest bearing and recorded at original cost. They are subsequently measured at amortised cost, with interest expense recognized using the effective interest method in the consolidated statement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are stated at no par value. The difference between the consideration received, net of issuance cost, is recorded in additional paid-in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505, reverse stock splits are applied retrospectively. Consequently, all share and per share amounts for all periods presented in the accompanying consolidated financial statements and notes thereto have been adjusted to reflect the reverse stock split. This retrospective adjustment includes the recalculation of shares within equity and ensures that basic and diluted earnings per share, as well as all other share-based information such as stock options and warrants, are presented as if the reverse stock split had been in effect for all periods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of the Company as of December 31, 2025 represents 240,622 ordinary shares with par value of $Nil. The number of shares as above have taken into consideration the reverse stock split effected on February 11, 2025, May 6, 2025, August 4, 2025, December 1, 2025, January 26, 2026 and March 16, 2026 at an exchange ratio of one (1) share for twenty (20) shares, one (1) share for ten (10) shares, one (1) share for five (5) shares, one (1) share for five (5) shares, one (1) share for three (3) shares and one (1) share for four (4) shares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Topic 606, Revenue from Contracts with Customers, and all subsequent ASUs that modified ASC 606 on April 1, 2017 using the full retrospective method which requires the Company to present the financial statements for all periods as if Topic 606 had been applied to all prior periods. The Company derives revenue principally from provision of In vitro fertilization (“IVF”) treatment and surrogacy and ancillary caring services. Revenue from contracts with customers is recognized using the following five steps:</w:t>
      </w:r>
    </w:p>
    <w:p>
      <w:pPr>
        <w:pStyle w:val="TextBody"/>
        <w:bidi w:val="0"/>
        <w:spacing w:before="0" w:after="0"/>
        <w:ind w:left="964" w:right="0" w:hanging="48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42"/>
        <w:gridCol w:w="9858"/>
      </w:tblGrid>
      <w:tr>
        <w:trPr/>
        <w:tc>
          <w:tcPr>
            <w:tcW w:w="10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20"/>
              </w:rPr>
            </w:pPr>
            <w:r>
              <w:rPr>
                <w:sz w:val="20"/>
              </w:rPr>
              <w:t>(1)</w:t>
            </w:r>
          </w:p>
        </w:tc>
        <w:tc>
          <w:tcPr>
            <w:tcW w:w="9858" w:type="dxa"/>
            <w:tcBorders/>
            <w:vAlign w:val="center"/>
          </w:tcPr>
          <w:p>
            <w:pPr>
              <w:pStyle w:val="TableContents"/>
              <w:bidi w:val="0"/>
              <w:spacing w:before="0" w:after="283"/>
              <w:jc w:val="both"/>
              <w:rPr>
                <w:sz w:val="20"/>
              </w:rPr>
            </w:pPr>
            <w:r>
              <w:rPr>
                <w:sz w:val="20"/>
              </w:rPr>
              <w:t>identify its contracts with customers;</w:t>
            </w:r>
          </w:p>
        </w:tc>
      </w:tr>
      <w:tr>
        <w:trPr/>
        <w:tc>
          <w:tcPr>
            <w:tcW w:w="10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9858"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20"/>
              </w:rPr>
            </w:pPr>
            <w:r>
              <w:rPr>
                <w:sz w:val="20"/>
              </w:rPr>
              <w:t>(2)</w:t>
            </w:r>
          </w:p>
        </w:tc>
        <w:tc>
          <w:tcPr>
            <w:tcW w:w="9858" w:type="dxa"/>
            <w:tcBorders/>
            <w:vAlign w:val="center"/>
          </w:tcPr>
          <w:p>
            <w:pPr>
              <w:pStyle w:val="TableContents"/>
              <w:bidi w:val="0"/>
              <w:spacing w:before="0" w:after="283"/>
              <w:jc w:val="both"/>
              <w:rPr>
                <w:sz w:val="20"/>
              </w:rPr>
            </w:pPr>
            <w:r>
              <w:rPr>
                <w:sz w:val="20"/>
              </w:rPr>
              <w:t>identify its performance obligations under those contracts;</w:t>
            </w:r>
          </w:p>
        </w:tc>
      </w:tr>
      <w:tr>
        <w:trPr/>
        <w:tc>
          <w:tcPr>
            <w:tcW w:w="10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9858"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20"/>
              </w:rPr>
            </w:pPr>
            <w:r>
              <w:rPr>
                <w:sz w:val="20"/>
              </w:rPr>
              <w:t>(3)</w:t>
            </w:r>
          </w:p>
        </w:tc>
        <w:tc>
          <w:tcPr>
            <w:tcW w:w="9858" w:type="dxa"/>
            <w:tcBorders/>
            <w:vAlign w:val="center"/>
          </w:tcPr>
          <w:p>
            <w:pPr>
              <w:pStyle w:val="TableContents"/>
              <w:bidi w:val="0"/>
              <w:spacing w:before="0" w:after="283"/>
              <w:jc w:val="both"/>
              <w:rPr>
                <w:sz w:val="20"/>
              </w:rPr>
            </w:pPr>
            <w:r>
              <w:rPr>
                <w:sz w:val="20"/>
              </w:rPr>
              <w:t>determine the transaction prices of those contracts;</w:t>
            </w:r>
          </w:p>
        </w:tc>
      </w:tr>
      <w:tr>
        <w:trPr/>
        <w:tc>
          <w:tcPr>
            <w:tcW w:w="10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9858"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20"/>
              </w:rPr>
            </w:pPr>
            <w:r>
              <w:rPr>
                <w:sz w:val="20"/>
              </w:rPr>
              <w:t>(4)</w:t>
            </w:r>
          </w:p>
        </w:tc>
        <w:tc>
          <w:tcPr>
            <w:tcW w:w="9858" w:type="dxa"/>
            <w:tcBorders/>
            <w:vAlign w:val="center"/>
          </w:tcPr>
          <w:p>
            <w:pPr>
              <w:pStyle w:val="TableContents"/>
              <w:bidi w:val="0"/>
              <w:spacing w:before="0" w:after="283"/>
              <w:jc w:val="both"/>
              <w:rPr>
                <w:sz w:val="20"/>
              </w:rPr>
            </w:pPr>
            <w:r>
              <w:rPr>
                <w:sz w:val="20"/>
              </w:rPr>
              <w:t>allocate the transaction prices to its performance obligations in those contracts; and</w:t>
            </w:r>
          </w:p>
        </w:tc>
      </w:tr>
      <w:tr>
        <w:trPr/>
        <w:tc>
          <w:tcPr>
            <w:tcW w:w="10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9858"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20"/>
              </w:rPr>
            </w:pPr>
            <w:r>
              <w:rPr>
                <w:sz w:val="20"/>
              </w:rPr>
              <w:t>(5)</w:t>
            </w:r>
          </w:p>
        </w:tc>
        <w:tc>
          <w:tcPr>
            <w:tcW w:w="9858" w:type="dxa"/>
            <w:tcBorders/>
            <w:vAlign w:val="center"/>
          </w:tcPr>
          <w:p>
            <w:pPr>
              <w:pStyle w:val="TableContents"/>
              <w:bidi w:val="0"/>
              <w:spacing w:before="0" w:after="283"/>
              <w:jc w:val="both"/>
              <w:rPr>
                <w:sz w:val="20"/>
              </w:rPr>
            </w:pPr>
            <w:r>
              <w:rPr>
                <w:sz w:val="20"/>
              </w:rPr>
              <w:t>recognize revenue when each performance obligation under those contracts is satisfied. Revenue is recognized when promised services are transferred to the client in an amount that reflects the consideration expected in exchange for those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verbal agreements with its customers that outline the rights, responsibilities, and obligations of each party. The agreements also identify the scope of services, service fees, and payment terms. Agreements are acknowledged and consent forms are signed by the customers prior to each promised service or bundle of services are inter dependent. All the contracts have commercial substance, and it is probable that the Company will collect considerations from its customers for service component as settlement is predominantly required prior to performance of the promised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its revenues from two sources: (1) revenue from IVF treatment, and (2) revenue from fertility referral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vitro fertilization (“IVF”) treatment is an assisted reproductive technique where eggs and sperm are collected and fertilized in laboratory to become embryo. Fertilized embryo is then implanted to the customer or a surrogate mother. IVF treatment involves the performance of a series of medical treatment as well as procedures and brings benefits to clients as the service of bundles service is completed. Revenue from IVF treatment is recognized at a point in time when different treatment and/or procedure or bundles thereof, are completed in clinic. The full completion of the various procedures and treatments are evidenced by treatment cards and reports included within the patient files indicating successful completion of the service. Collections from customer who are individuals are received in advance of the service, whereas for entities, a credit term of 30 days is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arranges fertility referral services for customers seeking IVF and/or surrogacy services and earns referral fee income. Upon a customer inquiry, the Company evaluates the customer’s needs and, if appropriate, refers them to independent third-party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arrangements, the Company’s performance obligation is satisfied upon the successful referral of the customer to the independent agent. Referral fee revenue is recognized when the Company transfers control of the service by completing the referral, as this represents the point at which the Company’s obligation is fulfilled and the customer (the agent) simultaneously receives and consumes the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consists of a referral fee, which is negotiated with the agent on a case-by-case basis. As the referral fee is contingent upon the agent’s acceptance of the referral and subsequent income received from the agent, revenue is constrained until it is probable that a significant reversal will not occur. Accordingly, revenue is recognized at the point in time when the referral fee is received from the agent, as this is when the uncertainty surrounding the consideration is resolved and the Company’s right to consideration becomes unconditional.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egg freezing and storage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access the facility to its customers. Upon request for the service, which is agreed verbally and followed by signed consent form from the customer, the Company makes available access to the facility with no further substantial involvement. Revenue is recognized at a point in time when the facility is made available to the customer at the agreed consideration by the provision of specific address within the facility as maintained in the patient file. The receipt of consideration is assured as payment is required upfront.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versus agency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guidance provided in ASC 606, Revenue from Contracts with Customers, for determining whether the Company is the principal or an agent in arrangements with customers that involve another party that contributes to the provision of services to a customer. In these instances, the Company determines whether it has promised to provide the service itself (as principal) or to arrange for the specified service to be provided by another party (as an agent). This determination is a matter of judgment that depends on the facts and circumstances of each arrangement. The Company recognizes revenue from the performance of the procedures and treatment on a gross basis as the Company is responsible for the fulfillment, controls the delivery of the promised service, and has full discretion in establishing prices and therefore is the principal in the arrangement.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related assets and liabilities are classified as current assets and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 receivables,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are stated at the original amount less an allowance for expected credit loss on such receivables. The allowance for expected credit loss is estimated based upon the Company’s assessment of various factors including historical experience, the age of the accounts receivable balances, current general economic conditions, future expectations and customer specific quantitative and qualitative factors that may affect the Company’s customers’ ability to pay. An allowance is also made when there is objective evidence for the Company to reasonably estimate the amount of probable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represent considerations received from customers in advance of satisfying the Company’s performance obligations under the contract. These amounts are expected to be earned within 12 months and are classified as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Expected credit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No. 2016-13, Financial Instruments — Credit Losses (Topic 326): Measurement of Credit Losses on Financial Instruments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Expected credit losses are probability-weighted estimates of credit losses. Credit losses are measured at the present value of all cash shortfalls (i.e., the difference between the cash flows due to the entity in accordance with the contract and the cash flows that the Company expects to receive). ECLs are discounted at the effective interest rate of the financial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Retirement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benefits in the form of mandatory government-sponsored defined contribution plans are charged to either expense as incurred or allocated to wages as part of 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lease in accordance to ASU 2016-02, “Leases” (Topic 842). Lease terms used to calculate the present value of lease payments generally do not include any options to extend, renew, or terminate the lease, as the Company does not have reasonable certainty at lease inception that these options will be exercised. The Company generally considers the economic life of its operating lease ROU assets to be comparable to the useful life of similar owned assets. The Company has elected the short-term lease exception, therefore operating lease ROU assets and liabilities do not include leases with a lease term of twelve months or less. Its leases generally do not provide a residual guarantee. The operating lease ROU asset also excludes lease incentives. Lease expense is recognized on a straight-line basis over the lease term.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income tax assets or liabilities for expected future tax consequences of events recognized in the consolidated financial statements or tax returns. Under this method, deferred income tax assets and liabilities are determined based on the differences between the financial reporting and income tax bases of assets and liabilities and are measured using the income tax rates that will be in effect when the differences are expected to reverse. Valuation allowances are provided when it is more likely than not that a deferred tax asset is not realizable or recoverable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that the tax position is more likely than not to be sustained and records the largest amount of benefit that is more likely than not to be realized when the tax position is settled. the Company recognizes interest and penalties, if any, related to uncertain tax positions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Comprehensive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comprehensive income in accordance with ASC Topic 220, </w:t>
      </w:r>
      <w:r>
        <w:rPr>
          <w:rFonts w:ascii="Times New Roman;Times;Serif" w:hAnsi="Times New Roman;Times;Serif"/>
          <w:b w:val="false"/>
          <w:i/>
          <w:caps w:val="false"/>
          <w:smallCaps w:val="false"/>
          <w:sz w:val="20"/>
        </w:rPr>
        <w:t>Comprehensive Income</w:t>
      </w:r>
      <w:r>
        <w:rPr>
          <w:rFonts w:ascii="Times New Roman;Times;Serif" w:hAnsi="Times New Roman;Times;Serif"/>
          <w:b w:val="false"/>
          <w:i w:val="false"/>
          <w:caps w:val="false"/>
          <w:smallCaps w:val="false"/>
          <w:sz w:val="20"/>
        </w:rPr>
        <w:t>. ASC Topic 220 states that all items that are required to be recognized under accounting standards as components of comprehensive income be reported in the consolidated financial statements. The components of comprehensive income were the net income for the years and the foreign currency translation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Earnings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per share (“EPS”) following ASC Topic 260, “Earnings per share”. Basic EPS is measured as the income or loss available to common shareholders divided by the weighted average common shares outstanding for the period. Diluted EPS presents the dilutive effect on a per-share basis from the potential conversion of convertible securities or the exercise of options and or warrants; the dilutive impacts of potentially convertible securities are calculated using the as-if method. Potentially anti-dilutive securities (i.e., those that increase income per share or decrease loss per share) are excluded from diluted EPS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Related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850, Related Party Disclosures, for the identification of related parties and disclosure of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Commitments and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contingencies, including legal proceedings and claims arising out of the business that relate to a wide range of matters, such as government investigations and tax matters. The Company recognizes its liability for such contingency if it determines it is probable that a loss has occurred and a reasonable estimate of the loss can be made. The Company may consider many factors in making these assessments including historical and the specific facts and circumstances of each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Non-controlling interests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are presented as a separate component of equity on the consolidated balance sheets and net (loss) income and other comprehensive loss are attributed to controlling and non-controlling interests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 of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credit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us to concentrations of credit risk consist primarily of cash and cash equivalents and account receivable. The Company places cash and cash equivalents with financial institutions with high credit ratings and quality.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primarily comprise of amounts receivable from the service customers. The Company conducts credit evaluations of customers, and generally does not require collateral or other security from its customers. The Company establishes an allowance for doubtful accounts primarily based upon the factors surrounding the credit risk of specific customers. Furthermore, the risk is mitigated by ascertaining upfront payments for services prior to their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including cash and cash equivalents, accounts receivables, net, deposits, other receivables and deferred IPO cost, net, loan to A SPAC I, accounts payables, accrued liabilities and other payables, and due from (to) shareholders, have carrying amounts that approximate their fair values due to their short maturities. ASC Topic 820, “Fair Value Measurements and Disclosures” requires disclosing the fair value of financial instruments held by the Company. ASC Topic 825, “Financial Instruments” defines fair value and establishes a three-level valuation hierarchy for disclosures of fair value measurement that enhances disclosure requirements for fair value measures. The carrying amounts reported in the consolidated balance sheets for cash and cash equivalents, accounts and other receivables, accounts and other payables, accrued liabilities and amounts due from (to) related parties each qualify as financial instruments and are a reasonable estimate of their fair values because of the short period between the origination of such instruments and their expected realization and their current market rate of interest. The three levels of valuation hierarchy are defined as follows:</w:t>
      </w:r>
    </w:p>
    <w:p>
      <w:pPr>
        <w:pStyle w:val="TextBody"/>
        <w:bidi w:val="0"/>
        <w:spacing w:before="0" w:after="0"/>
        <w:ind w:left="960" w:right="0" w:hanging="48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105"/>
        <w:gridCol w:w="200"/>
        <w:gridCol w:w="95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590" w:type="dxa"/>
            <w:tcBorders/>
            <w:vAlign w:val="center"/>
          </w:tcPr>
          <w:p>
            <w:pPr>
              <w:pStyle w:val="TableContents"/>
              <w:bidi w:val="0"/>
              <w:spacing w:before="0" w:after="283"/>
              <w:jc w:val="both"/>
              <w:rPr>
                <w:sz w:val="20"/>
              </w:rPr>
            </w:pPr>
            <w:r>
              <w:rPr>
                <w:sz w:val="20"/>
              </w:rPr>
              <w:t>Level 1 — inputs to the valuation methodology used quoted prices for identical assets or liabilities in active markets.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Level 2 — inputs to the valuation methodology include quoted prices for similar assets and liabilities in active markets and information that are observable for the asset or liability, either directly or indirectly, for substantially the financial instrument’s full term</w:t>
            </w:r>
          </w:p>
        </w:tc>
      </w:tr>
    </w:tbl>
    <w:p>
      <w:pPr>
        <w:pStyle w:val="TextBody"/>
        <w:bidi w:val="0"/>
        <w:spacing w:before="0" w:after="0"/>
        <w:ind w:left="960" w:right="0" w:hanging="480"/>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105"/>
        <w:gridCol w:w="200"/>
        <w:gridCol w:w="91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140" w:type="dxa"/>
            <w:tcBorders/>
            <w:vAlign w:val="center"/>
          </w:tcPr>
          <w:p>
            <w:pPr>
              <w:pStyle w:val="TableContents"/>
              <w:bidi w:val="0"/>
              <w:spacing w:before="0" w:after="283"/>
              <w:jc w:val="both"/>
              <w:rPr>
                <w:sz w:val="20"/>
              </w:rPr>
            </w:pPr>
            <w:r>
              <w:rPr>
                <w:sz w:val="20"/>
              </w:rPr>
              <w:t>Level 3 — inputs to the valuation methodology are unobservable and significant to the fair value measurement.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analyzes all financial instruments with features of both liabilities and equity under ASC 480, “Distinguishing Liabilities from Equity” and ASC 815.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Recently issued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introduced expanded income tax disclosure requirements under ASU 2023-09 to improve transparency. Companies will now need to provide a detailed reconciliation of their effective tax rate, breaking down federal, state, and foreign taxes, as well as specific categories like tax credits and foreign earnings. Additionally, businesses must disclose income taxes paid by jurisdiction, offering investors greater clarity on tax obligations. These changes apply to both public and private companies, with annual reporting periods beginning after December 15, 2024 (2025 for calendar-year entities). This update aims to reduce ambiguity in tax reporting and align disclosures with investor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shift in digital asset accounting, ASU 2023-08 requires companies to measure certain crypto assets (e.g., Bitcoin, Ethereum) at fair value rather than applying the previous impairment-only model. This means entities must recognize quarterly fair value adjustments in their financial statements, increasing volatility in reported earnings but improving transparency. The standard applies to fiscal years beginning after December 15, 2024, and impacts both corporate treasuries and investment firms holding cryptocurrencies. This change aligns GAAP closer to fair value accounting seen in other investment holdings, addressing criticisms of the old impairment approach.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public entities to disclose, in a tabular format in the notes to the financial statements, specific information about certain costs included in common expense captions. This standard mandates the disaggregation of natural expenses—such as employee compensation, depreciation, and inventory costs—from broader captions like “cost of services” or “selling, general and administrative expenses.” Although this ASU is effective for annual reporting periods beginning after December 15, 2026, and interim periods thereafter, with early adoption permitted, the Company is currently evaluating the potential impact of this new guidance on its financial statement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which introduces a practical expedient to simplify the application of the current expected credit loss (CECL) model for current accounts receivable and contract assets arising from ASC 606 revenue transactions. Such practical expedient permits entities to assume that current economic conditions as of the balance sheet date will remain unchanged for the remaining life of these short-term assets, eliminating the need to develop and document forward-looking macroeconomic forecasts. For healthcare entities with significant patient accounts receivable, third-party payor contract assets, or government reimbursement receivables, this simplification reduces compliance costs and complexity while continuing to require consideration of historical loss experience and current conditions such as customer-specific financial distress or changes in credit policies. The guidance is effective for annual periods beginning after December 15, 2025, applied prospectively, and early adoption is permitted. The Company plans to adopt this practical expedient and will update its credit loss estimation policies and related disclosures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elsewhere disclosed, the Company does not believe other recently issued but not yet effective accounting standards, if currently adopted, would have a material effect on the Company’s consolidated balance sheet, statement of operations and comprehensive income (loss) and statement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3 — ACCOUNTS RECEIVABLE,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consists of the following:</w:t>
      </w:r>
    </w:p>
    <w:p>
      <w:pPr>
        <w:pStyle w:val="TextBody"/>
        <w:bidi w:val="0"/>
        <w:spacing w:before="0" w:after="0"/>
        <w:ind w:left="0" w:right="0" w:firstLine="720"/>
        <w:jc w:val="left"/>
        <w:rPr>
          <w:caps w:val="false"/>
          <w:smallCaps w:val="false"/>
        </w:rPr>
      </w:pPr>
      <w:r>
        <w:rPr>
          <w:caps w:val="false"/>
          <w:smallCaps w:val="false"/>
        </w:rPr>
        <w:t> </w:t>
      </w:r>
    </w:p>
    <w:tbl>
      <w:tblPr>
        <w:tblW w:w="7298" w:type="dxa"/>
        <w:jc w:val="left"/>
        <w:tblInd w:w="0" w:type="dxa"/>
        <w:tblLayout w:type="fixed"/>
        <w:tblCellMar>
          <w:top w:w="0" w:type="dxa"/>
          <w:left w:w="0" w:type="dxa"/>
          <w:bottom w:w="0" w:type="dxa"/>
          <w:right w:w="0" w:type="dxa"/>
        </w:tblCellMar>
      </w:tblPr>
      <w:tblGrid>
        <w:gridCol w:w="3815"/>
        <w:gridCol w:w="90"/>
        <w:gridCol w:w="172"/>
        <w:gridCol w:w="1332"/>
        <w:gridCol w:w="125"/>
        <w:gridCol w:w="90"/>
        <w:gridCol w:w="255"/>
        <w:gridCol w:w="1249"/>
        <w:gridCol w:w="170"/>
      </w:tblGrid>
      <w:tr>
        <w:trPr/>
        <w:tc>
          <w:tcPr>
            <w:tcW w:w="38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32" w:type="dxa"/>
            <w:tcBorders/>
            <w:shd w:fill="CCEEFF" w:val="clear"/>
            <w:vAlign w:val="center"/>
          </w:tcPr>
          <w:p>
            <w:pPr>
              <w:pStyle w:val="TableContents"/>
              <w:bidi w:val="0"/>
              <w:spacing w:before="0" w:after="283"/>
              <w:jc w:val="right"/>
              <w:rPr/>
            </w:pPr>
            <w:r>
              <w:rPr/>
              <w:t>        </w:t>
            </w:r>
            <w:r>
              <w:rPr/>
              <w:t>166,552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  </w:t>
            </w:r>
            <w:r>
              <w:rPr/>
              <w:t>49,264</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Less: allowance for expected credit loss</w:t>
            </w:r>
          </w:p>
        </w:tc>
        <w:tc>
          <w:tcPr>
            <w:tcW w:w="9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2"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170" w:type="dxa"/>
            <w:tcBorders/>
            <w:shd w:fill="FFFFFF" w:val="clear"/>
            <w:vAlign w:val="center"/>
          </w:tcPr>
          <w:p>
            <w:pPr>
              <w:pStyle w:val="TableContents"/>
              <w:bidi w:val="0"/>
              <w:spacing w:before="0" w:after="283"/>
              <w:jc w:val="left"/>
              <w:rPr/>
            </w:pPr>
            <w:r>
              <w:rPr/>
              <w:t>)</w:t>
            </w:r>
          </w:p>
        </w:tc>
      </w:tr>
      <w:tr>
        <w:trPr/>
        <w:tc>
          <w:tcPr>
            <w:tcW w:w="38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32" w:type="dxa"/>
            <w:tcBorders>
              <w:bottom w:val="double" w:sz="10" w:space="0" w:color="000000"/>
            </w:tcBorders>
            <w:shd w:fill="CCEEFF" w:val="clear"/>
            <w:tcMar>
              <w:bottom w:w="28" w:type="dxa"/>
            </w:tcMar>
            <w:vAlign w:val="center"/>
          </w:tcPr>
          <w:p>
            <w:pPr>
              <w:pStyle w:val="TableContents"/>
              <w:bidi w:val="0"/>
              <w:spacing w:before="0" w:after="283"/>
              <w:jc w:val="right"/>
              <w:rPr/>
            </w:pPr>
            <w:r>
              <w:rPr/>
              <w:t>166,531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49,245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each of the financial year, the aging analysis of accounts receivable, net of allowance for expected credit loss, based on the invoice date is as follows:</w:t>
      </w:r>
    </w:p>
    <w:p>
      <w:pPr>
        <w:pStyle w:val="TextBody"/>
        <w:bidi w:val="0"/>
        <w:spacing w:before="0" w:after="0"/>
        <w:ind w:left="0" w:right="0" w:firstLine="720"/>
        <w:jc w:val="left"/>
        <w:rPr>
          <w:caps w:val="false"/>
          <w:smallCaps w:val="false"/>
        </w:rPr>
      </w:pPr>
      <w:r>
        <w:rPr>
          <w:caps w:val="false"/>
          <w:smallCaps w:val="false"/>
        </w:rPr>
        <w:t> </w:t>
      </w:r>
    </w:p>
    <w:tbl>
      <w:tblPr>
        <w:tblW w:w="5248" w:type="dxa"/>
        <w:jc w:val="left"/>
        <w:tblInd w:w="0" w:type="dxa"/>
        <w:tblLayout w:type="fixed"/>
        <w:tblCellMar>
          <w:top w:w="0" w:type="dxa"/>
          <w:left w:w="0" w:type="dxa"/>
          <w:bottom w:w="0" w:type="dxa"/>
          <w:right w:w="0" w:type="dxa"/>
        </w:tblCellMar>
      </w:tblPr>
      <w:tblGrid>
        <w:gridCol w:w="1835"/>
        <w:gridCol w:w="90"/>
        <w:gridCol w:w="255"/>
        <w:gridCol w:w="1249"/>
        <w:gridCol w:w="90"/>
        <w:gridCol w:w="90"/>
        <w:gridCol w:w="255"/>
        <w:gridCol w:w="1249"/>
        <w:gridCol w:w="135"/>
      </w:tblGrid>
      <w:tr>
        <w:trPr/>
        <w:tc>
          <w:tcPr>
            <w:tcW w:w="1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Current</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25,548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pPr>
            <w:r>
              <w:rPr/>
              <w:t>Within 60 days</w:t>
            </w:r>
          </w:p>
        </w:tc>
        <w:tc>
          <w:tcPr>
            <w:tcW w:w="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6,677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Within 90 days</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1,941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r>
              <w:rPr/>
              <w:t>49,245</w:t>
            </w:r>
          </w:p>
        </w:tc>
        <w:tc>
          <w:tcPr>
            <w:tcW w:w="135"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pPr>
            <w:r>
              <w:rPr/>
              <w:t>More than 90 days</w:t>
            </w:r>
          </w:p>
        </w:tc>
        <w:tc>
          <w:tcPr>
            <w:tcW w:w="9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132,365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166,531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49,245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728" w:type="dxa"/>
        <w:jc w:val="left"/>
        <w:tblInd w:w="0" w:type="dxa"/>
        <w:tblLayout w:type="fixed"/>
        <w:tblCellMar>
          <w:top w:w="0" w:type="dxa"/>
          <w:left w:w="0" w:type="dxa"/>
          <w:bottom w:w="0" w:type="dxa"/>
          <w:right w:w="0" w:type="dxa"/>
        </w:tblCellMar>
      </w:tblPr>
      <w:tblGrid>
        <w:gridCol w:w="3245"/>
        <w:gridCol w:w="90"/>
        <w:gridCol w:w="477"/>
        <w:gridCol w:w="1027"/>
        <w:gridCol w:w="125"/>
        <w:gridCol w:w="90"/>
        <w:gridCol w:w="477"/>
        <w:gridCol w:w="1027"/>
        <w:gridCol w:w="170"/>
      </w:tblGrid>
      <w:tr>
        <w:trPr/>
        <w:tc>
          <w:tcPr>
            <w:tcW w:w="3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Balance at beginning of the year</w:t>
            </w:r>
          </w:p>
        </w:tc>
        <w:tc>
          <w:tcPr>
            <w:tcW w:w="9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(19</w:t>
            </w:r>
          </w:p>
        </w:tc>
        <w:tc>
          <w:tcPr>
            <w:tcW w:w="170" w:type="dxa"/>
            <w:tcBorders/>
            <w:shd w:fill="CCEEFF" w:val="clear"/>
            <w:vAlign w:val="center"/>
          </w:tcPr>
          <w:p>
            <w:pPr>
              <w:pStyle w:val="TableContents"/>
              <w:bidi w:val="0"/>
              <w:spacing w:before="0" w:after="283"/>
              <w:jc w:val="left"/>
              <w:rPr/>
            </w:pPr>
            <w:r>
              <w:rPr/>
              <w:t>)</w:t>
            </w:r>
          </w:p>
        </w:tc>
      </w:tr>
      <w:tr>
        <w:trPr/>
        <w:tc>
          <w:tcPr>
            <w:tcW w:w="3245" w:type="dxa"/>
            <w:tcBorders/>
            <w:shd w:fill="FFFFFF" w:val="clear"/>
            <w:vAlign w:val="center"/>
          </w:tcPr>
          <w:p>
            <w:pPr>
              <w:pStyle w:val="TableContents"/>
              <w:bidi w:val="0"/>
              <w:spacing w:before="0" w:after="283"/>
              <w:jc w:val="left"/>
              <w:rPr/>
            </w:pPr>
            <w:r>
              <w:rPr/>
              <w:t>Reversal of expected credit losses</w:t>
            </w:r>
          </w:p>
        </w:tc>
        <w:tc>
          <w:tcPr>
            <w:tcW w:w="90" w:type="dxa"/>
            <w:tcBorders/>
            <w:shd w:fill="FFFFFF" w:val="clear"/>
            <w:vAlign w:val="center"/>
          </w:tcPr>
          <w:p>
            <w:pPr>
              <w:pStyle w:val="TableContents"/>
              <w:bidi w:val="0"/>
              <w:spacing w:before="0" w:after="283"/>
              <w:jc w:val="left"/>
              <w:rPr/>
            </w:pPr>
            <w:r>
              <w:rPr/>
              <w:t> </w:t>
            </w:r>
          </w:p>
        </w:tc>
        <w:tc>
          <w:tcPr>
            <w:tcW w:w="4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4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Ending balance</w:t>
            </w:r>
          </w:p>
        </w:tc>
        <w:tc>
          <w:tcPr>
            <w:tcW w:w="90" w:type="dxa"/>
            <w:tcBorders/>
            <w:shd w:fill="CCEEFF" w:val="clear"/>
            <w:vAlign w:val="center"/>
          </w:tcPr>
          <w:p>
            <w:pPr>
              <w:pStyle w:val="TableContents"/>
              <w:bidi w:val="0"/>
              <w:spacing w:before="0" w:after="283"/>
              <w:jc w:val="left"/>
              <w:rPr/>
            </w:pPr>
            <w:r>
              <w:rPr/>
              <w:t> </w:t>
            </w:r>
          </w:p>
        </w:tc>
        <w:tc>
          <w:tcPr>
            <w:tcW w:w="4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7" w:type="dxa"/>
            <w:tcBorders>
              <w:bottom w:val="double" w:sz="10" w:space="0" w:color="000000"/>
            </w:tcBorders>
            <w:shd w:fill="CCEEFF" w:val="clear"/>
            <w:tcMar>
              <w:bottom w:w="28" w:type="dxa"/>
            </w:tcMar>
            <w:vAlign w:val="center"/>
          </w:tcPr>
          <w:p>
            <w:pPr>
              <w:pStyle w:val="TableContents"/>
              <w:bidi w:val="0"/>
              <w:spacing w:before="0" w:after="283"/>
              <w:jc w:val="right"/>
              <w:rPr/>
            </w:pPr>
            <w:r>
              <w:rPr/>
              <w:t>(21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7" w:type="dxa"/>
            <w:tcBorders>
              <w:bottom w:val="double" w:sz="10" w:space="0" w:color="000000"/>
            </w:tcBorders>
            <w:shd w:fill="CCEEFF" w:val="clear"/>
            <w:tcMar>
              <w:bottom w:w="28" w:type="dxa"/>
            </w:tcMar>
            <w:vAlign w:val="center"/>
          </w:tcPr>
          <w:p>
            <w:pPr>
              <w:pStyle w:val="TableContents"/>
              <w:bidi w:val="0"/>
              <w:spacing w:before="0" w:after="283"/>
              <w:jc w:val="right"/>
              <w:rPr/>
            </w:pPr>
            <w:r>
              <w:rPr/>
              <w:t>(19</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4 — INVENTORIES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at cost,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97"/>
        <w:gridCol w:w="90"/>
        <w:gridCol w:w="171"/>
        <w:gridCol w:w="1330"/>
        <w:gridCol w:w="90"/>
        <w:gridCol w:w="90"/>
        <w:gridCol w:w="170"/>
        <w:gridCol w:w="1430"/>
        <w:gridCol w:w="137"/>
      </w:tblGrid>
      <w:tr>
        <w:trPr/>
        <w:tc>
          <w:tcPr>
            <w:tcW w:w="669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7" w:type="dxa"/>
            <w:tcBorders/>
            <w:vAlign w:val="center"/>
          </w:tcPr>
          <w:p>
            <w:pPr>
              <w:pStyle w:val="TableContents"/>
              <w:bidi w:val="0"/>
              <w:spacing w:before="0" w:after="283"/>
              <w:jc w:val="left"/>
              <w:rPr/>
            </w:pPr>
            <w:r>
              <w:rPr/>
              <w:t> </w:t>
            </w:r>
          </w:p>
        </w:tc>
      </w:tr>
      <w:tr>
        <w:trPr/>
        <w:tc>
          <w:tcPr>
            <w:tcW w:w="6697" w:type="dxa"/>
            <w:tcBorders/>
            <w:shd w:fill="CCEEFF" w:val="clear"/>
            <w:vAlign w:val="center"/>
          </w:tcPr>
          <w:p>
            <w:pPr>
              <w:pStyle w:val="TableContents"/>
              <w:bidi w:val="0"/>
              <w:spacing w:before="0" w:after="283"/>
              <w:jc w:val="left"/>
              <w:rPr/>
            </w:pPr>
            <w:r>
              <w:rPr/>
              <w:t>Medicines, consumables and reagents for clinical and laboratory analyses</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          </w:t>
            </w:r>
            <w:r>
              <w:rPr/>
              <w:t>77,296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            </w:t>
            </w:r>
            <w:r>
              <w:rPr/>
              <w:t>80,813</w:t>
            </w:r>
          </w:p>
        </w:tc>
        <w:tc>
          <w:tcPr>
            <w:tcW w:w="137" w:type="dxa"/>
            <w:tcBorders/>
            <w:shd w:fill="CCEEFF" w:val="clear"/>
            <w:vAlign w:val="center"/>
          </w:tcPr>
          <w:p>
            <w:pPr>
              <w:pStyle w:val="TableContents"/>
              <w:bidi w:val="0"/>
              <w:spacing w:before="0" w:after="283"/>
              <w:jc w:val="left"/>
              <w:rPr/>
            </w:pPr>
            <w:r>
              <w:rPr/>
              <w:t> </w:t>
            </w:r>
          </w:p>
        </w:tc>
      </w:tr>
      <w:tr>
        <w:trPr/>
        <w:tc>
          <w:tcPr>
            <w:tcW w:w="6697" w:type="dxa"/>
            <w:tcBorders/>
            <w:shd w:fill="FFFFFF" w:val="clear"/>
            <w:vAlign w:val="center"/>
          </w:tcPr>
          <w:p>
            <w:pPr>
              <w:pStyle w:val="TableContents"/>
              <w:bidi w:val="0"/>
              <w:spacing w:before="0" w:after="283"/>
              <w:jc w:val="left"/>
              <w:rPr/>
            </w:pPr>
            <w:r>
              <w:rPr/>
              <w:t>Supplements</w:t>
            </w:r>
          </w:p>
        </w:tc>
        <w:tc>
          <w:tcPr>
            <w:tcW w:w="9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12" w:space="0" w:color="000000"/>
            </w:tcBorders>
            <w:shd w:fill="FFFFFF" w:val="clear"/>
            <w:tcMar>
              <w:bottom w:w="28" w:type="dxa"/>
            </w:tcMar>
            <w:vAlign w:val="center"/>
          </w:tcPr>
          <w:p>
            <w:pPr>
              <w:pStyle w:val="TableContents"/>
              <w:bidi w:val="0"/>
              <w:spacing w:before="0" w:after="283"/>
              <w:jc w:val="right"/>
              <w:rPr/>
            </w:pPr>
            <w:r>
              <w:rPr/>
              <w:t>258,064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37" w:type="dxa"/>
            <w:tcBorders/>
            <w:shd w:fill="FFFFFF" w:val="clear"/>
            <w:vAlign w:val="center"/>
          </w:tcPr>
          <w:p>
            <w:pPr>
              <w:pStyle w:val="TableContents"/>
              <w:bidi w:val="0"/>
              <w:spacing w:before="0" w:after="283"/>
              <w:jc w:val="left"/>
              <w:rPr/>
            </w:pPr>
            <w:r>
              <w:rPr/>
              <w:t> </w:t>
            </w:r>
          </w:p>
        </w:tc>
      </w:tr>
      <w:tr>
        <w:trPr/>
        <w:tc>
          <w:tcPr>
            <w:tcW w:w="669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30" w:type="dxa"/>
            <w:tcBorders>
              <w:bottom w:val="double" w:sz="10" w:space="0" w:color="000000"/>
            </w:tcBorders>
            <w:shd w:fill="CCEEFF" w:val="clear"/>
            <w:tcMar>
              <w:bottom w:w="28" w:type="dxa"/>
            </w:tcMar>
            <w:vAlign w:val="center"/>
          </w:tcPr>
          <w:p>
            <w:pPr>
              <w:pStyle w:val="TableContents"/>
              <w:bidi w:val="0"/>
              <w:spacing w:before="0" w:after="283"/>
              <w:jc w:val="right"/>
              <w:rPr/>
            </w:pPr>
            <w:r>
              <w:rPr/>
              <w:t>335,360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80,813</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5 — DEPOSITS, PREPAYMENT AND OTHER RECEIVABLES,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prepayment and other receivables cost, net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7610" w:type="dxa"/>
        <w:jc w:val="left"/>
        <w:tblInd w:w="0" w:type="dxa"/>
        <w:tblLayout w:type="fixed"/>
        <w:tblCellMar>
          <w:top w:w="0" w:type="dxa"/>
          <w:left w:w="0" w:type="dxa"/>
          <w:bottom w:w="0" w:type="dxa"/>
          <w:right w:w="0" w:type="dxa"/>
        </w:tblCellMar>
      </w:tblPr>
      <w:tblGrid>
        <w:gridCol w:w="3815"/>
        <w:gridCol w:w="90"/>
        <w:gridCol w:w="170"/>
        <w:gridCol w:w="1430"/>
        <w:gridCol w:w="125"/>
        <w:gridCol w:w="90"/>
        <w:gridCol w:w="170"/>
        <w:gridCol w:w="1550"/>
        <w:gridCol w:w="170"/>
      </w:tblGrid>
      <w:tr>
        <w:trPr/>
        <w:tc>
          <w:tcPr>
            <w:tcW w:w="38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u w:val="single"/>
              </w:rPr>
            </w:pPr>
            <w:r>
              <w:rPr>
                <w:u w:val="single"/>
              </w:rPr>
              <w:t>Current</w:t>
            </w:r>
          </w:p>
        </w:tc>
        <w:tc>
          <w:tcPr>
            <w:tcW w:w="9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Other receivables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            </w:t>
            </w:r>
            <w:r>
              <w:rPr/>
              <w:t>33,442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50" w:type="dxa"/>
            <w:tcBorders/>
            <w:shd w:fill="CCEEFF" w:val="clear"/>
            <w:vAlign w:val="center"/>
          </w:tcPr>
          <w:p>
            <w:pPr>
              <w:pStyle w:val="TableContents"/>
              <w:bidi w:val="0"/>
              <w:spacing w:before="0" w:after="283"/>
              <w:jc w:val="right"/>
              <w:rPr/>
            </w:pPr>
            <w:r>
              <w:rPr/>
              <w:t>            </w:t>
            </w:r>
            <w:r>
              <w:rPr/>
              <w:t>121,533</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Deposits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199,935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73,917</w:t>
            </w:r>
          </w:p>
        </w:tc>
        <w:tc>
          <w:tcPr>
            <w:tcW w:w="17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Prepayment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120,542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197,706</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Loan receivable from a third party (a)</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75,000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Advanced payment to supplier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74,674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Less: allowance for expected credit loss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50"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70" w:type="dxa"/>
            <w:tcBorders/>
            <w:shd w:fill="FFFFFF" w:val="clear"/>
            <w:vAlign w:val="center"/>
          </w:tcPr>
          <w:p>
            <w:pPr>
              <w:pStyle w:val="TableContents"/>
              <w:bidi w:val="0"/>
              <w:spacing w:before="0" w:after="283"/>
              <w:jc w:val="left"/>
              <w:rPr/>
            </w:pPr>
            <w:r>
              <w:rPr/>
              <w:t>)</w:t>
            </w:r>
          </w:p>
        </w:tc>
      </w:tr>
      <w:tr>
        <w:trPr/>
        <w:tc>
          <w:tcPr>
            <w:tcW w:w="38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503,588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50" w:type="dxa"/>
            <w:tcBorders>
              <w:bottom w:val="double" w:sz="10" w:space="0" w:color="000000"/>
            </w:tcBorders>
            <w:shd w:fill="CCEEFF" w:val="clear"/>
            <w:tcMar>
              <w:bottom w:w="28" w:type="dxa"/>
            </w:tcMar>
            <w:vAlign w:val="center"/>
          </w:tcPr>
          <w:p>
            <w:pPr>
              <w:pStyle w:val="TableContents"/>
              <w:bidi w:val="0"/>
              <w:spacing w:before="0" w:after="283"/>
              <w:jc w:val="right"/>
              <w:rPr/>
            </w:pPr>
            <w:r>
              <w:rPr/>
              <w:t>393,152</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Deposit with a digital asset broker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34,987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50" w:type="dxa"/>
            <w:tcBorders>
              <w:bottom w:val="double" w:sz="10" w:space="0" w:color="000000"/>
            </w:tcBorders>
            <w:shd w:fill="CCEEFF" w:val="clear"/>
            <w:tcMar>
              <w:bottom w:w="28" w:type="dxa"/>
            </w:tcMar>
            <w:vAlign w:val="center"/>
          </w:tcPr>
          <w:p>
            <w:pPr>
              <w:pStyle w:val="TableContents"/>
              <w:bidi w:val="0"/>
              <w:spacing w:before="0" w:after="283"/>
              <w:jc w:val="right"/>
              <w:rPr/>
            </w:pPr>
            <w:r>
              <w:rPr/>
              <w:t>1,000,000</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Receivables from agents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794,116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50" w:type="dxa"/>
            <w:tcBorders/>
            <w:shd w:fill="CCEEFF" w:val="clear"/>
            <w:vAlign w:val="center"/>
          </w:tcPr>
          <w:p>
            <w:pPr>
              <w:pStyle w:val="TableContents"/>
              <w:bidi w:val="0"/>
              <w:spacing w:before="0" w:after="283"/>
              <w:jc w:val="right"/>
              <w:rPr/>
            </w:pPr>
            <w:r>
              <w:rPr/>
              <w:t>1,191,795</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Deposit for land acquisition (b)</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4,614,749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5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u w:val="single"/>
              </w:rPr>
            </w:pPr>
            <w:r>
              <w:rPr>
                <w:u w:val="single"/>
              </w:rPr>
              <w:t>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Prepayment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50" w:type="dxa"/>
            <w:tcBorders>
              <w:bottom w:val="double" w:sz="10" w:space="0" w:color="000000"/>
            </w:tcBorders>
            <w:shd w:fill="FFFFFF" w:val="clear"/>
            <w:tcMar>
              <w:bottom w:w="28" w:type="dxa"/>
            </w:tcMar>
            <w:vAlign w:val="center"/>
          </w:tcPr>
          <w:p>
            <w:pPr>
              <w:pStyle w:val="TableContents"/>
              <w:bidi w:val="0"/>
              <w:spacing w:before="0" w:after="283"/>
              <w:jc w:val="right"/>
              <w:rPr/>
            </w:pPr>
            <w:r>
              <w:rPr/>
              <w:t>33,333</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275"/>
        <w:gridCol w:w="5255"/>
      </w:tblGrid>
      <w:tr>
        <w:trPr/>
        <w:tc>
          <w:tcPr>
            <w:tcW w:w="275" w:type="dxa"/>
            <w:tcBorders/>
            <w:vAlign w:val="center"/>
          </w:tcPr>
          <w:p>
            <w:pPr>
              <w:pStyle w:val="TableContents"/>
              <w:bidi w:val="0"/>
              <w:spacing w:before="0" w:after="283"/>
              <w:jc w:val="left"/>
              <w:rPr>
                <w:sz w:val="20"/>
              </w:rPr>
            </w:pPr>
            <w:r>
              <w:rPr>
                <w:sz w:val="20"/>
              </w:rPr>
              <w:t>(a)</w:t>
            </w:r>
          </w:p>
        </w:tc>
        <w:tc>
          <w:tcPr>
            <w:tcW w:w="5255" w:type="dxa"/>
            <w:tcBorders/>
            <w:vAlign w:val="center"/>
          </w:tcPr>
          <w:p>
            <w:pPr>
              <w:pStyle w:val="TableContents"/>
              <w:bidi w:val="0"/>
              <w:spacing w:before="0" w:after="283"/>
              <w:jc w:val="left"/>
              <w:rPr>
                <w:sz w:val="20"/>
              </w:rPr>
            </w:pPr>
            <w:r>
              <w:rPr>
                <w:sz w:val="20"/>
              </w:rPr>
              <w:t>The loan is unsecured, interest free and is repayable on demand.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sz w:val="20"/>
              </w:rPr>
            </w:pPr>
            <w:r>
              <w:rPr>
                <w:sz w:val="20"/>
              </w:rPr>
              <w:t>(b)</w:t>
            </w:r>
          </w:p>
        </w:tc>
        <w:tc>
          <w:tcPr>
            <w:tcW w:w="9921" w:type="dxa"/>
            <w:tcBorders/>
            <w:vAlign w:val="center"/>
          </w:tcPr>
          <w:p>
            <w:pPr>
              <w:pStyle w:val="TableContents"/>
              <w:bidi w:val="0"/>
              <w:spacing w:before="0" w:after="283"/>
              <w:jc w:val="left"/>
              <w:rPr>
                <w:sz w:val="20"/>
              </w:rPr>
            </w:pPr>
            <w:r>
              <w:rPr>
                <w:sz w:val="20"/>
              </w:rPr>
              <w:t>No definitive agreement has been concluded to date regarding this deposit paid for the acquisition of land in Ras Al Khaimah, UAE.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614" w:type="dxa"/>
        <w:jc w:val="left"/>
        <w:tblInd w:w="0" w:type="dxa"/>
        <w:tblLayout w:type="fixed"/>
        <w:tblCellMar>
          <w:top w:w="0" w:type="dxa"/>
          <w:left w:w="0" w:type="dxa"/>
          <w:bottom w:w="0" w:type="dxa"/>
          <w:right w:w="0" w:type="dxa"/>
        </w:tblCellMar>
      </w:tblPr>
      <w:tblGrid>
        <w:gridCol w:w="3200"/>
        <w:gridCol w:w="90"/>
        <w:gridCol w:w="170"/>
        <w:gridCol w:w="1325"/>
        <w:gridCol w:w="125"/>
        <w:gridCol w:w="90"/>
        <w:gridCol w:w="458"/>
        <w:gridCol w:w="986"/>
        <w:gridCol w:w="170"/>
      </w:tblGrid>
      <w:tr>
        <w:trPr/>
        <w:tc>
          <w:tcPr>
            <w:tcW w:w="3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7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Balance at beginning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                  </w:t>
            </w:r>
            <w:r>
              <w:rPr/>
              <w:t>(4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Provision during the year</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Reversal of provision (Provision)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17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Ending balance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FFFFFF" w:val="clear"/>
            <w:tcMar>
              <w:bottom w:w="28" w:type="dxa"/>
            </w:tcMar>
            <w:vAlign w:val="center"/>
          </w:tcPr>
          <w:p>
            <w:pPr>
              <w:pStyle w:val="TableContents"/>
              <w:bidi w:val="0"/>
              <w:spacing w:before="0" w:after="283"/>
              <w:jc w:val="right"/>
              <w:rPr/>
            </w:pPr>
            <w:r>
              <w:rPr/>
              <w:t>(5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4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6" w:type="dxa"/>
            <w:tcBorders>
              <w:bottom w:val="double" w:sz="10" w:space="0" w:color="000000"/>
            </w:tcBorders>
            <w:shd w:fill="FFFFFF" w:val="clear"/>
            <w:tcMar>
              <w:bottom w:w="28" w:type="dxa"/>
            </w:tcMar>
            <w:vAlign w:val="center"/>
          </w:tcPr>
          <w:p>
            <w:pPr>
              <w:pStyle w:val="TableContents"/>
              <w:bidi w:val="0"/>
              <w:spacing w:before="0" w:after="283"/>
              <w:jc w:val="right"/>
              <w:rPr/>
            </w:pPr>
            <w:r>
              <w:rPr/>
              <w:t>(4</w:t>
            </w:r>
          </w:p>
        </w:tc>
        <w:tc>
          <w:tcPr>
            <w:tcW w:w="17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6 — PROPERTY AND EQUIPMENT,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 net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6443" w:type="dxa"/>
        <w:jc w:val="left"/>
        <w:tblInd w:w="0" w:type="dxa"/>
        <w:tblLayout w:type="fixed"/>
        <w:tblCellMar>
          <w:top w:w="0" w:type="dxa"/>
          <w:left w:w="0" w:type="dxa"/>
          <w:bottom w:w="0" w:type="dxa"/>
          <w:right w:w="0" w:type="dxa"/>
        </w:tblCellMar>
      </w:tblPr>
      <w:tblGrid>
        <w:gridCol w:w="3020"/>
        <w:gridCol w:w="90"/>
        <w:gridCol w:w="195"/>
        <w:gridCol w:w="1249"/>
        <w:gridCol w:w="125"/>
        <w:gridCol w:w="90"/>
        <w:gridCol w:w="203"/>
        <w:gridCol w:w="1301"/>
        <w:gridCol w:w="170"/>
      </w:tblGrid>
      <w:tr>
        <w:trPr/>
        <w:tc>
          <w:tcPr>
            <w:tcW w:w="3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At cost:</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Building improvement</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247,515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301" w:type="dxa"/>
            <w:tcBorders/>
            <w:shd w:fill="CCEEFF" w:val="clear"/>
            <w:vAlign w:val="center"/>
          </w:tcPr>
          <w:p>
            <w:pPr>
              <w:pStyle w:val="TableContents"/>
              <w:bidi w:val="0"/>
              <w:spacing w:before="0" w:after="283"/>
              <w:jc w:val="right"/>
              <w:rPr/>
            </w:pPr>
            <w:r>
              <w:rPr/>
              <w:t>196,929</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Furniture and fixtures</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1,550,061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25,390</w:t>
            </w:r>
          </w:p>
        </w:tc>
        <w:tc>
          <w:tcPr>
            <w:tcW w:w="17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Medical instruments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1,052,578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785,776</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Motor vehicle</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142,936</w:t>
            </w:r>
          </w:p>
        </w:tc>
        <w:tc>
          <w:tcPr>
            <w:tcW w:w="17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Office equipment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167,234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CCEEFF" w:val="clear"/>
            <w:tcMar>
              <w:bottom w:w="28" w:type="dxa"/>
            </w:tcMar>
            <w:vAlign w:val="center"/>
          </w:tcPr>
          <w:p>
            <w:pPr>
              <w:pStyle w:val="TableContents"/>
              <w:bidi w:val="0"/>
              <w:spacing w:before="0" w:after="283"/>
              <w:jc w:val="right"/>
              <w:rPr/>
            </w:pPr>
            <w:r>
              <w:rPr/>
              <w:t>361,385</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3,017,388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1,512,416</w:t>
            </w:r>
          </w:p>
        </w:tc>
        <w:tc>
          <w:tcPr>
            <w:tcW w:w="17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Less: accumulated depreciation</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(1,228,278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CCEEFF" w:val="clear"/>
            <w:tcMar>
              <w:bottom w:w="28" w:type="dxa"/>
            </w:tcMar>
            <w:vAlign w:val="center"/>
          </w:tcPr>
          <w:p>
            <w:pPr>
              <w:pStyle w:val="TableContents"/>
              <w:bidi w:val="0"/>
              <w:spacing w:before="0" w:after="283"/>
              <w:jc w:val="right"/>
              <w:rPr/>
            </w:pPr>
            <w:r>
              <w:rPr/>
              <w:t>(1,239,320</w:t>
            </w:r>
          </w:p>
        </w:tc>
        <w:tc>
          <w:tcPr>
            <w:tcW w:w="17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left"/>
              <w:rPr/>
            </w:pPr>
            <w:r>
              <w:rPr/>
              <w:t>Total</w:t>
            </w:r>
          </w:p>
        </w:tc>
        <w:tc>
          <w:tcPr>
            <w:tcW w:w="9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1,789,110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1" w:type="dxa"/>
            <w:tcBorders>
              <w:bottom w:val="double" w:sz="10" w:space="0" w:color="000000"/>
            </w:tcBorders>
            <w:shd w:fill="FFFFFF" w:val="clear"/>
            <w:tcMar>
              <w:bottom w:w="28" w:type="dxa"/>
            </w:tcMar>
            <w:vAlign w:val="center"/>
          </w:tcPr>
          <w:p>
            <w:pPr>
              <w:pStyle w:val="TableContents"/>
              <w:bidi w:val="0"/>
              <w:spacing w:before="0" w:after="283"/>
              <w:jc w:val="right"/>
              <w:rPr/>
            </w:pPr>
            <w:r>
              <w:rPr/>
              <w:t>273,096</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for the years ended December 31, 2025 and December 31, 2024 were $188,109 and $19,502,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loss was recorded for the years ended December 31,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7 —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intangible assets comprise: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73"/>
        <w:gridCol w:w="9827"/>
      </w:tblGrid>
      <w:tr>
        <w:trPr/>
        <w:tc>
          <w:tcPr>
            <w:tcW w:w="10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20"/>
              </w:rPr>
            </w:pPr>
            <w:r>
              <w:rPr>
                <w:sz w:val="20"/>
              </w:rPr>
              <w:t>(ii)</w:t>
            </w:r>
          </w:p>
        </w:tc>
        <w:tc>
          <w:tcPr>
            <w:tcW w:w="9827" w:type="dxa"/>
            <w:tcBorders/>
            <w:vAlign w:val="center"/>
          </w:tcPr>
          <w:p>
            <w:pPr>
              <w:pStyle w:val="TableContents"/>
              <w:bidi w:val="0"/>
              <w:spacing w:before="0" w:after="283"/>
              <w:jc w:val="both"/>
              <w:rPr>
                <w:sz w:val="20"/>
              </w:rPr>
            </w:pPr>
            <w:r>
              <w:rPr>
                <w:sz w:val="20"/>
              </w:rPr>
              <w:t>A trademark and technology upon the acquisition of MicroSort Lab Services, LLC (“MicroSort”) on February 28, 2025 valued at $3,495,335, refer Note 21,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78"/>
        <w:gridCol w:w="9822"/>
      </w:tblGrid>
      <w:tr>
        <w:trPr/>
        <w:tc>
          <w:tcPr>
            <w:tcW w:w="10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sz w:val="20"/>
              </w:rPr>
            </w:pPr>
            <w:r>
              <w:rPr>
                <w:sz w:val="20"/>
              </w:rPr>
              <w:t>(ii)</w:t>
            </w:r>
          </w:p>
        </w:tc>
        <w:tc>
          <w:tcPr>
            <w:tcW w:w="9822" w:type="dxa"/>
            <w:tcBorders/>
            <w:vAlign w:val="center"/>
          </w:tcPr>
          <w:p>
            <w:pPr>
              <w:pStyle w:val="TableContents"/>
              <w:bidi w:val="0"/>
              <w:spacing w:before="0" w:after="283"/>
              <w:jc w:val="both"/>
              <w:rPr>
                <w:sz w:val="20"/>
              </w:rPr>
            </w:pPr>
            <w:r>
              <w:rPr>
                <w:sz w:val="20"/>
              </w:rPr>
              <w:t>An intellectual property upon the acquisition of the business of Nodexus Inc (“Nodexus”) on July 29, 2025 valued at $19,166,000, refer Note 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exclusively owns the MicroSort Technology.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acquired patents from Nodexus Inc, in 2025,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these intangible assets as indefinite life intangible assets as there are currently no legal, competitive, economic or other factors that materially limit the useful life of the Company’s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350-30-35, Intangibles - Goodwill and Other, provides for an option to first perform a qualitative assessment to determine whether it is more likely than not that an asset is impaired. If the qualitative assessment supports that it is more likely than not that the fair value of the asset exceeds its carrying value, a quantitative impairment test is not required. If the qualitative assessment does not support the fair value of the asset, then a quantitative assessment is performed. Our annual impairment assessment of our identifiable indefinite lived intangible assets is performed as of the fourth quarter of each year. An assessment is performed at other times if an event occurs or circumstances change that would more likely than not reduce the fair value of the asset below its carrying value. If the carrying value of the intangible assets exceeds its fair value, an impairment loss is recognized in an amount equal to that excess.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performed a qualitative assessment, during the fourth quarter of 2025, to determine whether it was more likely than not that the carrying amounts of its intangible assets were impaired. This assessment considered a number of qualitative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105"/>
        <w:gridCol w:w="110"/>
        <w:gridCol w:w="2375"/>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sz w:val="20"/>
              </w:rPr>
            </w:pPr>
            <w:r>
              <w:rPr>
                <w:sz w:val="20"/>
              </w:rPr>
              <w:t>-</w:t>
            </w:r>
          </w:p>
        </w:tc>
        <w:tc>
          <w:tcPr>
            <w:tcW w:w="2375" w:type="dxa"/>
            <w:tcBorders/>
            <w:vAlign w:val="center"/>
          </w:tcPr>
          <w:p>
            <w:pPr>
              <w:pStyle w:val="TableContents"/>
              <w:bidi w:val="0"/>
              <w:spacing w:before="0" w:after="283"/>
              <w:jc w:val="both"/>
              <w:rPr>
                <w:sz w:val="20"/>
              </w:rPr>
            </w:pPr>
            <w:r>
              <w:rPr>
                <w:sz w:val="20"/>
              </w:rPr>
              <w:t>Macroeconomic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05"/>
        <w:gridCol w:w="110"/>
        <w:gridCol w:w="2300"/>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sz w:val="20"/>
              </w:rPr>
            </w:pPr>
            <w:r>
              <w:rPr>
                <w:sz w:val="20"/>
              </w:rPr>
              <w:t>-</w:t>
            </w:r>
          </w:p>
        </w:tc>
        <w:tc>
          <w:tcPr>
            <w:tcW w:w="2300" w:type="dxa"/>
            <w:tcBorders/>
            <w:vAlign w:val="center"/>
          </w:tcPr>
          <w:p>
            <w:pPr>
              <w:pStyle w:val="TableContents"/>
              <w:bidi w:val="0"/>
              <w:spacing w:before="0" w:after="283"/>
              <w:jc w:val="both"/>
              <w:rPr>
                <w:sz w:val="20"/>
              </w:rPr>
            </w:pPr>
            <w:r>
              <w:rPr>
                <w:sz w:val="20"/>
              </w:rPr>
              <w:t>Industry and market trends,</w:t>
            </w:r>
          </w:p>
        </w:tc>
      </w:tr>
    </w:tbl>
    <w:p>
      <w:pPr>
        <w:pStyle w:val="TextBody"/>
        <w:bidi w:val="0"/>
        <w:spacing w:before="0" w:after="0"/>
        <w:ind w:left="0" w:right="0" w:hanging="0"/>
        <w:jc w:val="left"/>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105"/>
        <w:gridCol w:w="110"/>
        <w:gridCol w:w="1100"/>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sz w:val="20"/>
              </w:rPr>
            </w:pPr>
            <w:r>
              <w:rPr>
                <w:sz w:val="20"/>
              </w:rPr>
              <w:t>-</w:t>
            </w:r>
          </w:p>
        </w:tc>
        <w:tc>
          <w:tcPr>
            <w:tcW w:w="1100" w:type="dxa"/>
            <w:tcBorders/>
            <w:vAlign w:val="center"/>
          </w:tcPr>
          <w:p>
            <w:pPr>
              <w:pStyle w:val="TableContents"/>
              <w:bidi w:val="0"/>
              <w:spacing w:before="0" w:after="283"/>
              <w:jc w:val="both"/>
              <w:rPr>
                <w:sz w:val="20"/>
              </w:rPr>
            </w:pPr>
            <w:r>
              <w:rPr>
                <w:sz w:val="20"/>
              </w:rPr>
              <w:t>Cost factors,</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05"/>
        <w:gridCol w:w="110"/>
        <w:gridCol w:w="3500"/>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sz w:val="20"/>
              </w:rPr>
            </w:pPr>
            <w:r>
              <w:rPr>
                <w:sz w:val="20"/>
              </w:rPr>
              <w:t>-</w:t>
            </w:r>
          </w:p>
        </w:tc>
        <w:tc>
          <w:tcPr>
            <w:tcW w:w="3500" w:type="dxa"/>
            <w:tcBorders/>
            <w:vAlign w:val="center"/>
          </w:tcPr>
          <w:p>
            <w:pPr>
              <w:pStyle w:val="TableContents"/>
              <w:bidi w:val="0"/>
              <w:spacing w:before="0" w:after="283"/>
              <w:jc w:val="both"/>
              <w:rPr>
                <w:sz w:val="20"/>
              </w:rPr>
            </w:pPr>
            <w:r>
              <w:rPr>
                <w:sz w:val="20"/>
              </w:rPr>
              <w:t>Overall financial performance of the asset,</w:t>
            </w:r>
          </w:p>
        </w:tc>
      </w:tr>
    </w:tbl>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105"/>
        <w:gridCol w:w="110"/>
        <w:gridCol w:w="3260"/>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sz w:val="20"/>
              </w:rPr>
            </w:pPr>
            <w:r>
              <w:rPr>
                <w:sz w:val="20"/>
              </w:rPr>
              <w:t>-</w:t>
            </w:r>
          </w:p>
        </w:tc>
        <w:tc>
          <w:tcPr>
            <w:tcW w:w="3260" w:type="dxa"/>
            <w:tcBorders/>
            <w:vAlign w:val="center"/>
          </w:tcPr>
          <w:p>
            <w:pPr>
              <w:pStyle w:val="TableContents"/>
              <w:bidi w:val="0"/>
              <w:spacing w:before="0" w:after="283"/>
              <w:jc w:val="both"/>
              <w:rPr>
                <w:sz w:val="20"/>
              </w:rPr>
            </w:pPr>
            <w:r>
              <w:rPr>
                <w:sz w:val="20"/>
              </w:rPr>
              <w:t>Legal and regulatory environment, and</w:t>
            </w:r>
          </w:p>
        </w:tc>
      </w:tr>
    </w:tbl>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105"/>
        <w:gridCol w:w="110"/>
        <w:gridCol w:w="4340"/>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sz w:val="20"/>
              </w:rPr>
            </w:pPr>
            <w:r>
              <w:rPr>
                <w:sz w:val="20"/>
              </w:rPr>
              <w:t>-</w:t>
            </w:r>
          </w:p>
        </w:tc>
        <w:tc>
          <w:tcPr>
            <w:tcW w:w="4340" w:type="dxa"/>
            <w:tcBorders/>
            <w:vAlign w:val="center"/>
          </w:tcPr>
          <w:p>
            <w:pPr>
              <w:pStyle w:val="TableContents"/>
              <w:bidi w:val="0"/>
              <w:spacing w:before="0" w:after="283"/>
              <w:jc w:val="both"/>
              <w:rPr>
                <w:sz w:val="20"/>
              </w:rPr>
            </w:pPr>
            <w:r>
              <w:rPr>
                <w:sz w:val="20"/>
              </w:rPr>
              <w:t>Relevant internal reporting and management’s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qualitative assessment, management did not identify any events or changes in circumstances that would indicate that the carrying amounts of the Company’s intangible assets are not recoverable. The qualitative impairment assessment of the indefinite intangible assets indicated that the fair value of such assets exceeded their carrying value and therefore were not at risk of impairment. Accordingly, no quantitative impairment test was deemed necessary, and no impairment losses were recognized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8 — DIGITAL ASSETS,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began investing excess treasury balances in certain digital assets, comprising Solana (“SOL”), Bitcoin (“BTC”), Ethereum (“ETH”), and a cryptographic token native to the XRP Ledger (“XRP”), all of which are blockchain-based crypto assets, as part of its capital allocation strategy. The Company’s primary business remains the provision of in-vitro fertilization (“IVF”) services, and digital asset activities are not part of its core operating activities. The Company does not engage in mining, staking, lending, nor other yield-generating crypto asset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and dispositions in digital assets during the year ended December 31, 2025 are made in cash through a third-party trading platform. The Company did not receive digital assets from customers nor use digital assets as payment for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Holdings as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crypto asset holdings at December 31, 2025:</w:t>
      </w:r>
    </w:p>
    <w:p>
      <w:pPr>
        <w:pStyle w:val="TextBody"/>
        <w:bidi w:val="0"/>
        <w:spacing w:before="0" w:after="0"/>
        <w:ind w:left="0" w:right="0" w:hanging="0"/>
        <w:jc w:val="both"/>
        <w:rPr>
          <w:caps w:val="false"/>
          <w:smallCaps w:val="false"/>
        </w:rPr>
      </w:pPr>
      <w:r>
        <w:rPr>
          <w:caps w:val="false"/>
          <w:smallCaps w:val="false"/>
        </w:rPr>
        <w:t> </w:t>
      </w:r>
    </w:p>
    <w:tbl>
      <w:tblPr>
        <w:tblW w:w="5715" w:type="dxa"/>
        <w:jc w:val="left"/>
        <w:tblInd w:w="0" w:type="dxa"/>
        <w:tblLayout w:type="fixed"/>
        <w:tblCellMar>
          <w:top w:w="0" w:type="dxa"/>
          <w:left w:w="0" w:type="dxa"/>
          <w:bottom w:w="28" w:type="dxa"/>
          <w:right w:w="0" w:type="dxa"/>
        </w:tblCellMar>
      </w:tblPr>
      <w:tblGrid>
        <w:gridCol w:w="1670"/>
        <w:gridCol w:w="90"/>
        <w:gridCol w:w="90"/>
        <w:gridCol w:w="1010"/>
        <w:gridCol w:w="90"/>
        <w:gridCol w:w="90"/>
        <w:gridCol w:w="170"/>
        <w:gridCol w:w="1010"/>
        <w:gridCol w:w="90"/>
        <w:gridCol w:w="90"/>
        <w:gridCol w:w="170"/>
        <w:gridCol w:w="1010"/>
        <w:gridCol w:w="135"/>
      </w:tblGrid>
      <w:tr>
        <w:trPr/>
        <w:tc>
          <w:tcPr>
            <w:tcW w:w="1670" w:type="dxa"/>
            <w:tcBorders>
              <w:bottom w:val="single" w:sz="12" w:space="0" w:color="000000"/>
            </w:tcBorders>
            <w:vAlign w:val="center"/>
          </w:tcPr>
          <w:p>
            <w:pPr>
              <w:pStyle w:val="TableContents"/>
              <w:bidi w:val="0"/>
              <w:spacing w:before="0" w:after="283"/>
              <w:jc w:val="left"/>
              <w:rPr>
                <w:b/>
              </w:rPr>
            </w:pPr>
            <w:r>
              <w:rPr>
                <w:b/>
              </w:rPr>
              <w:t>Crypto asset</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Units held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Cost basis</w:t>
              <w:br/>
              <w:t>(USD)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Fair value</w:t>
              <w:br/>
              <w:t>(USD)</w:t>
            </w:r>
          </w:p>
        </w:tc>
        <w:tc>
          <w:tcPr>
            <w:tcW w:w="135" w:type="dxa"/>
            <w:tcBorders/>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283"/>
              <w:jc w:val="both"/>
              <w:rPr/>
            </w:pPr>
            <w:r>
              <w:rPr/>
              <w:t>Solana (SOL)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13,000.23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2,906,222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1,630,827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both"/>
              <w:rPr/>
            </w:pPr>
            <w:r>
              <w:rPr/>
              <w:t>Bitcoin (BTC)</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0"/>
              <w:jc w:val="right"/>
              <w:rPr/>
            </w:pPr>
            <w:r>
              <w:rPr/>
              <w:t>–</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283"/>
              <w:jc w:val="both"/>
              <w:rPr/>
            </w:pPr>
            <w:r>
              <w:rPr/>
              <w:t>Ethereum (ETH)</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both"/>
              <w:rPr/>
            </w:pPr>
            <w:r>
              <w:rPr/>
              <w:t>XRP</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1010" w:type="dxa"/>
            <w:tcBorders>
              <w:bottom w:val="single" w:sz="12" w:space="0" w:color="000000"/>
            </w:tcBorders>
            <w:shd w:fill="FFFFFF" w:val="cle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1010" w:type="dxa"/>
            <w:tcBorders>
              <w:bottom w:val="single" w:sz="12" w:space="0" w:color="000000"/>
            </w:tcBorders>
            <w:shd w:fill="FFFFFF" w:val="clear"/>
            <w:vAlign w:val="center"/>
          </w:tcPr>
          <w:p>
            <w:pPr>
              <w:pStyle w:val="TableContents"/>
              <w:bidi w:val="0"/>
              <w:spacing w:before="0" w:after="0"/>
              <w:jc w:val="right"/>
              <w:rPr/>
            </w:pPr>
            <w:r>
              <w:rPr/>
              <w:t>–</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283"/>
              <w:jc w:val="both"/>
              <w:rPr>
                <w:b/>
              </w:rPr>
            </w:pPr>
            <w:r>
              <w:rPr>
                <w:b/>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vAlign w:val="center"/>
          </w:tcPr>
          <w:p>
            <w:pPr>
              <w:pStyle w:val="TableContents"/>
              <w:bidi w:val="0"/>
              <w:spacing w:before="0" w:after="283"/>
              <w:jc w:val="right"/>
              <w:rPr>
                <w:b/>
              </w:rPr>
            </w:pPr>
            <w:r>
              <w:rPr>
                <w:b/>
              </w:rPr>
              <w:t>2,906,222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vAlign w:val="center"/>
          </w:tcPr>
          <w:p>
            <w:pPr>
              <w:pStyle w:val="TableContents"/>
              <w:bidi w:val="0"/>
              <w:spacing w:before="0" w:after="283"/>
              <w:jc w:val="right"/>
              <w:rPr>
                <w:b/>
              </w:rPr>
            </w:pPr>
            <w:r>
              <w:rPr>
                <w:b/>
              </w:rPr>
              <w:t>1,630,827</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per unit of Solana as at December 31, 2025 was approximately $125, based on quoted prices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Digital Asset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in digital assets for the year ended December 31, 2025 (in units):</w:t>
      </w:r>
    </w:p>
    <w:p>
      <w:pPr>
        <w:pStyle w:val="TextBody"/>
        <w:bidi w:val="0"/>
        <w:spacing w:before="0" w:after="0"/>
        <w:ind w:left="0" w:right="0" w:hanging="0"/>
        <w:jc w:val="both"/>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2630"/>
        <w:gridCol w:w="90"/>
        <w:gridCol w:w="90"/>
        <w:gridCol w:w="935"/>
        <w:gridCol w:w="110"/>
        <w:gridCol w:w="90"/>
        <w:gridCol w:w="90"/>
        <w:gridCol w:w="470"/>
        <w:gridCol w:w="110"/>
        <w:gridCol w:w="90"/>
        <w:gridCol w:w="90"/>
        <w:gridCol w:w="470"/>
        <w:gridCol w:w="110"/>
        <w:gridCol w:w="90"/>
        <w:gridCol w:w="90"/>
        <w:gridCol w:w="1040"/>
        <w:gridCol w:w="155"/>
      </w:tblGrid>
      <w:tr>
        <w:trPr/>
        <w:tc>
          <w:tcPr>
            <w:tcW w:w="2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SOL </w:t>
              <w:br/>
              <w:t>Units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BTC </w:t>
              <w:br/>
              <w:t>Units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ETH </w:t>
              <w:br/>
              <w:t>Units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XRP </w:t>
              <w:br/>
              <w:t>Units</w:t>
            </w:r>
          </w:p>
        </w:tc>
        <w:tc>
          <w:tcPr>
            <w:tcW w:w="15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sz w:val="20"/>
              </w:rPr>
            </w:pPr>
            <w:r>
              <w:rPr>
                <w:sz w:val="20"/>
              </w:rPr>
              <w:t>Balance at January 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sz w:val="20"/>
              </w:rPr>
            </w:pPr>
            <w:r>
              <w:rPr>
                <w:sz w:val="20"/>
              </w:rPr>
              <w:t>Purchases during the year</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sz w:val="20"/>
              </w:rPr>
            </w:pPr>
            <w:r>
              <w:rPr>
                <w:sz w:val="20"/>
              </w:rPr>
              <w:t>46,118.55</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sz w:val="20"/>
              </w:rPr>
            </w:pPr>
            <w:r>
              <w:rPr>
                <w:sz w:val="20"/>
              </w:rPr>
              <w:t>8.77</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sz w:val="20"/>
              </w:rPr>
            </w:pPr>
            <w:r>
              <w:rPr>
                <w:sz w:val="20"/>
              </w:rPr>
              <w:t>8.95</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sz w:val="20"/>
              </w:rPr>
            </w:pPr>
            <w:r>
              <w:rPr>
                <w:sz w:val="20"/>
              </w:rPr>
              <w:t>146,432.14</w:t>
            </w:r>
          </w:p>
        </w:tc>
        <w:tc>
          <w:tcPr>
            <w:tcW w:w="15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sz w:val="20"/>
              </w:rPr>
            </w:pPr>
            <w:r>
              <w:rPr>
                <w:sz w:val="20"/>
              </w:rPr>
              <w:t>Sales during the year</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(33,118.32</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(8.77</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(8.95</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(146,432.14</w:t>
            </w:r>
          </w:p>
        </w:tc>
        <w:tc>
          <w:tcPr>
            <w:tcW w:w="155" w:type="dxa"/>
            <w:tcBorders/>
            <w:shd w:fill="CCEEFF" w:val="clear"/>
            <w:vAlign w:val="center"/>
          </w:tcPr>
          <w:p>
            <w:pPr>
              <w:pStyle w:val="TableContents"/>
              <w:bidi w:val="0"/>
              <w:spacing w:before="0" w:after="283"/>
              <w:jc w:val="left"/>
              <w:rPr>
                <w:sz w:val="20"/>
              </w:rPr>
            </w:pPr>
            <w:r>
              <w:rPr>
                <w:sz w:val="20"/>
              </w:rPr>
              <w:t>)</w:t>
            </w:r>
          </w:p>
        </w:tc>
      </w:tr>
      <w:tr>
        <w:trPr/>
        <w:tc>
          <w:tcPr>
            <w:tcW w:w="263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b/>
                <w:sz w:val="20"/>
              </w:rPr>
            </w:pPr>
            <w:r>
              <w:rPr>
                <w:b/>
                <w:sz w:val="20"/>
              </w:rPr>
              <w:t>Balance at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13,000.23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079" w:type="dxa"/>
        <w:jc w:val="left"/>
        <w:tblInd w:w="0" w:type="dxa"/>
        <w:tblLayout w:type="fixed"/>
        <w:tblCellMar>
          <w:top w:w="0" w:type="dxa"/>
          <w:left w:w="0" w:type="dxa"/>
          <w:bottom w:w="0" w:type="dxa"/>
          <w:right w:w="0" w:type="dxa"/>
        </w:tblCellMar>
      </w:tblPr>
      <w:tblGrid>
        <w:gridCol w:w="2420"/>
        <w:gridCol w:w="90"/>
        <w:gridCol w:w="90"/>
        <w:gridCol w:w="1085"/>
        <w:gridCol w:w="125"/>
        <w:gridCol w:w="90"/>
        <w:gridCol w:w="90"/>
        <w:gridCol w:w="710"/>
        <w:gridCol w:w="90"/>
        <w:gridCol w:w="90"/>
        <w:gridCol w:w="124"/>
        <w:gridCol w:w="570"/>
        <w:gridCol w:w="90"/>
        <w:gridCol w:w="90"/>
        <w:gridCol w:w="90"/>
        <w:gridCol w:w="710"/>
        <w:gridCol w:w="90"/>
        <w:gridCol w:w="90"/>
        <w:gridCol w:w="90"/>
        <w:gridCol w:w="1085"/>
        <w:gridCol w:w="170"/>
      </w:tblGrid>
      <w:tr>
        <w:trPr/>
        <w:tc>
          <w:tcPr>
            <w:tcW w:w="24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SOL </w:t>
              <w:br/>
              <w:t>(USD)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BTC</w:t>
              <w:br/>
              <w:t>(USD)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ETH </w:t>
              <w:br/>
              <w:t>(USD)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XRP </w:t>
              <w:br/>
              <w:t>(USD)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(USD)</w:t>
            </w:r>
          </w:p>
        </w:tc>
        <w:tc>
          <w:tcPr>
            <w:tcW w:w="170"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both"/>
              <w:rPr/>
            </w:pPr>
            <w:r>
              <w:rPr/>
              <w:t>Realised gains (Losses)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919,720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12,569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pPr>
            <w:r>
              <w:rPr/>
              <w:t>223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10,849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942,915</w:t>
            </w:r>
          </w:p>
        </w:tc>
        <w:tc>
          <w:tcPr>
            <w:tcW w:w="17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both"/>
              <w:rPr/>
            </w:pPr>
            <w:r>
              <w:rPr/>
              <w:t>Unrealized gains (losses)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(1,275,395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(1,275,395</w:t>
            </w:r>
          </w:p>
        </w:tc>
        <w:tc>
          <w:tcPr>
            <w:tcW w:w="170" w:type="dxa"/>
            <w:tcBorders/>
            <w:shd w:fill="FFFFFF" w:val="clear"/>
            <w:vAlign w:val="center"/>
          </w:tcPr>
          <w:p>
            <w:pPr>
              <w:pStyle w:val="TableContents"/>
              <w:bidi w:val="0"/>
              <w:spacing w:before="0" w:after="283"/>
              <w:jc w:val="left"/>
              <w:rPr/>
            </w:pPr>
            <w:r>
              <w:rPr/>
              <w:t>)</w:t>
            </w:r>
          </w:p>
        </w:tc>
      </w:tr>
      <w:tr>
        <w:trPr/>
        <w:tc>
          <w:tcPr>
            <w:tcW w:w="2420" w:type="dxa"/>
            <w:tcBorders/>
            <w:shd w:fill="CCEEFF" w:val="clear"/>
            <w:vAlign w:val="center"/>
          </w:tcPr>
          <w:p>
            <w:pPr>
              <w:pStyle w:val="TableContents"/>
              <w:bidi w:val="0"/>
              <w:spacing w:before="0" w:after="283"/>
              <w:jc w:val="both"/>
              <w:rPr>
                <w:b/>
              </w:rPr>
            </w:pPr>
            <w:r>
              <w:rPr>
                <w:b/>
              </w:rPr>
              <w:t>Net Gain/Loss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(355,675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12,569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10,849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(332,480</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and presented the Net loss as a separate line item within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Solana remained held at year-end; all BTC, ETH, and XRP positions were fully liquidated prior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crypto assets were not subject to contractual sale restrictions, pledges, or lock-up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 assets are measured using Level 1 inputs within the fair value hierarchy under ASC 820, based on quoted prices for identical assets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9 — DEPOSIT WITH FUTURES BROKER,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engaged in trading of exchange-traded equity index futures through a margin account maintained with a regulated futures broker. These contracts were accounted for as derivative instruments under ASC 815, Derivatives and Hedging, and were not designated as hedging instruments for accounting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margin deposit, which is denominated in US$, represents cash funds placed with the futures broker to support margin requirements and trading activities denominated in Japanese yen (“JPY) within the margin account. Realised gains and losses from futures transactions, along with brokerage fees, margin interest, and other associated charges, were accumulated within the margin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 margin deposit held with the broker of US$ 760,000, and a margin account of accumulated trading losses and margin-related charges of JPY 109,875,291 (US$700,631), which are presented as a net amount of US59,368.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financial year end, the Company has ceased all derivative trading activities. Upon subsequent closure of the margin account in the near term, any remaining cash balances are expected to be remitted to the Company net of outstanding broker charges and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realised and unrealised gains and losses arising from futures trading activities during the year were recognized in earnings within other income (expense) in the consolidated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futures contracts traded during the year were exchange-traded instruments valued using quoted prices in active markets and, when outstanding, would have been classified within Level 1 of the fair value hierarchy under ASC 820,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held no derivative assets or liabilities subject to recurring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10 — ACCRUED LIABILITIES AND OTHER PAYABLES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payables consist of the following:</w:t>
      </w:r>
    </w:p>
    <w:p>
      <w:pPr>
        <w:pStyle w:val="TextBody"/>
        <w:bidi w:val="0"/>
        <w:spacing w:before="0" w:after="0"/>
        <w:ind w:left="0" w:right="0" w:firstLine="720"/>
        <w:jc w:val="both"/>
        <w:rPr>
          <w:caps w:val="false"/>
          <w:smallCaps w:val="false"/>
        </w:rPr>
      </w:pPr>
      <w:r>
        <w:rPr>
          <w:caps w:val="false"/>
          <w:smallCaps w:val="false"/>
        </w:rPr>
        <w:t> </w:t>
      </w:r>
    </w:p>
    <w:tbl>
      <w:tblPr>
        <w:tblW w:w="6508" w:type="dxa"/>
        <w:jc w:val="left"/>
        <w:tblInd w:w="0" w:type="dxa"/>
        <w:tblLayout w:type="fixed"/>
        <w:tblCellMar>
          <w:top w:w="0" w:type="dxa"/>
          <w:left w:w="0" w:type="dxa"/>
          <w:bottom w:w="0" w:type="dxa"/>
          <w:right w:w="0" w:type="dxa"/>
        </w:tblCellMar>
      </w:tblPr>
      <w:tblGrid>
        <w:gridCol w:w="3155"/>
        <w:gridCol w:w="90"/>
        <w:gridCol w:w="245"/>
        <w:gridCol w:w="1199"/>
        <w:gridCol w:w="90"/>
        <w:gridCol w:w="90"/>
        <w:gridCol w:w="255"/>
        <w:gridCol w:w="1249"/>
        <w:gridCol w:w="135"/>
      </w:tblGrid>
      <w:tr>
        <w:trPr/>
        <w:tc>
          <w:tcPr>
            <w:tcW w:w="31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both"/>
              <w:rPr/>
            </w:pPr>
            <w:r>
              <w:rPr/>
              <w:t>Accrued expenses</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514,169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201,455</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both"/>
              <w:rPr/>
            </w:pPr>
            <w:r>
              <w:rPr/>
              <w:t>Customer deposit</w:t>
            </w:r>
          </w:p>
        </w:tc>
        <w:tc>
          <w:tcPr>
            <w:tcW w:w="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6,349</w:t>
            </w:r>
          </w:p>
        </w:tc>
        <w:tc>
          <w:tcPr>
            <w:tcW w:w="13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both"/>
              <w:rPr/>
            </w:pPr>
            <w:r>
              <w:rPr/>
              <w:t>Withholding tax payable</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1,889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4,361</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both"/>
              <w:rPr/>
            </w:pPr>
            <w:r>
              <w:rPr/>
              <w:t>Independent director fee payable</w:t>
            </w:r>
          </w:p>
        </w:tc>
        <w:tc>
          <w:tcPr>
            <w:tcW w:w="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20,000</w:t>
            </w:r>
          </w:p>
        </w:tc>
        <w:tc>
          <w:tcPr>
            <w:tcW w:w="13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both"/>
              <w:rPr/>
            </w:pPr>
            <w:r>
              <w:rPr/>
              <w:t>Compensation payable</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105,446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100,802</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both"/>
              <w:rPr/>
            </w:pPr>
            <w:r>
              <w:rPr/>
              <w:t>Other payables</w:t>
            </w:r>
          </w:p>
        </w:tc>
        <w:tc>
          <w:tcPr>
            <w:tcW w:w="90" w:type="dxa"/>
            <w:tcBorders/>
            <w:shd w:fill="FFFFFF" w:val="clear"/>
            <w:vAlign w:val="center"/>
          </w:tcPr>
          <w:p>
            <w:pPr>
              <w:pStyle w:val="TableContents"/>
              <w:bidi w:val="0"/>
              <w:spacing w:before="0" w:after="283"/>
              <w:jc w:val="left"/>
              <w:rPr/>
            </w:pPr>
            <w:r>
              <w:rPr/>
              <w:t> </w:t>
            </w:r>
          </w:p>
        </w:tc>
        <w:tc>
          <w:tcPr>
            <w:tcW w:w="2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90,388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167,762</w:t>
            </w:r>
          </w:p>
        </w:tc>
        <w:tc>
          <w:tcPr>
            <w:tcW w:w="13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711,892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500,729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payable represents a claim relating to an employee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11 — CONTRACT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the following:</w:t>
      </w:r>
    </w:p>
    <w:p>
      <w:pPr>
        <w:pStyle w:val="TextBody"/>
        <w:bidi w:val="0"/>
        <w:spacing w:before="0" w:after="0"/>
        <w:ind w:left="0" w:right="0" w:firstLine="720"/>
        <w:jc w:val="both"/>
        <w:rPr>
          <w:caps w:val="false"/>
          <w:smallCaps w:val="false"/>
        </w:rPr>
      </w:pPr>
      <w:r>
        <w:rPr>
          <w:caps w:val="false"/>
          <w:smallCaps w:val="false"/>
        </w:rPr>
        <w:t> </w:t>
      </w:r>
    </w:p>
    <w:tbl>
      <w:tblPr>
        <w:tblW w:w="7763" w:type="dxa"/>
        <w:jc w:val="left"/>
        <w:tblInd w:w="0" w:type="dxa"/>
        <w:tblLayout w:type="fixed"/>
        <w:tblCellMar>
          <w:top w:w="0" w:type="dxa"/>
          <w:left w:w="0" w:type="dxa"/>
          <w:bottom w:w="0" w:type="dxa"/>
          <w:right w:w="0" w:type="dxa"/>
        </w:tblCellMar>
      </w:tblPr>
      <w:tblGrid>
        <w:gridCol w:w="4400"/>
        <w:gridCol w:w="90"/>
        <w:gridCol w:w="245"/>
        <w:gridCol w:w="1199"/>
        <w:gridCol w:w="125"/>
        <w:gridCol w:w="90"/>
        <w:gridCol w:w="257"/>
        <w:gridCol w:w="1187"/>
        <w:gridCol w:w="170"/>
      </w:tblGrid>
      <w:tr>
        <w:trPr/>
        <w:tc>
          <w:tcPr>
            <w:tcW w:w="4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7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both"/>
              <w:rPr/>
            </w:pPr>
            <w:r>
              <w:rPr/>
              <w:t>Balance at beginning of year</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63,489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7,937</w:t>
            </w:r>
          </w:p>
        </w:tc>
        <w:tc>
          <w:tcPr>
            <w:tcW w:w="170"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both"/>
              <w:rPr/>
            </w:pPr>
            <w:r>
              <w:rPr/>
              <w:t>Advance billings to customers during the year</w:t>
            </w:r>
          </w:p>
        </w:tc>
        <w:tc>
          <w:tcPr>
            <w:tcW w:w="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57,274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75,340</w:t>
            </w:r>
          </w:p>
        </w:tc>
        <w:tc>
          <w:tcPr>
            <w:tcW w:w="17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both"/>
              <w:rPr/>
            </w:pPr>
            <w:r>
              <w:rPr/>
              <w:t>Recognized to revenue during the year</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(8,782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(19,788</w:t>
            </w:r>
          </w:p>
        </w:tc>
        <w:tc>
          <w:tcPr>
            <w:tcW w:w="170" w:type="dxa"/>
            <w:tcBorders/>
            <w:shd w:fill="CCEEFF" w:val="clear"/>
            <w:vAlign w:val="center"/>
          </w:tcPr>
          <w:p>
            <w:pPr>
              <w:pStyle w:val="TableContents"/>
              <w:bidi w:val="0"/>
              <w:spacing w:before="0" w:after="283"/>
              <w:jc w:val="left"/>
              <w:rPr/>
            </w:pPr>
            <w:r>
              <w:rPr/>
              <w:t>)</w:t>
            </w:r>
          </w:p>
        </w:tc>
      </w:tr>
      <w:tr>
        <w:trPr/>
        <w:tc>
          <w:tcPr>
            <w:tcW w:w="4400" w:type="dxa"/>
            <w:tcBorders/>
            <w:shd w:fill="FFFFFF" w:val="clear"/>
            <w:vAlign w:val="center"/>
          </w:tcPr>
          <w:p>
            <w:pPr>
              <w:pStyle w:val="TableContents"/>
              <w:bidi w:val="0"/>
              <w:spacing w:before="0" w:after="283"/>
              <w:jc w:val="both"/>
              <w:rPr/>
            </w:pPr>
            <w:r>
              <w:rPr/>
              <w:t>Balance at end of year</w:t>
            </w:r>
          </w:p>
        </w:tc>
        <w:tc>
          <w:tcPr>
            <w:tcW w:w="90" w:type="dxa"/>
            <w:tcBorders/>
            <w:shd w:fill="FFFFFF" w:val="clear"/>
            <w:vAlign w:val="center"/>
          </w:tcPr>
          <w:p>
            <w:pPr>
              <w:pStyle w:val="TableContents"/>
              <w:bidi w:val="0"/>
              <w:spacing w:before="0" w:after="283"/>
              <w:jc w:val="left"/>
              <w:rPr/>
            </w:pPr>
            <w:r>
              <w:rPr/>
              <w:t> </w:t>
            </w:r>
          </w:p>
        </w:tc>
        <w:tc>
          <w:tcPr>
            <w:tcW w:w="2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FFFFFF" w:val="clear"/>
            <w:tcMar>
              <w:bottom w:w="28" w:type="dxa"/>
            </w:tcMar>
            <w:vAlign w:val="center"/>
          </w:tcPr>
          <w:p>
            <w:pPr>
              <w:pStyle w:val="TableContents"/>
              <w:bidi w:val="0"/>
              <w:spacing w:before="0" w:after="283"/>
              <w:jc w:val="right"/>
              <w:rPr/>
            </w:pPr>
            <w:r>
              <w:rPr/>
              <w:t>111,981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7" w:type="dxa"/>
            <w:tcBorders>
              <w:bottom w:val="double" w:sz="10" w:space="0" w:color="000000"/>
            </w:tcBorders>
            <w:shd w:fill="FFFFFF" w:val="clear"/>
            <w:tcMar>
              <w:bottom w:w="28" w:type="dxa"/>
            </w:tcMar>
            <w:vAlign w:val="center"/>
          </w:tcPr>
          <w:p>
            <w:pPr>
              <w:pStyle w:val="TableContents"/>
              <w:bidi w:val="0"/>
              <w:spacing w:before="0" w:after="283"/>
              <w:jc w:val="right"/>
              <w:rPr/>
            </w:pPr>
            <w:r>
              <w:rPr/>
              <w:t>63,489</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12 — CONVERTIBLE NOTES AND DERIVATIVE LIABILITY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at amortised cost are as follows:</w:t>
      </w:r>
    </w:p>
    <w:p>
      <w:pPr>
        <w:pStyle w:val="TextBody"/>
        <w:bidi w:val="0"/>
        <w:spacing w:before="0" w:after="0"/>
        <w:ind w:left="0" w:right="0" w:hanging="0"/>
        <w:jc w:val="both"/>
        <w:rPr>
          <w:caps w:val="false"/>
          <w:smallCaps w:val="false"/>
        </w:rPr>
      </w:pPr>
      <w:r>
        <w:rPr>
          <w:caps w:val="false"/>
          <w:smallCaps w:val="false"/>
        </w:rPr>
        <w:t> </w:t>
      </w:r>
    </w:p>
    <w:tbl>
      <w:tblPr>
        <w:tblW w:w="6639" w:type="dxa"/>
        <w:jc w:val="left"/>
        <w:tblInd w:w="0" w:type="dxa"/>
        <w:tblLayout w:type="fixed"/>
        <w:tblCellMar>
          <w:top w:w="0" w:type="dxa"/>
          <w:left w:w="0" w:type="dxa"/>
          <w:bottom w:w="0" w:type="dxa"/>
          <w:right w:w="0" w:type="dxa"/>
        </w:tblCellMar>
      </w:tblPr>
      <w:tblGrid>
        <w:gridCol w:w="3215"/>
        <w:gridCol w:w="90"/>
        <w:gridCol w:w="208"/>
        <w:gridCol w:w="1237"/>
        <w:gridCol w:w="125"/>
        <w:gridCol w:w="90"/>
        <w:gridCol w:w="122"/>
        <w:gridCol w:w="1382"/>
        <w:gridCol w:w="170"/>
      </w:tblGrid>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Convertible notes issued</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4,701,738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3,059,595</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Less: Deferred debt issuance cost</w:t>
            </w:r>
          </w:p>
        </w:tc>
        <w:tc>
          <w:tcPr>
            <w:tcW w:w="9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37" w:type="dxa"/>
            <w:tcBorders>
              <w:bottom w:val="single" w:sz="12" w:space="0" w:color="000000"/>
            </w:tcBorders>
            <w:shd w:fill="FFFFFF" w:val="clear"/>
            <w:tcMar>
              <w:bottom w:w="28" w:type="dxa"/>
            </w:tcMar>
            <w:vAlign w:val="center"/>
          </w:tcPr>
          <w:p>
            <w:pPr>
              <w:pStyle w:val="TableContents"/>
              <w:bidi w:val="0"/>
              <w:spacing w:before="0" w:after="283"/>
              <w:jc w:val="right"/>
              <w:rPr/>
            </w:pPr>
            <w:r>
              <w:rPr/>
              <w:t>(348,316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shd w:fill="FFFFFF" w:val="clear"/>
            <w:tcMar>
              <w:bottom w:w="28" w:type="dxa"/>
            </w:tcMar>
            <w:vAlign w:val="center"/>
          </w:tcPr>
          <w:p>
            <w:pPr>
              <w:pStyle w:val="TableContents"/>
              <w:bidi w:val="0"/>
              <w:spacing w:before="0" w:after="283"/>
              <w:jc w:val="right"/>
              <w:rPr/>
            </w:pPr>
            <w:r>
              <w:rPr/>
              <w:t>(648,232</w:t>
            </w:r>
          </w:p>
        </w:tc>
        <w:tc>
          <w:tcPr>
            <w:tcW w:w="170" w:type="dxa"/>
            <w:tcBorders/>
            <w:shd w:fill="FFFFFF" w:val="clear"/>
            <w:vAlign w:val="center"/>
          </w:tcPr>
          <w:p>
            <w:pPr>
              <w:pStyle w:val="TableContents"/>
              <w:bidi w:val="0"/>
              <w:spacing w:before="0" w:after="283"/>
              <w:jc w:val="left"/>
              <w:rPr/>
            </w:pPr>
            <w:r>
              <w:rPr/>
              <w:t>)</w:t>
            </w:r>
          </w:p>
        </w:tc>
      </w:tr>
      <w:tr>
        <w:trPr/>
        <w:tc>
          <w:tcPr>
            <w:tcW w:w="3215" w:type="dxa"/>
            <w:tcBorders/>
            <w:shd w:fill="FFFFFF" w:val="clear"/>
            <w:vAlign w:val="center"/>
          </w:tcPr>
          <w:p>
            <w:pPr>
              <w:pStyle w:val="TableContents"/>
              <w:bidi w:val="0"/>
              <w:spacing w:before="0" w:after="283"/>
              <w:jc w:val="both"/>
              <w:rPr/>
            </w:pPr>
            <w:r>
              <w:rPr/>
              <w:t>Convertible notes, net</w:t>
            </w:r>
          </w:p>
        </w:tc>
        <w:tc>
          <w:tcPr>
            <w:tcW w:w="9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FFFFFF" w:val="clear"/>
            <w:tcMar>
              <w:bottom w:w="28" w:type="dxa"/>
            </w:tcMar>
            <w:vAlign w:val="center"/>
          </w:tcPr>
          <w:p>
            <w:pPr>
              <w:pStyle w:val="TableContents"/>
              <w:bidi w:val="0"/>
              <w:spacing w:before="0" w:after="283"/>
              <w:jc w:val="right"/>
              <w:rPr/>
            </w:pPr>
            <w:r>
              <w:rPr/>
              <w:t>4,353,422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82" w:type="dxa"/>
            <w:tcBorders>
              <w:bottom w:val="double" w:sz="10" w:space="0" w:color="000000"/>
            </w:tcBorders>
            <w:shd w:fill="FFFFFF" w:val="clear"/>
            <w:tcMar>
              <w:bottom w:w="28" w:type="dxa"/>
            </w:tcMar>
            <w:vAlign w:val="center"/>
          </w:tcPr>
          <w:p>
            <w:pPr>
              <w:pStyle w:val="TableContents"/>
              <w:bidi w:val="0"/>
              <w:spacing w:before="0" w:after="283"/>
              <w:jc w:val="right"/>
              <w:rPr/>
            </w:pPr>
            <w:r>
              <w:rPr/>
              <w:t>2,411,363</w:t>
            </w:r>
          </w:p>
        </w:tc>
        <w:tc>
          <w:tcPr>
            <w:tcW w:w="17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Presented as:</w:t>
            </w:r>
          </w:p>
        </w:tc>
        <w:tc>
          <w:tcPr>
            <w:tcW w:w="9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382"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Current liability</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256,056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82,447</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Non-current liability</w:t>
            </w:r>
          </w:p>
        </w:tc>
        <w:tc>
          <w:tcPr>
            <w:tcW w:w="9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FFFFFF" w:val="clear"/>
            <w:tcMar>
              <w:bottom w:w="28" w:type="dxa"/>
            </w:tcMar>
            <w:vAlign w:val="center"/>
          </w:tcPr>
          <w:p>
            <w:pPr>
              <w:pStyle w:val="TableContents"/>
              <w:bidi w:val="0"/>
              <w:spacing w:before="0" w:after="283"/>
              <w:jc w:val="right"/>
              <w:rPr/>
            </w:pPr>
            <w:r>
              <w:rPr/>
              <w:t>4,097,366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shd w:fill="FFFFFF" w:val="clear"/>
            <w:tcMar>
              <w:bottom w:w="28" w:type="dxa"/>
            </w:tcMar>
            <w:vAlign w:val="center"/>
          </w:tcPr>
          <w:p>
            <w:pPr>
              <w:pStyle w:val="TableContents"/>
              <w:bidi w:val="0"/>
              <w:spacing w:before="0" w:after="283"/>
              <w:jc w:val="right"/>
              <w:rPr/>
            </w:pPr>
            <w:r>
              <w:rPr/>
              <w:t>2,328,916</w:t>
            </w:r>
          </w:p>
        </w:tc>
        <w:tc>
          <w:tcPr>
            <w:tcW w:w="17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Convertible notes, net</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4,353,422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double" w:sz="10" w:space="0" w:color="000000"/>
            </w:tcBorders>
            <w:shd w:fill="CCEEFF" w:val="clear"/>
            <w:tcMar>
              <w:bottom w:w="28" w:type="dxa"/>
            </w:tcMar>
            <w:vAlign w:val="center"/>
          </w:tcPr>
          <w:p>
            <w:pPr>
              <w:pStyle w:val="TableContents"/>
              <w:bidi w:val="0"/>
              <w:spacing w:before="0" w:after="283"/>
              <w:jc w:val="right"/>
              <w:rPr/>
            </w:pPr>
            <w:r>
              <w:rPr/>
              <w:t>2,411,363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the following outstanding convertible notes: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95"/>
        <w:gridCol w:w="90"/>
        <w:gridCol w:w="170"/>
        <w:gridCol w:w="1010"/>
        <w:gridCol w:w="90"/>
        <w:gridCol w:w="90"/>
        <w:gridCol w:w="1537"/>
        <w:gridCol w:w="90"/>
        <w:gridCol w:w="1177"/>
        <w:gridCol w:w="245"/>
        <w:gridCol w:w="90"/>
        <w:gridCol w:w="928"/>
        <w:gridCol w:w="90"/>
        <w:gridCol w:w="972"/>
        <w:gridCol w:w="90"/>
        <w:gridCol w:w="215"/>
        <w:gridCol w:w="1284"/>
        <w:gridCol w:w="90"/>
        <w:gridCol w:w="90"/>
        <w:gridCol w:w="662"/>
      </w:tblGrid>
      <w:tr>
        <w:trPr/>
        <w:tc>
          <w:tcPr>
            <w:tcW w:w="1195" w:type="dxa"/>
            <w:tcBorders>
              <w:bottom w:val="single" w:sz="12" w:space="0" w:color="000000"/>
            </w:tcBorders>
            <w:vAlign w:val="center"/>
          </w:tcPr>
          <w:p>
            <w:pPr>
              <w:pStyle w:val="TableContents"/>
              <w:bidi w:val="0"/>
              <w:spacing w:before="0" w:after="283"/>
              <w:ind w:left="0" w:right="0" w:hanging="180"/>
              <w:jc w:val="left"/>
              <w:rPr>
                <w:b/>
              </w:rPr>
            </w:pPr>
            <w:r>
              <w:rPr>
                <w:b/>
              </w:rPr>
              <w:t>Note Holders</w:t>
            </w:r>
          </w:p>
        </w:tc>
        <w:tc>
          <w:tcPr>
            <w:tcW w:w="90" w:type="dxa"/>
            <w:tcBorders/>
            <w:tcMar>
              <w:bottom w:w="0" w:type="dxa"/>
            </w:tcMar>
            <w:vAlign w:val="center"/>
          </w:tcPr>
          <w:p>
            <w:pPr>
              <w:pStyle w:val="TableContents"/>
              <w:bidi w:val="0"/>
              <w:spacing w:before="0" w:after="283"/>
              <w:jc w:val="center"/>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 xml:space="preserve">Principal </w:t>
              <w:br/>
              <w:t>Amount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537" w:type="dxa"/>
            <w:tcBorders>
              <w:bottom w:val="single" w:sz="12" w:space="0" w:color="000000"/>
            </w:tcBorders>
            <w:vAlign w:val="center"/>
          </w:tcPr>
          <w:p>
            <w:pPr>
              <w:pStyle w:val="TableContents"/>
              <w:bidi w:val="0"/>
              <w:spacing w:before="0" w:after="283"/>
              <w:jc w:val="center"/>
              <w:rPr>
                <w:b/>
              </w:rPr>
            </w:pPr>
            <w:r>
              <w:rPr>
                <w:b/>
              </w:rPr>
              <w:t>Conversion Price</w:t>
            </w:r>
          </w:p>
        </w:tc>
        <w:tc>
          <w:tcPr>
            <w:tcW w:w="90" w:type="dxa"/>
            <w:tcBorders/>
            <w:tcMar>
              <w:bottom w:w="0" w:type="dxa"/>
            </w:tcMar>
            <w:vAlign w:val="center"/>
          </w:tcPr>
          <w:p>
            <w:pPr>
              <w:pStyle w:val="TableContents"/>
              <w:bidi w:val="0"/>
              <w:spacing w:before="0" w:after="283"/>
              <w:jc w:val="center"/>
              <w:rPr/>
            </w:pPr>
            <w:r>
              <w:rPr/>
              <w:t> </w:t>
            </w:r>
          </w:p>
        </w:tc>
        <w:tc>
          <w:tcPr>
            <w:tcW w:w="1177" w:type="dxa"/>
            <w:tcBorders>
              <w:bottom w:val="single" w:sz="12" w:space="0" w:color="000000"/>
            </w:tcBorders>
            <w:vAlign w:val="center"/>
          </w:tcPr>
          <w:p>
            <w:pPr>
              <w:pStyle w:val="TableContents"/>
              <w:bidi w:val="0"/>
              <w:spacing w:before="0" w:after="283"/>
              <w:jc w:val="center"/>
              <w:rPr>
                <w:b/>
              </w:rPr>
            </w:pPr>
            <w:r>
              <w:rPr>
                <w:b/>
              </w:rPr>
              <w:t xml:space="preserve">Coupon </w:t>
              <w:br/>
              <w:t>Rate</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28" w:type="dxa"/>
            <w:tcBorders>
              <w:bottom w:val="single" w:sz="12" w:space="0" w:color="000000"/>
            </w:tcBorders>
            <w:vAlign w:val="center"/>
          </w:tcPr>
          <w:p>
            <w:pPr>
              <w:pStyle w:val="TableContents"/>
              <w:bidi w:val="0"/>
              <w:spacing w:before="0" w:after="283"/>
              <w:jc w:val="center"/>
              <w:rPr>
                <w:b/>
              </w:rPr>
            </w:pPr>
            <w:r>
              <w:rPr>
                <w:b/>
              </w:rPr>
              <w:t xml:space="preserve">Issuance </w:t>
              <w:br/>
              <w:t>Date</w:t>
            </w:r>
          </w:p>
        </w:tc>
        <w:tc>
          <w:tcPr>
            <w:tcW w:w="90" w:type="dxa"/>
            <w:tcBorders/>
            <w:tcMar>
              <w:bottom w:w="0" w:type="dxa"/>
            </w:tcMar>
            <w:vAlign w:val="center"/>
          </w:tcPr>
          <w:p>
            <w:pPr>
              <w:pStyle w:val="TableContents"/>
              <w:bidi w:val="0"/>
              <w:spacing w:before="0" w:after="283"/>
              <w:jc w:val="center"/>
              <w:rPr/>
            </w:pPr>
            <w:r>
              <w:rPr/>
              <w:t> </w:t>
            </w:r>
          </w:p>
        </w:tc>
        <w:tc>
          <w:tcPr>
            <w:tcW w:w="972" w:type="dxa"/>
            <w:tcBorders>
              <w:bottom w:val="single" w:sz="12" w:space="0" w:color="000000"/>
            </w:tcBorders>
            <w:vAlign w:val="center"/>
          </w:tcPr>
          <w:p>
            <w:pPr>
              <w:pStyle w:val="TableContents"/>
              <w:bidi w:val="0"/>
              <w:spacing w:before="0" w:after="283"/>
              <w:jc w:val="center"/>
              <w:rPr>
                <w:b/>
              </w:rPr>
            </w:pPr>
            <w:r>
              <w:rPr>
                <w:b/>
              </w:rPr>
              <w:t xml:space="preserve">Maturity </w:t>
              <w:br/>
              <w:t>Date</w:t>
            </w:r>
          </w:p>
        </w:tc>
        <w:tc>
          <w:tcPr>
            <w:tcW w:w="90" w:type="dxa"/>
            <w:tcBorders/>
            <w:tcMar>
              <w:bottom w:w="0" w:type="dxa"/>
            </w:tcMar>
            <w:vAlign w:val="center"/>
          </w:tcPr>
          <w:p>
            <w:pPr>
              <w:pStyle w:val="TableContents"/>
              <w:bidi w:val="0"/>
              <w:spacing w:before="0" w:after="283"/>
              <w:jc w:val="center"/>
              <w:rPr/>
            </w:pPr>
            <w:r>
              <w:rPr/>
              <w:t> </w:t>
            </w:r>
          </w:p>
        </w:tc>
        <w:tc>
          <w:tcPr>
            <w:tcW w:w="1499" w:type="dxa"/>
            <w:gridSpan w:val="2"/>
            <w:tcBorders>
              <w:bottom w:val="single" w:sz="12" w:space="0" w:color="000000"/>
            </w:tcBorders>
            <w:vAlign w:val="center"/>
          </w:tcPr>
          <w:p>
            <w:pPr>
              <w:pStyle w:val="TableContents"/>
              <w:bidi w:val="0"/>
              <w:spacing w:before="0" w:after="283"/>
              <w:jc w:val="center"/>
              <w:rPr>
                <w:b/>
              </w:rPr>
            </w:pPr>
            <w:r>
              <w:rPr>
                <w:b/>
              </w:rPr>
              <w:t xml:space="preserve">Fair Value at December 31, </w:t>
              <w:br/>
              <w:t>2025</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662" w:type="dxa"/>
            <w:tcBorders>
              <w:bottom w:val="single" w:sz="12" w:space="0" w:color="000000"/>
            </w:tcBorders>
            <w:vAlign w:val="center"/>
          </w:tcPr>
          <w:p>
            <w:pPr>
              <w:pStyle w:val="TableContents"/>
              <w:bidi w:val="0"/>
              <w:spacing w:before="0" w:after="283"/>
              <w:ind w:left="0" w:right="0" w:hanging="180"/>
              <w:jc w:val="center"/>
              <w:rPr>
                <w:b/>
              </w:rPr>
            </w:pPr>
            <w:r>
              <w:rPr>
                <w:b/>
              </w:rPr>
              <w:t xml:space="preserve">Fair Value </w:t>
              <w:br/>
              <w:t>level</w:t>
            </w:r>
          </w:p>
        </w:tc>
      </w:tr>
      <w:tr>
        <w:trPr/>
        <w:tc>
          <w:tcPr>
            <w:tcW w:w="1195" w:type="dxa"/>
            <w:tcBorders/>
            <w:shd w:fill="CCEEFF" w:val="clear"/>
            <w:tcMar>
              <w:bottom w:w="0" w:type="dxa"/>
            </w:tcMar>
            <w:vAlign w:val="center"/>
          </w:tcPr>
          <w:p>
            <w:pPr>
              <w:pStyle w:val="TableContents"/>
              <w:bidi w:val="0"/>
              <w:spacing w:before="0" w:after="283"/>
              <w:jc w:val="left"/>
              <w:rPr/>
            </w:pPr>
            <w:r>
              <w:rPr/>
              <w:t>JAK &amp; affiliated 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3,150,000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37" w:type="dxa"/>
            <w:tcBorders/>
            <w:shd w:fill="CCEEFF" w:val="clear"/>
            <w:tcMar>
              <w:bottom w:w="0" w:type="dxa"/>
            </w:tcMar>
            <w:vAlign w:val="center"/>
          </w:tcPr>
          <w:p>
            <w:pPr>
              <w:pStyle w:val="TableContents"/>
              <w:bidi w:val="0"/>
              <w:spacing w:before="0" w:after="283"/>
              <w:jc w:val="center"/>
              <w:rPr/>
            </w:pPr>
            <w:r>
              <w:rPr/>
              <w:t>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7" w:type="dxa"/>
            <w:tcBorders/>
            <w:shd w:fill="CCEEFF" w:val="clear"/>
            <w:tcMar>
              <w:bottom w:w="0" w:type="dxa"/>
            </w:tcMar>
            <w:vAlign w:val="center"/>
          </w:tcPr>
          <w:p>
            <w:pPr>
              <w:pStyle w:val="TableContents"/>
              <w:bidi w:val="0"/>
              <w:spacing w:before="0" w:after="283"/>
              <w:jc w:val="right"/>
              <w:rPr/>
            </w:pPr>
            <w:r>
              <w:rPr/>
              <w:t>10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8" w:type="dxa"/>
            <w:tcBorders/>
            <w:shd w:fill="CCEEFF" w:val="clear"/>
            <w:tcMar>
              <w:bottom w:w="0" w:type="dxa"/>
            </w:tcMar>
            <w:vAlign w:val="center"/>
          </w:tcPr>
          <w:p>
            <w:pPr>
              <w:pStyle w:val="TableContents"/>
              <w:bidi w:val="0"/>
              <w:spacing w:before="0" w:after="283"/>
              <w:jc w:val="center"/>
              <w:rPr/>
            </w:pPr>
            <w:r>
              <w:rPr/>
              <w:t>2025-06-03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center"/>
              <w:rPr/>
            </w:pPr>
            <w:r>
              <w:rPr/>
              <w:t>2028-06-02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right"/>
              <w:rPr/>
            </w:pPr>
            <w:r>
              <w:rPr/>
              <w:t>2,831,611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2" w:type="dxa"/>
            <w:tcBorders/>
            <w:shd w:fill="CCEEFF" w:val="clear"/>
            <w:tcMar>
              <w:bottom w:w="0" w:type="dxa"/>
            </w:tcMar>
            <w:vAlign w:val="center"/>
          </w:tcPr>
          <w:p>
            <w:pPr>
              <w:pStyle w:val="TableContents"/>
              <w:bidi w:val="0"/>
              <w:spacing w:before="0" w:after="283"/>
              <w:ind w:left="0" w:right="0" w:hanging="180"/>
              <w:jc w:val="center"/>
              <w:rPr/>
            </w:pPr>
            <w:r>
              <w:rPr/>
              <w:t>Level 2</w:t>
            </w:r>
          </w:p>
        </w:tc>
      </w:tr>
      <w:tr>
        <w:trPr/>
        <w:tc>
          <w:tcPr>
            <w:tcW w:w="1195" w:type="dxa"/>
            <w:tcBorders/>
            <w:shd w:fill="FFFFFF" w:val="clear"/>
            <w:tcMar>
              <w:bottom w:w="0" w:type="dxa"/>
            </w:tcMar>
            <w:vAlign w:val="center"/>
          </w:tcPr>
          <w:p>
            <w:pPr>
              <w:pStyle w:val="TableContents"/>
              <w:bidi w:val="0"/>
              <w:spacing w:before="0" w:after="283"/>
              <w:jc w:val="left"/>
              <w:rPr/>
            </w:pPr>
            <w:r>
              <w:rPr/>
              <w:t>JAK &amp; affiliated holders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1,475,000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37" w:type="dxa"/>
            <w:tcBorders/>
            <w:shd w:fill="FFFFFF" w:val="clear"/>
            <w:tcMar>
              <w:bottom w:w="0" w:type="dxa"/>
            </w:tcMar>
            <w:vAlign w:val="center"/>
          </w:tcPr>
          <w:p>
            <w:pPr>
              <w:pStyle w:val="TableContents"/>
              <w:bidi w:val="0"/>
              <w:spacing w:before="0" w:after="283"/>
              <w:jc w:val="center"/>
              <w:rPr/>
            </w:pPr>
            <w:r>
              <w:rPr/>
              <w:t>0.63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7" w:type="dxa"/>
            <w:tcBorders/>
            <w:shd w:fill="FFFFFF" w:val="clear"/>
            <w:tcMar>
              <w:bottom w:w="0" w:type="dxa"/>
            </w:tcMar>
            <w:vAlign w:val="center"/>
          </w:tcPr>
          <w:p>
            <w:pPr>
              <w:pStyle w:val="TableContents"/>
              <w:bidi w:val="0"/>
              <w:spacing w:before="0" w:after="283"/>
              <w:jc w:val="right"/>
              <w:rPr/>
            </w:pPr>
            <w:r>
              <w:rPr/>
              <w:t>14.75</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28" w:type="dxa"/>
            <w:tcBorders/>
            <w:shd w:fill="FFFFFF" w:val="clear"/>
            <w:tcMar>
              <w:bottom w:w="0" w:type="dxa"/>
            </w:tcMar>
            <w:vAlign w:val="center"/>
          </w:tcPr>
          <w:p>
            <w:pPr>
              <w:pStyle w:val="TableContents"/>
              <w:bidi w:val="0"/>
              <w:spacing w:before="0" w:after="283"/>
              <w:jc w:val="center"/>
              <w:rPr/>
            </w:pPr>
            <w:r>
              <w:rPr/>
              <w:t>2025-07-16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72" w:type="dxa"/>
            <w:tcBorders/>
            <w:shd w:fill="FFFFFF" w:val="clear"/>
            <w:tcMar>
              <w:bottom w:w="0" w:type="dxa"/>
            </w:tcMar>
            <w:vAlign w:val="center"/>
          </w:tcPr>
          <w:p>
            <w:pPr>
              <w:pStyle w:val="TableContents"/>
              <w:bidi w:val="0"/>
              <w:spacing w:before="0" w:after="283"/>
              <w:jc w:val="center"/>
              <w:rPr/>
            </w:pPr>
            <w:r>
              <w:rPr/>
              <w:t>2030-01-16</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84" w:type="dxa"/>
            <w:tcBorders/>
            <w:shd w:fill="FFFFFF" w:val="clear"/>
            <w:tcMar>
              <w:bottom w:w="0" w:type="dxa"/>
            </w:tcMar>
            <w:vAlign w:val="center"/>
          </w:tcPr>
          <w:p>
            <w:pPr>
              <w:pStyle w:val="TableContents"/>
              <w:bidi w:val="0"/>
              <w:spacing w:before="0" w:after="283"/>
              <w:jc w:val="right"/>
              <w:rPr/>
            </w:pPr>
            <w:r>
              <w:rPr/>
              <w:t>1,736,145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2" w:type="dxa"/>
            <w:tcBorders/>
            <w:shd w:fill="FFFFFF" w:val="clear"/>
            <w:tcMar>
              <w:bottom w:w="0" w:type="dxa"/>
            </w:tcMar>
            <w:vAlign w:val="center"/>
          </w:tcPr>
          <w:p>
            <w:pPr>
              <w:pStyle w:val="TableContents"/>
              <w:bidi w:val="0"/>
              <w:spacing w:before="0" w:after="283"/>
              <w:ind w:left="0" w:right="0" w:hanging="180"/>
              <w:jc w:val="center"/>
              <w:rPr/>
            </w:pPr>
            <w:r>
              <w:rPr/>
              <w:t>Level 2</w:t>
            </w:r>
          </w:p>
        </w:tc>
      </w:tr>
      <w:tr>
        <w:trPr/>
        <w:tc>
          <w:tcPr>
            <w:tcW w:w="1195" w:type="dxa"/>
            <w:tcBorders/>
            <w:shd w:fill="CCEEFF" w:val="clear"/>
            <w:tcMar>
              <w:bottom w:w="0" w:type="dxa"/>
            </w:tcMar>
            <w:vAlign w:val="center"/>
          </w:tcPr>
          <w:p>
            <w:pPr>
              <w:pStyle w:val="TableContents"/>
              <w:bidi w:val="0"/>
              <w:spacing w:before="0" w:after="283"/>
              <w:jc w:val="left"/>
              <w:rPr/>
            </w:pPr>
            <w:r>
              <w:rPr/>
              <w:t>Vanquish Funding Group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257,000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37" w:type="dxa"/>
            <w:tcBorders/>
            <w:shd w:fill="CCEEFF" w:val="clear"/>
            <w:tcMar>
              <w:bottom w:w="0" w:type="dxa"/>
            </w:tcMar>
            <w:vAlign w:val="center"/>
          </w:tcPr>
          <w:p>
            <w:pPr>
              <w:pStyle w:val="TableContents"/>
              <w:bidi w:val="0"/>
              <w:spacing w:before="0" w:after="283"/>
              <w:jc w:val="center"/>
              <w:rPr/>
            </w:pPr>
            <w:r>
              <w:rPr/>
              <w:t>25% discount of lowest traded price during 10 trading days immediately preceding the conversion date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7" w:type="dxa"/>
            <w:tcBorders/>
            <w:shd w:fill="CCEEFF" w:val="clear"/>
            <w:tcMar>
              <w:bottom w:w="0" w:type="dxa"/>
            </w:tcMar>
            <w:vAlign w:val="center"/>
          </w:tcPr>
          <w:p>
            <w:pPr>
              <w:pStyle w:val="TableContents"/>
              <w:bidi w:val="0"/>
              <w:spacing w:before="0" w:after="283"/>
              <w:jc w:val="right"/>
              <w:rPr/>
            </w:pPr>
            <w:r>
              <w:rPr/>
              <w:t>10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8" w:type="dxa"/>
            <w:tcBorders/>
            <w:shd w:fill="CCEEFF" w:val="clear"/>
            <w:tcMar>
              <w:bottom w:w="0" w:type="dxa"/>
            </w:tcMar>
            <w:vAlign w:val="center"/>
          </w:tcPr>
          <w:p>
            <w:pPr>
              <w:pStyle w:val="TableContents"/>
              <w:bidi w:val="0"/>
              <w:spacing w:before="0" w:after="283"/>
              <w:jc w:val="center"/>
              <w:rPr/>
            </w:pPr>
            <w:r>
              <w:rPr/>
              <w:t>2025-10-15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center"/>
              <w:rPr/>
            </w:pPr>
            <w:r>
              <w:rPr/>
              <w:t>2026-07-30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84" w:type="dxa"/>
            <w:tcBorders/>
            <w:shd w:fill="CCEEFF" w:val="clear"/>
            <w:tcMar>
              <w:bottom w:w="0" w:type="dxa"/>
            </w:tcMar>
            <w:vAlign w:val="center"/>
          </w:tcPr>
          <w:p>
            <w:pPr>
              <w:pStyle w:val="TableContents"/>
              <w:bidi w:val="0"/>
              <w:spacing w:before="0" w:after="283"/>
              <w:jc w:val="right"/>
              <w:rPr/>
            </w:pPr>
            <w:r>
              <w:rPr/>
              <w:t>257,673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2" w:type="dxa"/>
            <w:tcBorders/>
            <w:shd w:fill="CCEEFF" w:val="clear"/>
            <w:tcMar>
              <w:bottom w:w="0" w:type="dxa"/>
            </w:tcMar>
            <w:vAlign w:val="center"/>
          </w:tcPr>
          <w:p>
            <w:pPr>
              <w:pStyle w:val="TableContents"/>
              <w:bidi w:val="0"/>
              <w:spacing w:before="0" w:after="283"/>
              <w:ind w:left="0" w:right="0" w:hanging="180"/>
              <w:jc w:val="center"/>
              <w:rPr/>
            </w:pPr>
            <w:r>
              <w:rPr/>
              <w:t>Level 2</w:t>
            </w:r>
          </w:p>
        </w:tc>
      </w:tr>
      <w:tr>
        <w:trPr/>
        <w:tc>
          <w:tcPr>
            <w:tcW w:w="1195" w:type="dxa"/>
            <w:tcBorders/>
            <w:shd w:fill="FFFFFF" w:val="clear"/>
            <w:tcMar>
              <w:bottom w:w="0" w:type="dxa"/>
            </w:tcMar>
            <w:vAlign w:val="center"/>
          </w:tcPr>
          <w:p>
            <w:pPr>
              <w:pStyle w:val="TableContents"/>
              <w:bidi w:val="0"/>
              <w:spacing w:before="0" w:after="283"/>
              <w:jc w:val="left"/>
              <w:rPr/>
            </w:pPr>
            <w:r>
              <w:rPr/>
              <w:t>Labrys Fund II, LP</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250,000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37" w:type="dxa"/>
            <w:tcBorders/>
            <w:shd w:fill="FFFFFF" w:val="clear"/>
            <w:tcMar>
              <w:bottom w:w="0" w:type="dxa"/>
            </w:tcMar>
            <w:vAlign w:val="center"/>
          </w:tcPr>
          <w:p>
            <w:pPr>
              <w:pStyle w:val="TableContents"/>
              <w:bidi w:val="0"/>
              <w:spacing w:before="0" w:after="283"/>
              <w:jc w:val="center"/>
              <w:rPr/>
            </w:pPr>
            <w:r>
              <w:rPr/>
              <w:t>15% discount of lowest traded price during 10 trading days immediately preceding the conversion date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7" w:type="dxa"/>
            <w:tcBorders/>
            <w:shd w:fill="FFFFFF" w:val="clear"/>
            <w:tcMar>
              <w:bottom w:w="0" w:type="dxa"/>
            </w:tcMar>
            <w:vAlign w:val="center"/>
          </w:tcPr>
          <w:p>
            <w:pPr>
              <w:pStyle w:val="TableContents"/>
              <w:bidi w:val="0"/>
              <w:spacing w:before="0" w:after="283"/>
              <w:jc w:val="right"/>
              <w:rPr/>
            </w:pPr>
            <w:r>
              <w:rPr/>
              <w:t>USD 39,285.71 for 6 instalments</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28" w:type="dxa"/>
            <w:tcBorders/>
            <w:shd w:fill="FFFFFF" w:val="clear"/>
            <w:tcMar>
              <w:bottom w:w="0" w:type="dxa"/>
            </w:tcMar>
            <w:vAlign w:val="center"/>
          </w:tcPr>
          <w:p>
            <w:pPr>
              <w:pStyle w:val="TableContents"/>
              <w:bidi w:val="0"/>
              <w:spacing w:before="0" w:after="283"/>
              <w:jc w:val="center"/>
              <w:rPr/>
            </w:pPr>
            <w:r>
              <w:rPr/>
              <w:t>2025-11-12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72" w:type="dxa"/>
            <w:tcBorders/>
            <w:shd w:fill="FFFFFF" w:val="clear"/>
            <w:tcMar>
              <w:bottom w:w="0" w:type="dxa"/>
            </w:tcMar>
            <w:vAlign w:val="center"/>
          </w:tcPr>
          <w:p>
            <w:pPr>
              <w:pStyle w:val="TableContents"/>
              <w:bidi w:val="0"/>
              <w:spacing w:before="0" w:after="283"/>
              <w:jc w:val="center"/>
              <w:rPr/>
            </w:pPr>
            <w:r>
              <w:rPr/>
              <w:t>2026-11-11</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84" w:type="dxa"/>
            <w:tcBorders/>
            <w:shd w:fill="FFFFFF" w:val="clear"/>
            <w:tcMar>
              <w:bottom w:w="0" w:type="dxa"/>
            </w:tcMar>
            <w:vAlign w:val="center"/>
          </w:tcPr>
          <w:p>
            <w:pPr>
              <w:pStyle w:val="TableContents"/>
              <w:bidi w:val="0"/>
              <w:spacing w:before="0" w:after="283"/>
              <w:jc w:val="right"/>
              <w:rPr/>
            </w:pPr>
            <w:r>
              <w:rPr/>
              <w:t>156,063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2" w:type="dxa"/>
            <w:tcBorders/>
            <w:shd w:fill="FFFFFF" w:val="clear"/>
            <w:tcMar>
              <w:bottom w:w="0" w:type="dxa"/>
            </w:tcMar>
            <w:vAlign w:val="center"/>
          </w:tcPr>
          <w:p>
            <w:pPr>
              <w:pStyle w:val="TableContents"/>
              <w:bidi w:val="0"/>
              <w:spacing w:before="0" w:after="283"/>
              <w:ind w:left="0" w:right="0" w:hanging="180"/>
              <w:jc w:val="center"/>
              <w:rPr/>
            </w:pPr>
            <w:r>
              <w:rPr/>
              <w:t>Level 2</w:t>
            </w:r>
          </w:p>
        </w:tc>
      </w:tr>
      <w:tr>
        <w:trPr/>
        <w:tc>
          <w:tcPr>
            <w:tcW w:w="1195" w:type="dxa"/>
            <w:tcBorders/>
            <w:shd w:fill="CCEEFF" w:val="clear"/>
            <w:tcMar>
              <w:bottom w:w="0" w:type="dxa"/>
            </w:tcMar>
            <w:vAlign w:val="center"/>
          </w:tcPr>
          <w:p>
            <w:pPr>
              <w:pStyle w:val="TableContents"/>
              <w:bidi w:val="0"/>
              <w:spacing w:before="0" w:after="283"/>
              <w:jc w:val="left"/>
              <w:rPr/>
            </w:pPr>
            <w:r>
              <w:rPr/>
              <w:t>Vanquish Funding Group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157,000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37" w:type="dxa"/>
            <w:tcBorders/>
            <w:shd w:fill="CCEEFF" w:val="clear"/>
            <w:tcMar>
              <w:bottom w:w="0" w:type="dxa"/>
            </w:tcMar>
            <w:vAlign w:val="center"/>
          </w:tcPr>
          <w:p>
            <w:pPr>
              <w:pStyle w:val="TableContents"/>
              <w:bidi w:val="0"/>
              <w:spacing w:before="0" w:after="283"/>
              <w:jc w:val="center"/>
              <w:rPr/>
            </w:pPr>
            <w:r>
              <w:rPr/>
              <w:t>25% discount of lowest traded price during 10 trading days immediately preceding the conversion date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7" w:type="dxa"/>
            <w:tcBorders/>
            <w:shd w:fill="CCEEFF" w:val="clear"/>
            <w:tcMar>
              <w:bottom w:w="0" w:type="dxa"/>
            </w:tcMar>
            <w:vAlign w:val="center"/>
          </w:tcPr>
          <w:p>
            <w:pPr>
              <w:pStyle w:val="TableContents"/>
              <w:bidi w:val="0"/>
              <w:spacing w:before="0" w:after="283"/>
              <w:jc w:val="right"/>
              <w:rPr/>
            </w:pPr>
            <w:r>
              <w:rPr/>
              <w:t>10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8" w:type="dxa"/>
            <w:tcBorders/>
            <w:shd w:fill="CCEEFF" w:val="clear"/>
            <w:tcMar>
              <w:bottom w:w="0" w:type="dxa"/>
            </w:tcMar>
            <w:vAlign w:val="center"/>
          </w:tcPr>
          <w:p>
            <w:pPr>
              <w:pStyle w:val="TableContents"/>
              <w:bidi w:val="0"/>
              <w:spacing w:before="0" w:after="283"/>
              <w:jc w:val="center"/>
              <w:rPr/>
            </w:pPr>
            <w:r>
              <w:rPr/>
              <w:t>2025-11-04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center"/>
              <w:rPr/>
            </w:pPr>
            <w:r>
              <w:rPr/>
              <w:t>2026-07-30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84" w:type="dxa"/>
            <w:tcBorders/>
            <w:shd w:fill="CCEEFF" w:val="clear"/>
            <w:tcMar>
              <w:bottom w:w="0" w:type="dxa"/>
            </w:tcMar>
            <w:vAlign w:val="center"/>
          </w:tcPr>
          <w:p>
            <w:pPr>
              <w:pStyle w:val="TableContents"/>
              <w:bidi w:val="0"/>
              <w:spacing w:before="0" w:after="283"/>
              <w:jc w:val="right"/>
              <w:rPr/>
            </w:pPr>
            <w:r>
              <w:rPr/>
              <w:t>235,900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2" w:type="dxa"/>
            <w:tcBorders/>
            <w:shd w:fill="CCEEFF" w:val="clear"/>
            <w:tcMar>
              <w:bottom w:w="0" w:type="dxa"/>
            </w:tcMar>
            <w:vAlign w:val="center"/>
          </w:tcPr>
          <w:p>
            <w:pPr>
              <w:pStyle w:val="TableContents"/>
              <w:bidi w:val="0"/>
              <w:spacing w:before="0" w:after="283"/>
              <w:jc w:val="center"/>
              <w:rPr/>
            </w:pPr>
            <w:r>
              <w:rPr/>
              <w:t>Level 2</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period ended December 31, 2025, a total of $7,200,000 of convertible promissory notes were issued with a discount of 7% to JAK. These Notes are to be settled by way of cash or may be converted to Class A ordinary shares. The conversion of these notes is subject to certain criterions as mentioned in the Convertible Note Agreements, which include a beneficiary cap of 9.9% of shareholdings in the Company by JAK.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Company entered into an additional Securities Purchase Agreement with Vanquish Funding Group Inc.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The third tranche of $107,000 was received on January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entered into a Securities Purchase Agreement with Labrys Fund II, L.P. (“Labrys SPA”), pursuant to which, amongst other things, (i) the Company agreed to sell a convertible note in the aggregate principal amount of $250,000, convertible into Class A Ordinary Shares pursuant to its terms and the funding of $250,000 was received on November 15,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a total of $ 2,725,000 of convertible notes were converted into 58,424 ordinary shares by the note holder (adjusted by Reverse Stock Splits in 2025 and 2026 as of this report date), thereby increasing our shareholder equity by the same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a total of $5,800,000 of convertible promissory notes were issued with a discount of 7%. These Notes are to be settled by way of cash or may be converted to Class A ordinary shares. The conversion of these notes are subject to certain criterions as mentioned in the Convertible Note Agreements, which include a beneficiary cap of 9.99% of shareholdings in the Company by JAK.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a total of $2,650,000 of convertible notes were converted into 117 (adjusted by four Reverse Stock Splits in 2025 and two Reverse Stock Splits on January 26, 2026 and March 16, 2026) ordinary shares by the note holder, thereby increasing our shareholder equity by the same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amounted to $504,136 and $765,177 for the period ended December 31, 2025 and December 31, 2024 respectively and has been calculated based on the effective interest rate for each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costs incurred on issuance of the Notes are capitalized and amortised over the term of the Notes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43"/>
        <w:gridCol w:w="90"/>
        <w:gridCol w:w="222"/>
        <w:gridCol w:w="1193"/>
        <w:gridCol w:w="125"/>
        <w:gridCol w:w="90"/>
        <w:gridCol w:w="231"/>
        <w:gridCol w:w="1239"/>
        <w:gridCol w:w="172"/>
      </w:tblGrid>
      <w:tr>
        <w:trPr/>
        <w:tc>
          <w:tcPr>
            <w:tcW w:w="68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2" w:type="dxa"/>
            <w:tcBorders/>
            <w:vAlign w:val="center"/>
          </w:tcPr>
          <w:p>
            <w:pPr>
              <w:pStyle w:val="TableContents"/>
              <w:bidi w:val="0"/>
              <w:spacing w:before="0" w:after="283"/>
              <w:jc w:val="left"/>
              <w:rPr/>
            </w:pPr>
            <w:r>
              <w:rPr/>
              <w:t> </w:t>
            </w:r>
          </w:p>
        </w:tc>
      </w:tr>
      <w:tr>
        <w:trPr/>
        <w:tc>
          <w:tcPr>
            <w:tcW w:w="6843" w:type="dxa"/>
            <w:tcBorders/>
            <w:shd w:fill="CCEEFF" w:val="clear"/>
            <w:vAlign w:val="center"/>
          </w:tcPr>
          <w:p>
            <w:pPr>
              <w:pStyle w:val="TableContents"/>
              <w:bidi w:val="0"/>
              <w:spacing w:before="0" w:after="283"/>
              <w:jc w:val="left"/>
              <w:rPr/>
            </w:pPr>
            <w:r>
              <w:rPr/>
              <w:t>Balance at beginning of the year</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648,232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843" w:type="dxa"/>
            <w:tcBorders/>
            <w:shd w:fill="FFFFFF" w:val="clear"/>
            <w:vAlign w:val="center"/>
          </w:tcPr>
          <w:p>
            <w:pPr>
              <w:pStyle w:val="TableContents"/>
              <w:bidi w:val="0"/>
              <w:spacing w:before="0" w:after="283"/>
              <w:jc w:val="left"/>
              <w:rPr/>
            </w:pPr>
            <w:r>
              <w:rPr/>
              <w:t>Add: capitalized during the year</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564,000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929,500</w:t>
            </w:r>
          </w:p>
        </w:tc>
        <w:tc>
          <w:tcPr>
            <w:tcW w:w="172" w:type="dxa"/>
            <w:tcBorders/>
            <w:shd w:fill="FFFFFF" w:val="clear"/>
            <w:vAlign w:val="center"/>
          </w:tcPr>
          <w:p>
            <w:pPr>
              <w:pStyle w:val="TableContents"/>
              <w:bidi w:val="0"/>
              <w:spacing w:before="0" w:after="283"/>
              <w:jc w:val="left"/>
              <w:rPr/>
            </w:pPr>
            <w:r>
              <w:rPr/>
              <w:t> </w:t>
            </w:r>
          </w:p>
        </w:tc>
      </w:tr>
      <w:tr>
        <w:trPr/>
        <w:tc>
          <w:tcPr>
            <w:tcW w:w="6843" w:type="dxa"/>
            <w:tcBorders/>
            <w:shd w:fill="CCEEFF" w:val="clear"/>
            <w:vAlign w:val="center"/>
          </w:tcPr>
          <w:p>
            <w:pPr>
              <w:pStyle w:val="TableContents"/>
              <w:bidi w:val="0"/>
              <w:spacing w:before="0" w:after="283"/>
              <w:jc w:val="left"/>
              <w:rPr/>
            </w:pPr>
            <w:r>
              <w:rPr/>
              <w:t>Less: charged to additional paid in capital for converted notes during the year</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(777,836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843" w:type="dxa"/>
            <w:tcBorders/>
            <w:shd w:fill="FFFFFF" w:val="clear"/>
            <w:vAlign w:val="center"/>
          </w:tcPr>
          <w:p>
            <w:pPr>
              <w:pStyle w:val="TableContents"/>
              <w:bidi w:val="0"/>
              <w:spacing w:before="0" w:after="283"/>
              <w:jc w:val="left"/>
              <w:rPr/>
            </w:pPr>
            <w:r>
              <w:rPr/>
              <w:t>Less: amortized during the year</w:t>
            </w:r>
          </w:p>
        </w:tc>
        <w:tc>
          <w:tcPr>
            <w:tcW w:w="9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FFFFFF" w:val="clear"/>
            <w:tcMar>
              <w:bottom w:w="28" w:type="dxa"/>
            </w:tcMar>
            <w:vAlign w:val="center"/>
          </w:tcPr>
          <w:p>
            <w:pPr>
              <w:pStyle w:val="TableContents"/>
              <w:bidi w:val="0"/>
              <w:spacing w:before="0" w:after="283"/>
              <w:jc w:val="right"/>
              <w:rPr/>
            </w:pPr>
            <w:r>
              <w:rPr/>
              <w:t>(86,080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(281,268</w:t>
            </w:r>
          </w:p>
        </w:tc>
        <w:tc>
          <w:tcPr>
            <w:tcW w:w="172" w:type="dxa"/>
            <w:tcBorders/>
            <w:shd w:fill="FFFFFF" w:val="clear"/>
            <w:vAlign w:val="center"/>
          </w:tcPr>
          <w:p>
            <w:pPr>
              <w:pStyle w:val="TableContents"/>
              <w:bidi w:val="0"/>
              <w:spacing w:before="0" w:after="283"/>
              <w:jc w:val="left"/>
              <w:rPr/>
            </w:pPr>
            <w:r>
              <w:rPr/>
              <w:t>)</w:t>
            </w:r>
          </w:p>
        </w:tc>
      </w:tr>
      <w:tr>
        <w:trPr/>
        <w:tc>
          <w:tcPr>
            <w:tcW w:w="6843" w:type="dxa"/>
            <w:tcBorders/>
            <w:shd w:fill="CCEEFF" w:val="clear"/>
            <w:vAlign w:val="center"/>
          </w:tcPr>
          <w:p>
            <w:pPr>
              <w:pStyle w:val="TableContents"/>
              <w:bidi w:val="0"/>
              <w:spacing w:before="0" w:after="283"/>
              <w:jc w:val="left"/>
              <w:rPr/>
            </w:pPr>
            <w:r>
              <w:rPr/>
              <w:t>Ending balance</w:t>
            </w:r>
          </w:p>
        </w:tc>
        <w:tc>
          <w:tcPr>
            <w:tcW w:w="90" w:type="dxa"/>
            <w:tcBorders/>
            <w:shd w:fill="CCEEFF" w:val="clear"/>
            <w:vAlign w:val="center"/>
          </w:tcPr>
          <w:p>
            <w:pPr>
              <w:pStyle w:val="TableContents"/>
              <w:bidi w:val="0"/>
              <w:spacing w:before="0" w:after="283"/>
              <w:jc w:val="left"/>
              <w:rPr/>
            </w:pPr>
            <w:r>
              <w:rPr/>
              <w:t> </w:t>
            </w:r>
          </w:p>
        </w:tc>
        <w:tc>
          <w:tcPr>
            <w:tcW w:w="2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10" w:space="0" w:color="000000"/>
            </w:tcBorders>
            <w:shd w:fill="CCEEFF" w:val="clear"/>
            <w:tcMar>
              <w:bottom w:w="28" w:type="dxa"/>
            </w:tcMar>
            <w:vAlign w:val="center"/>
          </w:tcPr>
          <w:p>
            <w:pPr>
              <w:pStyle w:val="TableContents"/>
              <w:bidi w:val="0"/>
              <w:spacing w:before="0" w:after="283"/>
              <w:jc w:val="right"/>
              <w:rPr/>
            </w:pPr>
            <w:r>
              <w:rPr/>
              <w:t>348,316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648,232</w:t>
            </w:r>
          </w:p>
        </w:tc>
        <w:tc>
          <w:tcPr>
            <w:tcW w:w="17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liability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815, a derivative liability had arisen from the issuance of convertible bonds which have the option of being converted to or exchanged for Class A ordinary shares at any time from date of issuance. The derivative liability is assessed to be a debt requiring to be bifurcated from the host contract and recorded at the fair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conversion to ordinary shares is subject to certain terms and criteria as set within the Agreement, which includes restriction of conversion if the shareholdings by the note holder before and after the conversion exceeds 9.99%, for JAK &amp; affiliated holders and Labrys Fund II, LP, as revised and 4.99% for Vanquish Funding Group Inc. As of December 31, 2025, the threshold has not been met, and accordingly the derivative is assessed to have a value of US$262,616 for the portions convertible to the extent of threshold, where relevant.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standing instruments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financial year ending December 31, 2025 and 2024, JAK &amp; affiliated holders were issued with 2,142,940 and 3,555,678 warrants respectively to purchase additional Class A ordinary shares at an exercise price of $2.71 and $2.71, respectively (as adjusted for the effects of the reverse stock split in May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these warrants is subject to a 9.99% beneficial cap, as revised, which restricts the holder from exceeding shareholdings in excess of the cap in the Company. As of December 31, 2025 and 2024, the derivative is assessed to have a nil value in view of the cap assessed to have been met with the exercise of the tab convertible notes above.</w:t>
      </w:r>
    </w:p>
    <w:p>
      <w:pPr>
        <w:pStyle w:val="TextBody"/>
        <w:bidi w:val="0"/>
        <w:spacing w:before="0" w:after="0"/>
        <w:ind w:left="0" w:right="0" w:hanging="0"/>
        <w:jc w:val="both"/>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2795"/>
        <w:gridCol w:w="90"/>
        <w:gridCol w:w="110"/>
        <w:gridCol w:w="1334"/>
        <w:gridCol w:w="125"/>
        <w:gridCol w:w="90"/>
        <w:gridCol w:w="123"/>
        <w:gridCol w:w="1381"/>
        <w:gridCol w:w="135"/>
      </w:tblGrid>
      <w:tr>
        <w:trPr/>
        <w:tc>
          <w:tcPr>
            <w:tcW w:w="27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Warrant units:</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sz w:val="20"/>
              </w:rPr>
            </w:pPr>
            <w:r>
              <w:rPr>
                <w:sz w:val="20"/>
              </w:rPr>
              <w:t>Balance at beginning of the year</w:t>
            </w:r>
            <w:r>
              <w:rPr>
                <w:position w:val="7"/>
                <w:sz w:val="16"/>
                <w:sz w:val="20"/>
              </w:rPr>
              <w:t>*</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3,555,678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Warrants issued</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2,142,940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3,555,678</w:t>
            </w:r>
          </w:p>
        </w:tc>
        <w:tc>
          <w:tcPr>
            <w:tcW w:w="13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Less: Exercised</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(4,474,290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Ending balance</w:t>
            </w:r>
          </w:p>
        </w:tc>
        <w:tc>
          <w:tcPr>
            <w:tcW w:w="9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FFFFFF" w:val="clear"/>
            <w:tcMar>
              <w:bottom w:w="28" w:type="dxa"/>
            </w:tcMar>
            <w:vAlign w:val="center"/>
          </w:tcPr>
          <w:p>
            <w:pPr>
              <w:pStyle w:val="TableContents"/>
              <w:bidi w:val="0"/>
              <w:spacing w:before="0" w:after="283"/>
              <w:jc w:val="right"/>
              <w:rPr/>
            </w:pPr>
            <w:r>
              <w:rPr/>
              <w:t>1,224,328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double" w:sz="10" w:space="0" w:color="000000"/>
            </w:tcBorders>
            <w:shd w:fill="FFFFFF" w:val="clear"/>
            <w:tcMar>
              <w:bottom w:w="28" w:type="dxa"/>
            </w:tcMar>
            <w:vAlign w:val="center"/>
          </w:tcPr>
          <w:p>
            <w:pPr>
              <w:pStyle w:val="TableContents"/>
              <w:bidi w:val="0"/>
              <w:spacing w:before="0" w:after="283"/>
              <w:jc w:val="right"/>
              <w:rPr/>
            </w:pPr>
            <w:r>
              <w:rPr/>
              <w:t>3,555,678</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170"/>
        <w:gridCol w:w="4010"/>
      </w:tblGrid>
      <w:tr>
        <w:trPr/>
        <w:tc>
          <w:tcPr>
            <w:tcW w:w="170" w:type="dxa"/>
            <w:tcBorders/>
            <w:vAlign w:val="center"/>
          </w:tcPr>
          <w:p>
            <w:pPr>
              <w:pStyle w:val="TableContents"/>
              <w:bidi w:val="0"/>
              <w:spacing w:before="0" w:after="283"/>
              <w:jc w:val="left"/>
              <w:rPr>
                <w:sz w:val="20"/>
              </w:rPr>
            </w:pPr>
            <w:r>
              <w:rPr>
                <w:sz w:val="20"/>
              </w:rPr>
              <w:t>*</w:t>
            </w:r>
          </w:p>
        </w:tc>
        <w:tc>
          <w:tcPr>
            <w:tcW w:w="4010" w:type="dxa"/>
            <w:tcBorders/>
            <w:vAlign w:val="center"/>
          </w:tcPr>
          <w:p>
            <w:pPr>
              <w:pStyle w:val="TableContents"/>
              <w:bidi w:val="0"/>
              <w:spacing w:before="0" w:after="283"/>
              <w:jc w:val="left"/>
              <w:rPr>
                <w:sz w:val="20"/>
              </w:rPr>
            </w:pPr>
            <w:r>
              <w:rPr>
                <w:sz w:val="20"/>
              </w:rPr>
              <w:t>Adjusted for the effects of the RSS in May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and Private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initial public offering, the Company had issued 5,175,000 public warrants and 3,145,000 private warrants in a private placement transaction. Each warrant entitles the holder to purchase one ordinary share of the Company at an exercise price of $11.50 per share (subject to adjustment for share capital reorganisations and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for cash or on a cashless basis at the holder’s option and are not redeemable by the Company. The warrants are exercisable commencing on the later of:</w:t>
      </w:r>
    </w:p>
    <w:p>
      <w:pPr>
        <w:pStyle w:val="TextBody"/>
        <w:bidi w:val="0"/>
        <w:spacing w:before="0" w:after="0"/>
        <w:ind w:left="0" w:right="0" w:hanging="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105"/>
        <w:gridCol w:w="200"/>
        <w:gridCol w:w="45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twelve months after the date of the IPO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05"/>
        <w:gridCol w:w="200"/>
        <w:gridCol w:w="52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sz w:val="20"/>
              </w:rPr>
            </w:pPr>
            <w:r>
              <w:rPr>
                <w:sz w:val="20"/>
              </w:rPr>
              <w:t>the completion of the Company’s initial business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expire five years after the completion of the business combination, or earlier upon liquidation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31 December 2025 and 2024, there were 5,175,000 public warrants and 3,145,000 private warrants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since issuance, the Company completed multiple reverse stock splits. As a result, the number of ordinary shares issuable upon exercise of the warrants and the exercise price have been proportionately adjusted in accordance with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31 December 2025, the market price of the Company’s ordinary shares was significantly below the adjusted exercise price of the warrants. Accordingly, the warrants were out of the money as at the reporting date. Management does not expect the warrants to be exercised unless the market price of the ordinary shares exceeds the exercise price prior to expiry.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13 — 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various operating leases for clinics and office spaces.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right-of-use assets totaled $504,192, and $98,570,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lease liabilities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3590"/>
        <w:gridCol w:w="90"/>
        <w:gridCol w:w="170"/>
        <w:gridCol w:w="830"/>
        <w:gridCol w:w="90"/>
        <w:gridCol w:w="90"/>
        <w:gridCol w:w="170"/>
        <w:gridCol w:w="830"/>
        <w:gridCol w:w="135"/>
      </w:tblGrid>
      <w:tr>
        <w:trPr/>
        <w:tc>
          <w:tcPr>
            <w:tcW w:w="3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Operating lease</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Lease liabilities – current portion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238,105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108,526</w:t>
            </w:r>
          </w:p>
        </w:tc>
        <w:tc>
          <w:tcPr>
            <w:tcW w:w="13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Lease liabilities – non-current portion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272,359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10,231</w:t>
            </w:r>
          </w:p>
        </w:tc>
        <w:tc>
          <w:tcPr>
            <w:tcW w:w="13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510,464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118,757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of future minimum payments under operating leases as of December 31, 2025:</w:t>
      </w:r>
    </w:p>
    <w:p>
      <w:pPr>
        <w:pStyle w:val="TextBody"/>
        <w:bidi w:val="0"/>
        <w:spacing w:before="0" w:after="0"/>
        <w:ind w:left="0" w:right="0" w:firstLine="720"/>
        <w:jc w:val="left"/>
        <w:rPr>
          <w:caps w:val="false"/>
          <w:smallCaps w:val="false"/>
        </w:rPr>
      </w:pPr>
      <w:r>
        <w:rPr>
          <w:caps w:val="false"/>
          <w:smallCaps w:val="false"/>
        </w:rPr>
        <w:t> </w:t>
      </w:r>
    </w:p>
    <w:tbl>
      <w:tblPr>
        <w:tblW w:w="5585" w:type="dxa"/>
        <w:jc w:val="left"/>
        <w:tblInd w:w="0" w:type="dxa"/>
        <w:tblLayout w:type="fixed"/>
        <w:tblCellMar>
          <w:top w:w="0" w:type="dxa"/>
          <w:left w:w="0" w:type="dxa"/>
          <w:bottom w:w="0" w:type="dxa"/>
          <w:right w:w="0" w:type="dxa"/>
        </w:tblCellMar>
      </w:tblPr>
      <w:tblGrid>
        <w:gridCol w:w="4325"/>
        <w:gridCol w:w="90"/>
        <w:gridCol w:w="170"/>
        <w:gridCol w:w="830"/>
        <w:gridCol w:w="170"/>
      </w:tblGrid>
      <w:tr>
        <w:trPr/>
        <w:tc>
          <w:tcPr>
            <w:tcW w:w="4325" w:type="dxa"/>
            <w:tcBorders/>
            <w:shd w:fill="CCEEFF" w:val="clear"/>
            <w:vAlign w:val="center"/>
          </w:tcPr>
          <w:p>
            <w:pPr>
              <w:pStyle w:val="TableContents"/>
              <w:bidi w:val="0"/>
              <w:spacing w:before="0" w:after="283"/>
              <w:jc w:val="both"/>
              <w:rPr/>
            </w:pPr>
            <w:r>
              <w:rPr/>
              <w:t>Not later than 1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262,244</w:t>
            </w:r>
          </w:p>
        </w:tc>
        <w:tc>
          <w:tcPr>
            <w:tcW w:w="17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Between 1 to 2 years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184,041</w:t>
            </w:r>
          </w:p>
        </w:tc>
        <w:tc>
          <w:tcPr>
            <w:tcW w:w="17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Between 2 to 5 years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118,800</w:t>
            </w:r>
          </w:p>
        </w:tc>
        <w:tc>
          <w:tcPr>
            <w:tcW w:w="17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Total lease payments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565,085</w:t>
            </w:r>
          </w:p>
        </w:tc>
        <w:tc>
          <w:tcPr>
            <w:tcW w:w="17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Less: imputed interest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(54,621</w:t>
            </w:r>
          </w:p>
        </w:tc>
        <w:tc>
          <w:tcPr>
            <w:tcW w:w="17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both"/>
              <w:rPr/>
            </w:pPr>
            <w:r>
              <w:rPr/>
              <w:t>Total operating lease liabilities, net of interest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pPr>
            <w:r>
              <w:rPr/>
              <w:t>510,464</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lease information is as follows:</w:t>
      </w:r>
    </w:p>
    <w:p>
      <w:pPr>
        <w:pStyle w:val="TextBody"/>
        <w:bidi w:val="0"/>
        <w:spacing w:before="0" w:after="0"/>
        <w:ind w:left="0" w:right="0" w:firstLine="720"/>
        <w:jc w:val="left"/>
        <w:rPr>
          <w:caps w:val="false"/>
          <w:smallCaps w:val="false"/>
        </w:rPr>
      </w:pPr>
      <w:r>
        <w:rPr>
          <w:caps w:val="false"/>
          <w:smallCaps w:val="false"/>
        </w:rPr>
        <w:t> </w:t>
      </w:r>
    </w:p>
    <w:tbl>
      <w:tblPr>
        <w:tblW w:w="7595" w:type="dxa"/>
        <w:jc w:val="left"/>
        <w:tblInd w:w="0" w:type="dxa"/>
        <w:tblLayout w:type="fixed"/>
        <w:tblCellMar>
          <w:top w:w="0" w:type="dxa"/>
          <w:left w:w="0" w:type="dxa"/>
          <w:bottom w:w="0" w:type="dxa"/>
          <w:right w:w="0" w:type="dxa"/>
        </w:tblCellMar>
      </w:tblPr>
      <w:tblGrid>
        <w:gridCol w:w="4790"/>
        <w:gridCol w:w="90"/>
        <w:gridCol w:w="170"/>
        <w:gridCol w:w="875"/>
        <w:gridCol w:w="245"/>
        <w:gridCol w:w="90"/>
        <w:gridCol w:w="170"/>
        <w:gridCol w:w="875"/>
        <w:gridCol w:w="290"/>
      </w:tblGrid>
      <w:tr>
        <w:trPr/>
        <w:tc>
          <w:tcPr>
            <w:tcW w:w="4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2.37 years</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2.75 years</w:t>
            </w:r>
          </w:p>
        </w:tc>
        <w:tc>
          <w:tcPr>
            <w:tcW w:w="29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Weighted-average discount rate – operating leases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w:t>
            </w:r>
          </w:p>
        </w:tc>
        <w:tc>
          <w:tcPr>
            <w:tcW w:w="29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pPr>
            <w:r>
              <w:rPr/>
              <w:t>Short term lease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207,787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234,767</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there were $504,192 and $98,570 right of use (“ROU”) assets and $510,464 and $118,757 lease liabilities based on the present value of the future minimum rental payments of leases, respectively. The Company’s management believes that using an incremental borrowing rate of the minimum loan rate and the Hong Kong Dollar Best Lending Rate (“BLR”) minus 0.125% was the most indicative rate of the Company’s borrowing cost for the calculation of the present value of the lease payments; the rate used by the Company was 6.6% and 5.5% respectively.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14 —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2025 and December 31, 2024, the Company is authorized to issue unlimited and 50,000,000 ordinary shares respectively. Each ordinary share is entitled to one vote. The holders of ordinary shares are also entitled to receive dividends whenever funds are legally available and when declared by the Board of Directors of the Company. On July 4, 2025, the Board of Directors of the Company approved unlimited authorized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of the Company as of December 31, 2025 and December 31, 2024 represents 240,622 and 380 ordinary shares with par value of $Nil. The number of shares as above have taken into consideration the reverse stock split effected on February 11, 2025, May 6, 2025 and August 4, 2025, December 1, 2025, January 26, 2026 and March 16, 2026 at an exchange ratio of one (1) share for twenty (20) shares, one (1) share for ten (10) shares and one (1) share for five (5) share, one (1) share for five (5) shares, one (1) share for three (3) and one (1) share for four (4) shares, respectively. Pursuant to ASC 505 the reverse stock split has been applied retrospectively.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paid-in capital</w:t>
      </w:r>
    </w:p>
    <w:p>
      <w:pPr>
        <w:pStyle w:val="TextBody"/>
        <w:bidi w:val="0"/>
        <w:spacing w:before="0" w:after="0"/>
        <w:ind w:left="0" w:right="0" w:hanging="0"/>
        <w:jc w:val="both"/>
        <w:rPr>
          <w:caps w:val="false"/>
          <w:smallCaps w:val="false"/>
        </w:rPr>
      </w:pPr>
      <w:r>
        <w:rPr>
          <w:caps w:val="false"/>
          <w:smallCaps w:val="false"/>
        </w:rPr>
        <w:t> </w:t>
      </w:r>
    </w:p>
    <w:tbl>
      <w:tblPr>
        <w:tblW w:w="8600" w:type="dxa"/>
        <w:jc w:val="left"/>
        <w:tblInd w:w="0" w:type="dxa"/>
        <w:tblLayout w:type="fixed"/>
        <w:tblCellMar>
          <w:top w:w="0" w:type="dxa"/>
          <w:left w:w="0" w:type="dxa"/>
          <w:bottom w:w="0" w:type="dxa"/>
          <w:right w:w="0" w:type="dxa"/>
        </w:tblCellMar>
      </w:tblPr>
      <w:tblGrid>
        <w:gridCol w:w="7040"/>
        <w:gridCol w:w="90"/>
        <w:gridCol w:w="170"/>
        <w:gridCol w:w="1130"/>
        <w:gridCol w:w="170"/>
      </w:tblGrid>
      <w:tr>
        <w:trPr/>
        <w:tc>
          <w:tcPr>
            <w:tcW w:w="7040" w:type="dxa"/>
            <w:tcBorders/>
            <w:shd w:fill="CCEEFF" w:val="clear"/>
            <w:vAlign w:val="center"/>
          </w:tcPr>
          <w:p>
            <w:pPr>
              <w:pStyle w:val="TableContents"/>
              <w:bidi w:val="0"/>
              <w:spacing w:before="0" w:after="283"/>
              <w:jc w:val="left"/>
              <w:rPr/>
            </w:pPr>
            <w:r>
              <w:rPr/>
              <w:t>Balance as at January 1,2023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1,464,959</w:t>
            </w:r>
          </w:p>
        </w:tc>
        <w:tc>
          <w:tcPr>
            <w:tcW w:w="17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283"/>
              <w:jc w:val="left"/>
              <w:rPr>
                <w:sz w:val="20"/>
              </w:rPr>
            </w:pPr>
            <w:r>
              <w:rPr>
                <w:sz w:val="20"/>
              </w:rPr>
              <w:t>Issuance of shares as compensation for services (</w:t>
            </w:r>
            <w:r>
              <w:rPr>
                <w:i/>
                <w:sz w:val="20"/>
              </w:rPr>
              <w:t>Note 1</w:t>
            </w:r>
            <w:r>
              <w:rPr>
                <w:sz w:val="20"/>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2,866,856</w:t>
            </w:r>
          </w:p>
        </w:tc>
        <w:tc>
          <w:tcPr>
            <w:tcW w:w="17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Balance as at December 31, 2023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4,331,815</w:t>
            </w:r>
          </w:p>
        </w:tc>
        <w:tc>
          <w:tcPr>
            <w:tcW w:w="17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283"/>
              <w:jc w:val="left"/>
              <w:rPr>
                <w:sz w:val="20"/>
              </w:rPr>
            </w:pPr>
            <w:r>
              <w:rPr>
                <w:sz w:val="20"/>
              </w:rPr>
              <w:t>Issuance of shares through Equity Line of Credit (</w:t>
            </w:r>
            <w:r>
              <w:rPr>
                <w:i/>
                <w:sz w:val="20"/>
              </w:rPr>
              <w:t>Note 2</w:t>
            </w:r>
            <w:r>
              <w:rPr>
                <w:sz w:val="20"/>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1,936,236</w:t>
            </w:r>
          </w:p>
        </w:tc>
        <w:tc>
          <w:tcPr>
            <w:tcW w:w="17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Issuance of shares through conversion of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2,650,000</w:t>
            </w:r>
          </w:p>
        </w:tc>
        <w:tc>
          <w:tcPr>
            <w:tcW w:w="17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283"/>
              <w:jc w:val="left"/>
              <w:rPr>
                <w:sz w:val="20"/>
              </w:rPr>
            </w:pPr>
            <w:r>
              <w:rPr>
                <w:sz w:val="20"/>
              </w:rPr>
              <w:t xml:space="preserve">Decrease in subscription receivable due to reduction of work by professionals </w:t>
            </w:r>
            <w:r>
              <w:rPr>
                <w:i/>
                <w:sz w:val="20"/>
              </w:rPr>
              <w:t>(Note 1)</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(2,766,856</w:t>
            </w:r>
          </w:p>
        </w:tc>
        <w:tc>
          <w:tcPr>
            <w:tcW w:w="170" w:type="dxa"/>
            <w:tcBorders/>
            <w:shd w:fill="FFFFFF" w:val="clear"/>
            <w:vAlign w:val="center"/>
          </w:tcPr>
          <w:p>
            <w:pPr>
              <w:pStyle w:val="TableContents"/>
              <w:bidi w:val="0"/>
              <w:spacing w:before="0" w:after="283"/>
              <w:jc w:val="left"/>
              <w:rPr/>
            </w:pPr>
            <w:r>
              <w:rPr/>
              <w:t>)</w:t>
            </w:r>
          </w:p>
        </w:tc>
      </w:tr>
      <w:tr>
        <w:trPr/>
        <w:tc>
          <w:tcPr>
            <w:tcW w:w="7040" w:type="dxa"/>
            <w:tcBorders/>
            <w:shd w:fill="CCEEFF" w:val="clear"/>
            <w:vAlign w:val="center"/>
          </w:tcPr>
          <w:p>
            <w:pPr>
              <w:pStyle w:val="TableContents"/>
              <w:bidi w:val="0"/>
              <w:spacing w:before="0" w:after="283"/>
              <w:jc w:val="left"/>
              <w:rPr>
                <w:sz w:val="20"/>
              </w:rPr>
            </w:pPr>
            <w:r>
              <w:rPr>
                <w:sz w:val="20"/>
              </w:rPr>
              <w:t>Business Combination (</w:t>
            </w:r>
            <w:r>
              <w:rPr>
                <w:i/>
                <w:sz w:val="20"/>
              </w:rPr>
              <w:t>Note 3</w:t>
            </w:r>
            <w:r>
              <w:rPr>
                <w:sz w:val="20"/>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(6,028,690</w:t>
            </w:r>
          </w:p>
        </w:tc>
        <w:tc>
          <w:tcPr>
            <w:tcW w:w="170" w:type="dxa"/>
            <w:tcBorders/>
            <w:shd w:fill="CCEEFF" w:val="clear"/>
            <w:vAlign w:val="center"/>
          </w:tcPr>
          <w:p>
            <w:pPr>
              <w:pStyle w:val="TableContents"/>
              <w:bidi w:val="0"/>
              <w:spacing w:before="0" w:after="283"/>
              <w:jc w:val="left"/>
              <w:rPr/>
            </w:pPr>
            <w:r>
              <w:rPr/>
              <w:t>)</w:t>
            </w:r>
          </w:p>
        </w:tc>
      </w:tr>
      <w:tr>
        <w:trPr/>
        <w:tc>
          <w:tcPr>
            <w:tcW w:w="7040" w:type="dxa"/>
            <w:tcBorders/>
            <w:shd w:fill="FFFFFF" w:val="clear"/>
            <w:vAlign w:val="center"/>
          </w:tcPr>
          <w:p>
            <w:pPr>
              <w:pStyle w:val="TableContents"/>
              <w:bidi w:val="0"/>
              <w:spacing w:before="0" w:after="283"/>
              <w:jc w:val="left"/>
              <w:rPr/>
            </w:pPr>
            <w:r>
              <w:rPr/>
              <w:t>Balance as at December 31, 2024</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122,505</w:t>
            </w:r>
          </w:p>
        </w:tc>
        <w:tc>
          <w:tcPr>
            <w:tcW w:w="17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sz w:val="20"/>
              </w:rPr>
            </w:pPr>
            <w:r>
              <w:rPr>
                <w:sz w:val="20"/>
              </w:rPr>
              <w:t xml:space="preserve">Issuance of shares for share-based compensation to consultant </w:t>
            </w:r>
            <w:r>
              <w:rPr>
                <w:i/>
                <w:sz w:val="20"/>
              </w:rPr>
              <w:t>(Note 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20,250</w:t>
            </w:r>
          </w:p>
        </w:tc>
        <w:tc>
          <w:tcPr>
            <w:tcW w:w="17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283"/>
              <w:jc w:val="left"/>
              <w:rPr>
                <w:sz w:val="20"/>
              </w:rPr>
            </w:pPr>
            <w:r>
              <w:rPr>
                <w:sz w:val="20"/>
              </w:rPr>
              <w:t xml:space="preserve">Issuance of shares through Equity Line of Credit </w:t>
            </w:r>
            <w:r>
              <w:rPr>
                <w:i/>
                <w:sz w:val="20"/>
              </w:rPr>
              <w:t>(Note 5)</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12,620,494</w:t>
            </w:r>
          </w:p>
        </w:tc>
        <w:tc>
          <w:tcPr>
            <w:tcW w:w="17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Issuance of shares through conversion of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4,860,427</w:t>
            </w:r>
          </w:p>
        </w:tc>
        <w:tc>
          <w:tcPr>
            <w:tcW w:w="17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283"/>
              <w:jc w:val="left"/>
              <w:rPr/>
            </w:pPr>
            <w:r>
              <w:rPr/>
              <w:t>Issuance of shares for business acquisition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257,500</w:t>
            </w:r>
          </w:p>
        </w:tc>
        <w:tc>
          <w:tcPr>
            <w:tcW w:w="17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Balance as at December 31, 2025</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17,881,176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w:t>
            </w:r>
          </w:p>
        </w:tc>
        <w:tc>
          <w:tcPr>
            <w:tcW w:w="10035" w:type="dxa"/>
            <w:tcBorders/>
            <w:vAlign w:val="center"/>
          </w:tcPr>
          <w:p>
            <w:pPr>
              <w:pStyle w:val="TableContents"/>
              <w:bidi w:val="0"/>
              <w:spacing w:before="0" w:after="283"/>
              <w:jc w:val="both"/>
              <w:rPr>
                <w:sz w:val="20"/>
              </w:rPr>
            </w:pPr>
            <w:r>
              <w:rPr>
                <w:sz w:val="20"/>
              </w:rPr>
              <w:t>the number of shares below have been amended to apply the reverse stock split in February 11, May 6, 2025 and August 4, 2025, December 1, 2025, January 26, 2026 and March 16, 2026 retrospectively.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On January 10, 2023, the Company issued 1,365 ordinary shares (0.45 Ordinary Shares as adjusted by all Reverse Stock Splits done as of this report) to professional party for consulting service of 10 years, increasing the additional paid-in capital by $812,300. On December 4, 2023, the Company issued additional 3,450 shares (1.15 Ordinary Shares as adjusted by all Reverse Stock Splits done as of this report) to DoubleClick Services Limited for consulting service of 10 years, increasing the additional paid-in capital by $2,054,556. During 2024, the service scope and duration were reduced and the service value was adjusted accordingly pursuant to addendums to respective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 2:</w:t>
      </w:r>
      <w:r>
        <w:rPr>
          <w:rFonts w:ascii="Times New Roman;Times;Serif" w:hAnsi="Times New Roman;Times;Serif"/>
          <w:b w:val="false"/>
          <w:i w:val="false"/>
          <w:caps w:val="false"/>
          <w:smallCaps w:val="false"/>
          <w:sz w:val="20"/>
        </w:rPr>
        <w:t xml:space="preserve"> 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within 36 months from the Agreement effective date up to One Hundred Million Dollars ($100,000,000) in aggregate gross purchase price of newly issued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 The White Lion Purchase Agreement was included as Exhibit 10.27 of the Form F-1 registration statement filed on December 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35,000 Class A Ordinary Shares (0.58 Ordinary Shares as adjusted by all reverse stock splits done as of this report) were issued to White Lion amounting $276,850, in consideration for White Lion’s commitment pursuant to the White Lion Purchase Agreement. In addition, on December 12, 2024, pursuant to this Agreement, the Company issued 9,500 (0.15 Ordinary Shares as adjusted by all reverse stock splits done as of this report) Class A Ordinary Shares for a purchase price of $1,572,186. On December 24, 2024, the Company issued 25,000 Class A Ordinary Shares (0.42 Ordinary Shares as adjusted by all reverse stock splits done as of this report) for a purchase price of $160,050. On December 31, 2024, the Company issued 30,000 Class A Ordinary Shares (0.5 Ordinary Shares as adjusted by all reverse stock splits done as of this report) for a purchase price of $204,000.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Upon de-spac business combination, additional paid-in capital and capital reserve of Legacy NewGenIvf was combined with additional paid-in capital and accumulated net losses of the A SPAC I Acquisition Corp and added into the additional paid-in capital of NewGenIvf Group upon the reverse take-over.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The Company had issued 50 Class A Ordinary Shares to A SPAC (Holdings) Group Corp, pursuant to a one year consulting services agreement commencing on February 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During the year ended December 31, 2025, the Company had issued 141,661 shares after taking account of the reverse stock split on Feb 11, 2025 and May 6, 2025, August 3, 2025, December 1, 2025, January 26, 2026 and March 16,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6: The Company had issued 125,000 Class A Ordinary Shares (42 Ordinary Shares as adjusted by all reverse stock splits done as of this report) valued at US$2.06 per share for acquiring of MicroSort Reproductive Technology on January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15 —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HK SAR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defined contribution pension scheme for its qualifying employees. The scheme assets are held under a provident fund managed by an independent fund manager. The Company and its employees are each required to make contributions to the scheme calculated at 5% of the employees’ basic salaries on monthly basis.</w:t>
      </w:r>
    </w:p>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obliged to make social security payments within the first 15 days of the month over which it is accrued. During period ended December 31 2025, the Company and its employees are each required to make contributions to the scheme calculated at 5% of the employee’s salary with a cap of THB750 per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business employing one or more workers must register its business and workers with the National Social Security Fund (the “NSSF”) for the Occupational Risk Scheme (for work-related accidents and occupational diseases), the Health Care Scheme and the Pension Scheme.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registered, the business must pay to the NSSF:</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A monthly contribution equivalent to 0.8% of each worker’s monthly average wages (between $0.40 and $2.40 per month per worker) for the Occupational Risk Scheme.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A monthly contribution equivalent to 2.6% of a worker’s monthly average wages (between $1.30 and $7.80 per month per worker) for the Health Care Scheme.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A monthly contribution to the compulsory Pension Scheme, which is jointly paid by the employer and the employee at the same rate of 2% (total of 4%) of the contributable wage for the first five years. The contributable wage for the Pension Scheme ranges from between KHR400,000 (approximately $100) up to KHR1,200,000 (approximately $300).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defined contribution pension scheme for its qualifying employees. The scheme assets are held under a provident fund managed by an independent fund manager. The Company and its employees are each required to make contributions to the scheme calculated at 15% and 8%, respectively of the employees’ basic salaries on monthly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16 —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Limited was incorporated in the Cayman Islands and is not subject to tax on income or capital gains under current Cayman Islands law. In addition, upon payment of dividends by these entities to the shareholders, no Cayman Islands withholding tax will be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HK SAR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two-tiered profits tax rates regime, Hong Kong tax residents are subject to Hong Kong Profits Tax in respect of profits arising in or derived from Hong Kong at 8.25% for the first HK$2 million of profits of the qualifying group entity, and profits above HK$2 million will be taxed at 16.5%. The profits of group entities not qualifying for the two-tiered profits tax rates regime will continue to be taxed at a flat rate of 16.5%.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HK SAR profits tax is calculated at 8.25% on the first HK$2 million of the estimated assessable profits and at 16.5% on the remaining estimated assessable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incorporated in Thailand are taxed on worldwide income. A company incorporated abroad is taxed on its profits arising from or in consequence of the business carried on in Thailand. The corporate income tax (CIT) rate is 20%. A foreign company not carrying on business in Thailand is subject to a final withholding tax (WHT) on certain types of assessable income (e.g. interest, dividends, royalties, rentals, and service fees) paid from or in Thailand. The rate of tax is generally 15%, except for dividends, which is 10%, while other rates may apply under the provisions of a double tax treaty (DTT).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rate of corporate income tax (“CIT”) for companies and permanent establishments who are classified as medium and large taxpayers is 20%. For companies and permanent establishments who are classified as small taxpayers, the CIT rates are progressive rates from 0% to 20%. In view of the annual turnover of the company, the annual turnover ranges from KHR1 billion to KHR6 billion for service and commercial sectors, the company shall consider as the medium-sized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corporate income tax on their aggregate annual income earned worldwide. Non-resident legal entities carrying out business activities through a permanent establishment in Kyrgyzstan are subject to profit tax on the income attributed to the activities of that permanent establishments. During the period ended June 30, 2025, no tax payable is accrued and reversed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tax is calculated at a rate of 10% of aggregate annual income less allowed deductions.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from its U.S. operations at a flat 21% on net income. In addition to federal obligations, there is a graduated state income tax rate that applies to corporate income, with a top rate of 6.6% on income over $60,000. Moreover, when the Company’s US operation pays a dividend to its offshore parent company, the payment is generally subject to a US federal withholding tax, typically at a statutory rate of 30% on the gross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provisions for income taxes for the years ended December 31, 2024, and December 31, 2025 were as follows:</w:t>
      </w:r>
    </w:p>
    <w:p>
      <w:pPr>
        <w:pStyle w:val="TextBody"/>
        <w:bidi w:val="0"/>
        <w:spacing w:before="0" w:after="0"/>
        <w:ind w:left="0" w:right="0" w:firstLine="720"/>
        <w:jc w:val="left"/>
        <w:rPr>
          <w:caps w:val="false"/>
          <w:smallCaps w:val="false"/>
        </w:rPr>
      </w:pPr>
      <w:r>
        <w:rPr>
          <w:caps w:val="false"/>
          <w:smallCaps w:val="false"/>
        </w:rPr>
        <w:t> </w:t>
      </w:r>
    </w:p>
    <w:tbl>
      <w:tblPr>
        <w:tblW w:w="7849" w:type="dxa"/>
        <w:jc w:val="left"/>
        <w:tblInd w:w="0" w:type="dxa"/>
        <w:tblLayout w:type="fixed"/>
        <w:tblCellMar>
          <w:top w:w="0" w:type="dxa"/>
          <w:left w:w="0" w:type="dxa"/>
          <w:bottom w:w="0" w:type="dxa"/>
          <w:right w:w="0" w:type="dxa"/>
        </w:tblCellMar>
      </w:tblPr>
      <w:tblGrid>
        <w:gridCol w:w="4460"/>
        <w:gridCol w:w="90"/>
        <w:gridCol w:w="423"/>
        <w:gridCol w:w="1022"/>
        <w:gridCol w:w="90"/>
        <w:gridCol w:w="90"/>
        <w:gridCol w:w="171"/>
        <w:gridCol w:w="1333"/>
        <w:gridCol w:w="170"/>
      </w:tblGrid>
      <w:tr>
        <w:trPr/>
        <w:tc>
          <w:tcPr>
            <w:tcW w:w="44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Current tax provision Kyrgyzstan</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w:t>
            </w:r>
          </w:p>
        </w:tc>
        <w:tc>
          <w:tcPr>
            <w:tcW w:w="1022"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333"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Over provision of tax in prior year Kyrgyzstan</w:t>
            </w:r>
          </w:p>
        </w:tc>
        <w:tc>
          <w:tcPr>
            <w:tcW w:w="90"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       </w:t>
            </w:r>
            <w:r>
              <w:rPr/>
              <w:t>(486,706</w:t>
            </w:r>
          </w:p>
        </w:tc>
        <w:tc>
          <w:tcPr>
            <w:tcW w:w="17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both"/>
              <w:rPr/>
            </w:pPr>
            <w:r>
              <w:rPr/>
              <w:t>Current tax provision Cambodia</w:t>
            </w:r>
          </w:p>
        </w:tc>
        <w:tc>
          <w:tcPr>
            <w:tcW w:w="90" w:type="dxa"/>
            <w:tcBorders/>
            <w:shd w:fill="CCEEFF" w:val="cle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Total tax (income) expense</w:t>
            </w:r>
          </w:p>
        </w:tc>
        <w:tc>
          <w:tcPr>
            <w:tcW w:w="90" w:type="dxa"/>
            <w:tcBorders/>
            <w:shd w:fill="FFFFFF" w:val="clear"/>
            <w:vAlign w:val="center"/>
          </w:tcPr>
          <w:p>
            <w:pPr>
              <w:pStyle w:val="TableContents"/>
              <w:bidi w:val="0"/>
              <w:spacing w:before="0" w:after="283"/>
              <w:jc w:val="left"/>
              <w:rPr/>
            </w:pPr>
            <w:r>
              <w:rPr/>
              <w:t> </w:t>
            </w:r>
          </w:p>
        </w:tc>
        <w:tc>
          <w:tcPr>
            <w:tcW w:w="42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22"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33" w:type="dxa"/>
            <w:tcBorders>
              <w:bottom w:val="double" w:sz="10" w:space="0" w:color="000000"/>
            </w:tcBorders>
            <w:shd w:fill="FFFFFF" w:val="clear"/>
            <w:tcMar>
              <w:bottom w:w="28" w:type="dxa"/>
            </w:tcMar>
            <w:vAlign w:val="center"/>
          </w:tcPr>
          <w:p>
            <w:pPr>
              <w:pStyle w:val="TableContents"/>
              <w:bidi w:val="0"/>
              <w:spacing w:before="0" w:after="283"/>
              <w:jc w:val="right"/>
              <w:rPr/>
            </w:pPr>
            <w:r>
              <w:rPr/>
              <w:t>(486,706</w:t>
            </w:r>
          </w:p>
        </w:tc>
        <w:tc>
          <w:tcPr>
            <w:tcW w:w="17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tbl>
      <w:tblPr>
        <w:tblW w:w="7850" w:type="dxa"/>
        <w:jc w:val="left"/>
        <w:tblInd w:w="0" w:type="dxa"/>
        <w:tblLayout w:type="fixed"/>
        <w:tblCellMar>
          <w:top w:w="0" w:type="dxa"/>
          <w:left w:w="0" w:type="dxa"/>
          <w:bottom w:w="0" w:type="dxa"/>
          <w:right w:w="0" w:type="dxa"/>
        </w:tblCellMar>
      </w:tblPr>
      <w:tblGrid>
        <w:gridCol w:w="4280"/>
        <w:gridCol w:w="90"/>
        <w:gridCol w:w="170"/>
        <w:gridCol w:w="1370"/>
        <w:gridCol w:w="125"/>
        <w:gridCol w:w="90"/>
        <w:gridCol w:w="170"/>
        <w:gridCol w:w="1385"/>
        <w:gridCol w:w="170"/>
      </w:tblGrid>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Profit / (Loss) Income before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9,728,723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8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(960,807</w:t>
            </w:r>
          </w:p>
        </w:tc>
        <w:tc>
          <w:tcPr>
            <w:tcW w:w="170" w:type="dxa"/>
            <w:tcBorders/>
            <w:shd w:fill="CCEEFF" w:val="clear"/>
            <w:vAlign w:val="center"/>
          </w:tcPr>
          <w:p>
            <w:pPr>
              <w:pStyle w:val="TableContents"/>
              <w:bidi w:val="0"/>
              <w:spacing w:before="0" w:after="283"/>
              <w:jc w:val="left"/>
              <w:rPr/>
            </w:pPr>
            <w:r>
              <w:rPr/>
              <w:t>)</w:t>
            </w:r>
          </w:p>
        </w:tc>
      </w:tr>
      <w:tr>
        <w:trPr/>
        <w:tc>
          <w:tcPr>
            <w:tcW w:w="4280" w:type="dxa"/>
            <w:tcBorders/>
            <w:shd w:fill="FFFFFF" w:val="clear"/>
            <w:vAlign w:val="center"/>
          </w:tcPr>
          <w:p>
            <w:pPr>
              <w:pStyle w:val="TableContents"/>
              <w:bidi w:val="0"/>
              <w:spacing w:before="0" w:after="283"/>
              <w:jc w:val="both"/>
              <w:rPr/>
            </w:pPr>
            <w:r>
              <w:rPr/>
              <w:t>Tax credit (expense) at the effective tax rates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1,705,862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pPr>
            <w:r>
              <w:rPr/>
              <w:t>(179,863</w:t>
            </w:r>
          </w:p>
        </w:tc>
        <w:tc>
          <w:tcPr>
            <w:tcW w:w="170" w:type="dxa"/>
            <w:tcBorders/>
            <w:shd w:fill="FFFFFF" w:val="clear"/>
            <w:vAlign w:val="center"/>
          </w:tcPr>
          <w:p>
            <w:pPr>
              <w:pStyle w:val="TableContents"/>
              <w:bidi w:val="0"/>
              <w:spacing w:before="0" w:after="283"/>
              <w:jc w:val="left"/>
              <w:rPr/>
            </w:pPr>
            <w:r>
              <w:rPr/>
              <w:t>)</w:t>
            </w:r>
          </w:p>
        </w:tc>
      </w:tr>
      <w:tr>
        <w:trPr/>
        <w:tc>
          <w:tcPr>
            <w:tcW w:w="4280" w:type="dxa"/>
            <w:tcBorders/>
            <w:shd w:fill="CCEEFF" w:val="clear"/>
            <w:vAlign w:val="center"/>
          </w:tcPr>
          <w:p>
            <w:pPr>
              <w:pStyle w:val="TableContents"/>
              <w:bidi w:val="0"/>
              <w:spacing w:before="0" w:after="283"/>
              <w:jc w:val="both"/>
              <w:rPr/>
            </w:pPr>
            <w:r>
              <w:rPr/>
              <w:t>Tax effect on non-taxable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(3,682,167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pPr>
            <w:r>
              <w:rPr/>
              <w:t>(81,323</w:t>
            </w:r>
          </w:p>
        </w:tc>
        <w:tc>
          <w:tcPr>
            <w:tcW w:w="170" w:type="dxa"/>
            <w:tcBorders/>
            <w:shd w:fill="CCEEFF" w:val="clear"/>
            <w:vAlign w:val="center"/>
          </w:tcPr>
          <w:p>
            <w:pPr>
              <w:pStyle w:val="TableContents"/>
              <w:bidi w:val="0"/>
              <w:spacing w:before="0" w:after="283"/>
              <w:jc w:val="left"/>
              <w:rPr/>
            </w:pPr>
            <w:r>
              <w:rPr/>
              <w:t>)</w:t>
            </w:r>
          </w:p>
        </w:tc>
      </w:tr>
      <w:tr>
        <w:trPr/>
        <w:tc>
          <w:tcPr>
            <w:tcW w:w="4280" w:type="dxa"/>
            <w:tcBorders/>
            <w:shd w:fill="FFFFFF" w:val="clear"/>
            <w:vAlign w:val="center"/>
          </w:tcPr>
          <w:p>
            <w:pPr>
              <w:pStyle w:val="TableContents"/>
              <w:bidi w:val="0"/>
              <w:spacing w:before="0" w:after="283"/>
              <w:jc w:val="both"/>
              <w:rPr/>
            </w:pPr>
            <w:r>
              <w:rPr/>
              <w:t>Tax effect on non-deductible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1,975,290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pPr>
            <w:r>
              <w:rPr/>
              <w:t>129,814</w:t>
            </w:r>
          </w:p>
        </w:tc>
        <w:tc>
          <w:tcPr>
            <w:tcW w:w="17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Change in 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pPr>
            <w:r>
              <w:rPr/>
              <w:t>131,991</w:t>
            </w:r>
          </w:p>
        </w:tc>
        <w:tc>
          <w:tcPr>
            <w:tcW w:w="17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both"/>
              <w:rPr/>
            </w:pPr>
            <w:r>
              <w:rPr/>
              <w:t>Tax effect on utilization of tax losses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pPr>
            <w:r>
              <w:rPr/>
              <w:t>(127,521</w:t>
            </w:r>
          </w:p>
        </w:tc>
        <w:tc>
          <w:tcPr>
            <w:tcW w:w="170" w:type="dxa"/>
            <w:tcBorders/>
            <w:shd w:fill="FFFFFF" w:val="clear"/>
            <w:vAlign w:val="center"/>
          </w:tcPr>
          <w:p>
            <w:pPr>
              <w:pStyle w:val="TableContents"/>
              <w:bidi w:val="0"/>
              <w:spacing w:before="0" w:after="283"/>
              <w:jc w:val="left"/>
              <w:rPr/>
            </w:pPr>
            <w:r>
              <w:rPr/>
              <w:t>)</w:t>
            </w:r>
          </w:p>
        </w:tc>
      </w:tr>
      <w:tr>
        <w:trPr/>
        <w:tc>
          <w:tcPr>
            <w:tcW w:w="4280" w:type="dxa"/>
            <w:tcBorders/>
            <w:shd w:fill="CCEEFF" w:val="clear"/>
            <w:vAlign w:val="center"/>
          </w:tcPr>
          <w:p>
            <w:pPr>
              <w:pStyle w:val="TableContents"/>
              <w:bidi w:val="0"/>
              <w:spacing w:before="0" w:after="283"/>
              <w:jc w:val="both"/>
              <w:rPr/>
            </w:pPr>
            <w:r>
              <w:rPr/>
              <w:t>Tax losses unable to be utilized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1,015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pPr>
            <w:r>
              <w:rPr/>
              <w:t>126,902</w:t>
            </w:r>
          </w:p>
        </w:tc>
        <w:tc>
          <w:tcPr>
            <w:tcW w:w="17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both"/>
              <w:rPr/>
            </w:pPr>
            <w:r>
              <w:rPr/>
              <w:t>Over provision of tax in prior year</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single" w:sz="12" w:space="0" w:color="000000"/>
            </w:tcBorders>
            <w:shd w:fill="FFFFFF" w:val="clear"/>
            <w:tcMar>
              <w:bottom w:w="28" w:type="dxa"/>
            </w:tcMar>
            <w:vAlign w:val="center"/>
          </w:tcPr>
          <w:p>
            <w:pPr>
              <w:pStyle w:val="TableContents"/>
              <w:bidi w:val="0"/>
              <w:spacing w:before="0" w:after="283"/>
              <w:jc w:val="right"/>
              <w:rPr/>
            </w:pPr>
            <w:r>
              <w:rPr/>
              <w:t>(486,706</w:t>
            </w:r>
          </w:p>
        </w:tc>
        <w:tc>
          <w:tcPr>
            <w:tcW w:w="170" w:type="dxa"/>
            <w:tcBorders/>
            <w:shd w:fill="FFFFFF" w:val="clear"/>
            <w:vAlign w:val="center"/>
          </w:tcPr>
          <w:p>
            <w:pPr>
              <w:pStyle w:val="TableContents"/>
              <w:bidi w:val="0"/>
              <w:spacing w:before="0" w:after="283"/>
              <w:jc w:val="left"/>
              <w:rPr/>
            </w:pPr>
            <w:r>
              <w:rPr/>
              <w:t>)</w:t>
            </w:r>
          </w:p>
        </w:tc>
      </w:tr>
      <w:tr>
        <w:trPr/>
        <w:tc>
          <w:tcPr>
            <w:tcW w:w="4280" w:type="dxa"/>
            <w:tcBorders/>
            <w:shd w:fill="CCEEFF" w:val="clear"/>
            <w:vAlign w:val="center"/>
          </w:tcPr>
          <w:p>
            <w:pPr>
              <w:pStyle w:val="TableContents"/>
              <w:bidi w:val="0"/>
              <w:spacing w:before="0" w:after="283"/>
              <w:jc w:val="both"/>
              <w:rPr/>
            </w:pPr>
            <w:r>
              <w:rPr/>
              <w:t>Tax (income)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7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85" w:type="dxa"/>
            <w:tcBorders>
              <w:bottom w:val="double" w:sz="10" w:space="0" w:color="000000"/>
            </w:tcBorders>
            <w:shd w:fill="CCEEFF" w:val="clear"/>
            <w:tcMar>
              <w:bottom w:w="28" w:type="dxa"/>
            </w:tcMar>
            <w:vAlign w:val="center"/>
          </w:tcPr>
          <w:p>
            <w:pPr>
              <w:pStyle w:val="TableContents"/>
              <w:bidi w:val="0"/>
              <w:spacing w:before="0" w:after="283"/>
              <w:jc w:val="right"/>
              <w:rPr/>
            </w:pPr>
            <w:r>
              <w:rPr/>
              <w:t>(486,706</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deferred tax assets, net were as follows:</w:t>
      </w:r>
    </w:p>
    <w:p>
      <w:pPr>
        <w:pStyle w:val="TextBody"/>
        <w:bidi w:val="0"/>
        <w:spacing w:before="0" w:after="0"/>
        <w:ind w:left="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305"/>
        <w:gridCol w:w="90"/>
        <w:gridCol w:w="355"/>
        <w:gridCol w:w="1149"/>
        <w:gridCol w:w="90"/>
        <w:gridCol w:w="90"/>
        <w:gridCol w:w="135"/>
        <w:gridCol w:w="1369"/>
        <w:gridCol w:w="170"/>
      </w:tblGrid>
      <w:tr>
        <w:trPr/>
        <w:tc>
          <w:tcPr>
            <w:tcW w:w="33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USD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USD</w:t>
            </w:r>
          </w:p>
        </w:tc>
        <w:tc>
          <w:tcPr>
            <w:tcW w:w="17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Deferred tax assets:</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 xml:space="preserve">– </w:t>
            </w:r>
            <w:r>
              <w:rPr/>
              <w:t>Net operating loss carry forward</w:t>
            </w:r>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160,432</w:t>
            </w:r>
          </w:p>
        </w:tc>
        <w:tc>
          <w:tcPr>
            <w:tcW w:w="17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Less: valuation allowance</w:t>
            </w:r>
          </w:p>
        </w:tc>
        <w:tc>
          <w:tcPr>
            <w:tcW w:w="90" w:type="dxa"/>
            <w:tcBorders/>
            <w:shd w:fill="FFFFFF" w:val="clear"/>
            <w:vAlign w:val="center"/>
          </w:tcPr>
          <w:p>
            <w:pPr>
              <w:pStyle w:val="TableContents"/>
              <w:bidi w:val="0"/>
              <w:spacing w:before="0" w:after="283"/>
              <w:jc w:val="left"/>
              <w:rPr/>
            </w:pPr>
            <w:r>
              <w:rPr/>
              <w:t> </w:t>
            </w:r>
          </w:p>
        </w:tc>
        <w:tc>
          <w:tcPr>
            <w:tcW w:w="3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12" w:space="0" w:color="000000"/>
            </w:tcBorders>
            <w:shd w:fill="FFFFFF" w:val="clear"/>
            <w:tcMar>
              <w:bottom w:w="28" w:type="dxa"/>
            </w:tcMar>
            <w:vAlign w:val="center"/>
          </w:tcPr>
          <w:p>
            <w:pPr>
              <w:pStyle w:val="TableContents"/>
              <w:bidi w:val="0"/>
              <w:spacing w:before="0" w:after="283"/>
              <w:jc w:val="right"/>
              <w:rPr/>
            </w:pPr>
            <w:r>
              <w:rPr/>
              <w:t>(160,432</w:t>
            </w:r>
          </w:p>
        </w:tc>
        <w:tc>
          <w:tcPr>
            <w:tcW w:w="170"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left"/>
              <w:rPr/>
            </w:pPr>
            <w:r>
              <w:rPr/>
              <w:t>Deferred tax assets, net</w:t>
            </w:r>
          </w:p>
        </w:tc>
        <w:tc>
          <w:tcPr>
            <w:tcW w:w="90" w:type="dxa"/>
            <w:tcBorders/>
            <w:shd w:fill="CCEEFF" w:val="clear"/>
            <w:vAlign w:val="center"/>
          </w:tcPr>
          <w:p>
            <w:pPr>
              <w:pStyle w:val="TableContents"/>
              <w:bidi w:val="0"/>
              <w:spacing w:before="0" w:after="283"/>
              <w:jc w:val="left"/>
              <w:rPr/>
            </w:pPr>
            <w:r>
              <w:rPr/>
              <w:t> </w:t>
            </w:r>
          </w:p>
        </w:tc>
        <w:tc>
          <w:tcPr>
            <w:tcW w:w="3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6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had net operating loss carry forward of Nil and $160,432. The Company believes it is less likely than not that its operations will be able to fully utilize its deferred tax assets related to the net operating loss carry forward. As a result, the Company provided 100% allowance on deferred tax assets on net operating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17 — DISAGGREGATED REVENUES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main business operations are to provide: (i) IVF treatment service; and (ii) fertility referral services.</w:t>
      </w:r>
    </w:p>
    <w:p>
      <w:pPr>
        <w:pStyle w:val="TextBody"/>
        <w:bidi w:val="0"/>
        <w:spacing w:before="0" w:after="0"/>
        <w:ind w:left="0" w:right="0" w:firstLine="720"/>
        <w:jc w:val="left"/>
        <w:rPr>
          <w:caps w:val="false"/>
          <w:smallCaps w:val="false"/>
        </w:rPr>
      </w:pPr>
      <w:r>
        <w:rPr>
          <w:caps w:val="false"/>
          <w:smallCaps w:val="false"/>
        </w:rPr>
        <w:t> </w:t>
      </w:r>
    </w:p>
    <w:tbl>
      <w:tblPr>
        <w:tblW w:w="6763" w:type="dxa"/>
        <w:jc w:val="left"/>
        <w:tblInd w:w="0" w:type="dxa"/>
        <w:tblLayout w:type="fixed"/>
        <w:tblCellMar>
          <w:top w:w="0" w:type="dxa"/>
          <w:left w:w="0" w:type="dxa"/>
          <w:bottom w:w="28" w:type="dxa"/>
          <w:right w:w="0" w:type="dxa"/>
        </w:tblCellMar>
      </w:tblPr>
      <w:tblGrid>
        <w:gridCol w:w="3470"/>
        <w:gridCol w:w="90"/>
        <w:gridCol w:w="208"/>
        <w:gridCol w:w="1236"/>
        <w:gridCol w:w="90"/>
        <w:gridCol w:w="90"/>
        <w:gridCol w:w="208"/>
        <w:gridCol w:w="1236"/>
        <w:gridCol w:w="135"/>
      </w:tblGrid>
      <w:tr>
        <w:trPr/>
        <w:tc>
          <w:tcPr>
            <w:tcW w:w="3470" w:type="dxa"/>
            <w:tcBorders>
              <w:bottom w:val="single" w:sz="12" w:space="0" w:color="000000"/>
            </w:tcBorders>
            <w:vAlign w:val="center"/>
          </w:tcPr>
          <w:p>
            <w:pPr>
              <w:pStyle w:val="TableContents"/>
              <w:bidi w:val="0"/>
              <w:spacing w:before="0" w:after="283"/>
              <w:jc w:val="left"/>
              <w:rPr>
                <w:b/>
              </w:rPr>
            </w:pPr>
            <w:r>
              <w:rPr>
                <w:b/>
              </w:rPr>
              <w:t>Revenue from external customers</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center"/>
              <w:rPr>
                <w:b/>
              </w:rPr>
            </w:pPr>
            <w:r>
              <w:rPr>
                <w:b/>
              </w:rPr>
              <w:t>December 31,</w:t>
              <w:br/>
              <w:t>2024</w:t>
            </w:r>
          </w:p>
        </w:tc>
        <w:tc>
          <w:tcPr>
            <w:tcW w:w="135" w:type="dxa"/>
            <w:tcBorders/>
            <w:tcMar>
              <w:bottom w:w="0" w:type="dxa"/>
            </w:tcMar>
            <w:vAlign w:val="center"/>
          </w:tcPr>
          <w:p>
            <w:pPr>
              <w:pStyle w:val="TableContents"/>
              <w:bidi w:val="0"/>
              <w:spacing w:before="0" w:after="283"/>
              <w:jc w:val="left"/>
              <w:rPr/>
            </w:pPr>
            <w:r>
              <w:rPr/>
              <w:t> </w:t>
            </w:r>
          </w:p>
        </w:tc>
      </w:tr>
      <w:tr>
        <w:trPr/>
        <w:tc>
          <w:tcPr>
            <w:tcW w:w="3470" w:type="dxa"/>
            <w:tcBorders/>
            <w:shd w:fill="CCEEFF" w:val="clear"/>
            <w:tcMar>
              <w:bottom w:w="0" w:type="dxa"/>
            </w:tcMar>
            <w:vAlign w:val="center"/>
          </w:tcPr>
          <w:p>
            <w:pPr>
              <w:pStyle w:val="TableContents"/>
              <w:bidi w:val="0"/>
              <w:spacing w:before="0" w:after="283"/>
              <w:jc w:val="both"/>
              <w:rPr/>
            </w:pPr>
            <w:r>
              <w:rPr/>
              <w:t>IVF treatment service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3,905,863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5,433,375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470" w:type="dxa"/>
            <w:tcBorders/>
            <w:shd w:fill="FFFFFF" w:val="clear"/>
            <w:tcMar>
              <w:bottom w:w="0" w:type="dxa"/>
            </w:tcMar>
            <w:vAlign w:val="center"/>
          </w:tcPr>
          <w:p>
            <w:pPr>
              <w:pStyle w:val="TableContents"/>
              <w:bidi w:val="0"/>
              <w:spacing w:before="0" w:after="283"/>
              <w:jc w:val="both"/>
              <w:rPr/>
            </w:pPr>
            <w:r>
              <w:rPr/>
              <w:t>Fertility referral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12" w:space="0" w:color="000000"/>
            </w:tcBorders>
            <w:shd w:fill="FFFFFF" w:val="clear"/>
            <w:vAlign w:val="center"/>
          </w:tcPr>
          <w:p>
            <w:pPr>
              <w:pStyle w:val="TableContents"/>
              <w:bidi w:val="0"/>
              <w:spacing w:before="0" w:after="283"/>
              <w:jc w:val="left"/>
              <w:rPr/>
            </w:pPr>
            <w:r>
              <w:rPr/>
              <w:t> </w:t>
            </w:r>
          </w:p>
        </w:tc>
        <w:tc>
          <w:tcPr>
            <w:tcW w:w="1236" w:type="dxa"/>
            <w:tcBorders>
              <w:bottom w:val="single" w:sz="12" w:space="0" w:color="000000"/>
            </w:tcBorders>
            <w:shd w:fill="FFFFFF" w:val="clear"/>
            <w:vAlign w:val="center"/>
          </w:tcPr>
          <w:p>
            <w:pPr>
              <w:pStyle w:val="TableContents"/>
              <w:bidi w:val="0"/>
              <w:spacing w:before="0" w:after="283"/>
              <w:jc w:val="right"/>
              <w:rPr/>
            </w:pPr>
            <w:r>
              <w:rPr/>
              <w:t>820,570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12" w:space="0" w:color="000000"/>
            </w:tcBorders>
            <w:shd w:fill="FFFFFF" w:val="clear"/>
            <w:vAlign w:val="center"/>
          </w:tcPr>
          <w:p>
            <w:pPr>
              <w:pStyle w:val="TableContents"/>
              <w:bidi w:val="0"/>
              <w:spacing w:before="0" w:after="283"/>
              <w:jc w:val="left"/>
              <w:rPr/>
            </w:pPr>
            <w:r>
              <w:rPr/>
              <w:t> </w:t>
            </w:r>
          </w:p>
        </w:tc>
        <w:tc>
          <w:tcPr>
            <w:tcW w:w="1236" w:type="dxa"/>
            <w:tcBorders>
              <w:bottom w:val="single" w:sz="12" w:space="0" w:color="000000"/>
            </w:tcBorders>
            <w:shd w:fill="FFFFFF" w:val="clear"/>
            <w:vAlign w:val="center"/>
          </w:tcPr>
          <w:p>
            <w:pPr>
              <w:pStyle w:val="TableContents"/>
              <w:bidi w:val="0"/>
              <w:spacing w:before="0" w:after="0"/>
              <w:jc w:val="right"/>
              <w:rPr/>
            </w:pPr>
            <w:r>
              <w:rPr/>
              <w:t>—</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3470" w:type="dxa"/>
            <w:tcBorders/>
            <w:shd w:fill="CCEEFF" w:val="clear"/>
            <w:tcMar>
              <w:bottom w:w="0" w:type="dxa"/>
            </w:tcMar>
            <w:vAlign w:val="center"/>
          </w:tcPr>
          <w:p>
            <w:pPr>
              <w:pStyle w:val="TableContents"/>
              <w:bidi w:val="0"/>
              <w:spacing w:before="0" w:after="283"/>
              <w:jc w:val="both"/>
              <w:rPr/>
            </w:pPr>
            <w:r>
              <w:rPr/>
              <w:t>Total revenues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double" w:sz="10" w:space="0" w:color="000000"/>
            </w:tcBorders>
            <w:shd w:fill="CCEEFF" w:val="clear"/>
            <w:vAlign w:val="center"/>
          </w:tcPr>
          <w:p>
            <w:pPr>
              <w:pStyle w:val="TableContents"/>
              <w:bidi w:val="0"/>
              <w:spacing w:before="0" w:after="283"/>
              <w:jc w:val="left"/>
              <w:rPr/>
            </w:pPr>
            <w:r>
              <w:rPr/>
              <w:t>$</w:t>
            </w:r>
          </w:p>
        </w:tc>
        <w:tc>
          <w:tcPr>
            <w:tcW w:w="1236" w:type="dxa"/>
            <w:tcBorders>
              <w:bottom w:val="double" w:sz="10" w:space="0" w:color="000000"/>
            </w:tcBorders>
            <w:shd w:fill="CCEEFF" w:val="clear"/>
            <w:vAlign w:val="center"/>
          </w:tcPr>
          <w:p>
            <w:pPr>
              <w:pStyle w:val="TableContents"/>
              <w:bidi w:val="0"/>
              <w:spacing w:before="0" w:after="283"/>
              <w:jc w:val="right"/>
              <w:rPr/>
            </w:pPr>
            <w:r>
              <w:rPr/>
              <w:t>4,726,433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double" w:sz="10" w:space="0" w:color="000000"/>
            </w:tcBorders>
            <w:shd w:fill="CCEEFF" w:val="clear"/>
            <w:vAlign w:val="center"/>
          </w:tcPr>
          <w:p>
            <w:pPr>
              <w:pStyle w:val="TableContents"/>
              <w:bidi w:val="0"/>
              <w:spacing w:before="0" w:after="283"/>
              <w:jc w:val="left"/>
              <w:rPr/>
            </w:pPr>
            <w:r>
              <w:rPr/>
              <w:t>$</w:t>
            </w:r>
          </w:p>
        </w:tc>
        <w:tc>
          <w:tcPr>
            <w:tcW w:w="1236" w:type="dxa"/>
            <w:tcBorders>
              <w:bottom w:val="double" w:sz="10" w:space="0" w:color="000000"/>
            </w:tcBorders>
            <w:shd w:fill="CCEEFF" w:val="clear"/>
            <w:vAlign w:val="center"/>
          </w:tcPr>
          <w:p>
            <w:pPr>
              <w:pStyle w:val="TableContents"/>
              <w:bidi w:val="0"/>
              <w:spacing w:before="0" w:after="283"/>
              <w:jc w:val="right"/>
              <w:rPr/>
            </w:pPr>
            <w:r>
              <w:rPr/>
              <w:t>5,433,375</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Geographical information</w:t>
      </w:r>
    </w:p>
    <w:p>
      <w:pPr>
        <w:pStyle w:val="TextBody"/>
        <w:bidi w:val="0"/>
        <w:spacing w:before="0" w:after="0"/>
        <w:ind w:left="0" w:right="0" w:hanging="0"/>
        <w:jc w:val="left"/>
        <w:rPr>
          <w:caps w:val="false"/>
          <w:smallCaps w:val="false"/>
        </w:rPr>
      </w:pPr>
      <w:r>
        <w:rPr>
          <w:caps w:val="false"/>
          <w:smallCaps w:val="false"/>
        </w:rPr>
        <w:t> </w:t>
      </w:r>
    </w:p>
    <w:tbl>
      <w:tblPr>
        <w:tblW w:w="8474" w:type="dxa"/>
        <w:jc w:val="left"/>
        <w:tblInd w:w="0" w:type="dxa"/>
        <w:tblLayout w:type="fixed"/>
        <w:tblCellMar>
          <w:top w:w="0" w:type="dxa"/>
          <w:left w:w="0" w:type="dxa"/>
          <w:bottom w:w="28" w:type="dxa"/>
          <w:right w:w="0" w:type="dxa"/>
        </w:tblCellMar>
      </w:tblPr>
      <w:tblGrid>
        <w:gridCol w:w="5120"/>
        <w:gridCol w:w="90"/>
        <w:gridCol w:w="118"/>
        <w:gridCol w:w="1327"/>
        <w:gridCol w:w="90"/>
        <w:gridCol w:w="90"/>
        <w:gridCol w:w="216"/>
        <w:gridCol w:w="1288"/>
        <w:gridCol w:w="135"/>
      </w:tblGrid>
      <w:tr>
        <w:trPr/>
        <w:tc>
          <w:tcPr>
            <w:tcW w:w="5120" w:type="dxa"/>
            <w:tcBorders>
              <w:bottom w:val="single" w:sz="12" w:space="0" w:color="000000"/>
            </w:tcBorders>
            <w:vAlign w:val="center"/>
          </w:tcPr>
          <w:p>
            <w:pPr>
              <w:pStyle w:val="TableContents"/>
              <w:bidi w:val="0"/>
              <w:spacing w:before="0" w:after="283"/>
              <w:jc w:val="left"/>
              <w:rPr>
                <w:b/>
              </w:rPr>
            </w:pPr>
            <w:r>
              <w:rPr>
                <w:b/>
              </w:rPr>
              <w:t>Revenue from external customers originated from</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2024</w:t>
            </w:r>
          </w:p>
        </w:tc>
        <w:tc>
          <w:tcPr>
            <w:tcW w:w="135" w:type="dxa"/>
            <w:tcBorders/>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both"/>
              <w:rPr/>
            </w:pPr>
            <w:r>
              <w:rPr/>
              <w:t>China / HK SAR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27" w:type="dxa"/>
            <w:tcBorders/>
            <w:shd w:fill="CCEEFF" w:val="clear"/>
            <w:tcMar>
              <w:bottom w:w="0" w:type="dxa"/>
            </w:tcMar>
            <w:vAlign w:val="center"/>
          </w:tcPr>
          <w:p>
            <w:pPr>
              <w:pStyle w:val="TableContents"/>
              <w:bidi w:val="0"/>
              <w:spacing w:before="0" w:after="283"/>
              <w:jc w:val="right"/>
              <w:rPr/>
            </w:pPr>
            <w:r>
              <w:rPr/>
              <w:t>41,555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288"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shd w:fill="FFFFFF" w:val="clear"/>
            <w:tcMar>
              <w:bottom w:w="0" w:type="dxa"/>
            </w:tcMar>
            <w:vAlign w:val="center"/>
          </w:tcPr>
          <w:p>
            <w:pPr>
              <w:pStyle w:val="TableContents"/>
              <w:bidi w:val="0"/>
              <w:spacing w:before="0" w:after="283"/>
              <w:jc w:val="left"/>
              <w:rPr/>
            </w:pPr>
            <w:r>
              <w:rPr/>
              <w:t>Kyrgyzstan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327" w:type="dxa"/>
            <w:tcBorders/>
            <w:shd w:fill="FFFFFF" w:val="clear"/>
            <w:tcMar>
              <w:bottom w:w="0" w:type="dxa"/>
            </w:tcMar>
            <w:vAlign w:val="center"/>
          </w:tcPr>
          <w:p>
            <w:pPr>
              <w:pStyle w:val="TableContents"/>
              <w:bidi w:val="0"/>
              <w:spacing w:before="0" w:after="283"/>
              <w:jc w:val="right"/>
              <w:rPr/>
            </w:pPr>
            <w:r>
              <w:rPr/>
              <w:t>2,312,348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288" w:type="dxa"/>
            <w:tcBorders/>
            <w:shd w:fill="FFFFFF" w:val="clear"/>
            <w:tcMar>
              <w:bottom w:w="0" w:type="dxa"/>
            </w:tcMar>
            <w:vAlign w:val="center"/>
          </w:tcPr>
          <w:p>
            <w:pPr>
              <w:pStyle w:val="TableContents"/>
              <w:bidi w:val="0"/>
              <w:spacing w:before="0" w:after="283"/>
              <w:jc w:val="right"/>
              <w:rPr/>
            </w:pPr>
            <w:r>
              <w:rPr/>
              <w:t>2,656,596</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pPr>
            <w:r>
              <w:rPr/>
              <w:t>Cambodia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27" w:type="dxa"/>
            <w:tcBorders/>
            <w:shd w:fill="CCEEFF" w:val="clear"/>
            <w:tcMar>
              <w:bottom w:w="0" w:type="dxa"/>
            </w:tcMar>
            <w:vAlign w:val="center"/>
          </w:tcPr>
          <w:p>
            <w:pPr>
              <w:pStyle w:val="TableContents"/>
              <w:bidi w:val="0"/>
              <w:spacing w:before="0" w:after="283"/>
              <w:jc w:val="right"/>
              <w:rPr/>
            </w:pPr>
            <w:r>
              <w:rPr/>
              <w:t>635,188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right"/>
              <w:rPr/>
            </w:pPr>
            <w:r>
              <w:rPr/>
              <w:t>601,526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shd w:fill="FFFFFF" w:val="clear"/>
            <w:tcMar>
              <w:bottom w:w="0" w:type="dxa"/>
            </w:tcMar>
            <w:vAlign w:val="center"/>
          </w:tcPr>
          <w:p>
            <w:pPr>
              <w:pStyle w:val="TableContents"/>
              <w:bidi w:val="0"/>
              <w:spacing w:before="0" w:after="283"/>
              <w:jc w:val="left"/>
              <w:rPr/>
            </w:pPr>
            <w:r>
              <w:rPr/>
              <w:t>Thailand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327" w:type="dxa"/>
            <w:tcBorders/>
            <w:shd w:fill="FFFFFF" w:val="clear"/>
            <w:tcMar>
              <w:bottom w:w="0" w:type="dxa"/>
            </w:tcMar>
            <w:vAlign w:val="center"/>
          </w:tcPr>
          <w:p>
            <w:pPr>
              <w:pStyle w:val="TableContents"/>
              <w:bidi w:val="0"/>
              <w:spacing w:before="0" w:after="283"/>
              <w:jc w:val="right"/>
              <w:rPr/>
            </w:pPr>
            <w:r>
              <w:rPr/>
              <w:t>1,691,862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288" w:type="dxa"/>
            <w:tcBorders/>
            <w:shd w:fill="FFFFFF" w:val="clear"/>
            <w:tcMar>
              <w:bottom w:w="0" w:type="dxa"/>
            </w:tcMar>
            <w:vAlign w:val="center"/>
          </w:tcPr>
          <w:p>
            <w:pPr>
              <w:pStyle w:val="TableContents"/>
              <w:bidi w:val="0"/>
              <w:spacing w:before="0" w:after="283"/>
              <w:jc w:val="right"/>
              <w:rPr/>
            </w:pPr>
            <w:r>
              <w:rPr/>
              <w:t>2,175,253</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both"/>
              <w:rPr/>
            </w:pPr>
            <w:r>
              <w:rPr/>
              <w:t>US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1327" w:type="dxa"/>
            <w:tcBorders>
              <w:bottom w:val="single" w:sz="12" w:space="0" w:color="000000"/>
            </w:tcBorders>
            <w:shd w:fill="CCEEFF" w:val="clear"/>
            <w:vAlign w:val="center"/>
          </w:tcPr>
          <w:p>
            <w:pPr>
              <w:pStyle w:val="TableContents"/>
              <w:bidi w:val="0"/>
              <w:spacing w:before="0" w:after="283"/>
              <w:jc w:val="right"/>
              <w:rPr/>
            </w:pPr>
            <w:r>
              <w:rPr/>
              <w:t>45,480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bottom w:val="single" w:sz="12" w:space="0" w:color="000000"/>
            </w:tcBorders>
            <w:shd w:fill="CCEEFF" w:val="clear"/>
            <w:vAlign w:val="center"/>
          </w:tcPr>
          <w:p>
            <w:pPr>
              <w:pStyle w:val="TableContents"/>
              <w:bidi w:val="0"/>
              <w:spacing w:before="0" w:after="283"/>
              <w:jc w:val="left"/>
              <w:rPr/>
            </w:pPr>
            <w:r>
              <w:rPr/>
              <w:t> </w:t>
            </w:r>
          </w:p>
        </w:tc>
        <w:tc>
          <w:tcPr>
            <w:tcW w:w="1288" w:type="dxa"/>
            <w:tcBorders>
              <w:bottom w:val="single" w:sz="12" w:space="0" w:color="000000"/>
            </w:tcBorders>
            <w:shd w:fill="CCEEFF" w:val="cle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shd w:fill="FFFFFF" w:val="clear"/>
            <w:tcMar>
              <w:bottom w:w="0" w:type="dxa"/>
            </w:tcMar>
            <w:vAlign w:val="center"/>
          </w:tcPr>
          <w:p>
            <w:pPr>
              <w:pStyle w:val="TableContents"/>
              <w:bidi w:val="0"/>
              <w:spacing w:before="0" w:after="283"/>
              <w:jc w:val="both"/>
              <w:rPr/>
            </w:pPr>
            <w:r>
              <w:rPr/>
              <w:t>Total revenues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8" w:type="dxa"/>
            <w:tcBorders>
              <w:bottom w:val="double" w:sz="10" w:space="0" w:color="000000"/>
            </w:tcBorders>
            <w:shd w:fill="FFFFFF" w:val="clear"/>
            <w:vAlign w:val="center"/>
          </w:tcPr>
          <w:p>
            <w:pPr>
              <w:pStyle w:val="TableContents"/>
              <w:bidi w:val="0"/>
              <w:spacing w:before="0" w:after="283"/>
              <w:jc w:val="left"/>
              <w:rPr/>
            </w:pPr>
            <w:r>
              <w:rPr/>
              <w:t> </w:t>
            </w:r>
          </w:p>
        </w:tc>
        <w:tc>
          <w:tcPr>
            <w:tcW w:w="1327" w:type="dxa"/>
            <w:tcBorders>
              <w:bottom w:val="double" w:sz="10" w:space="0" w:color="000000"/>
            </w:tcBorders>
            <w:shd w:fill="FFFFFF" w:val="clear"/>
            <w:vAlign w:val="center"/>
          </w:tcPr>
          <w:p>
            <w:pPr>
              <w:pStyle w:val="TableContents"/>
              <w:bidi w:val="0"/>
              <w:spacing w:before="0" w:after="283"/>
              <w:jc w:val="right"/>
              <w:rPr/>
            </w:pPr>
            <w:r>
              <w:rPr/>
              <w:t>4,726,433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 w:type="dxa"/>
            <w:tcBorders>
              <w:bottom w:val="double" w:sz="10" w:space="0" w:color="000000"/>
            </w:tcBorders>
            <w:shd w:fill="FFFFFF" w:val="clear"/>
            <w:vAlign w:val="center"/>
          </w:tcPr>
          <w:p>
            <w:pPr>
              <w:pStyle w:val="TableContents"/>
              <w:bidi w:val="0"/>
              <w:spacing w:before="0" w:after="283"/>
              <w:jc w:val="left"/>
              <w:rPr/>
            </w:pPr>
            <w:r>
              <w:rPr/>
              <w:t>$</w:t>
            </w:r>
          </w:p>
        </w:tc>
        <w:tc>
          <w:tcPr>
            <w:tcW w:w="1288" w:type="dxa"/>
            <w:tcBorders>
              <w:bottom w:val="double" w:sz="10" w:space="0" w:color="000000"/>
            </w:tcBorders>
            <w:shd w:fill="FFFFFF" w:val="clear"/>
            <w:vAlign w:val="center"/>
          </w:tcPr>
          <w:p>
            <w:pPr>
              <w:pStyle w:val="TableContents"/>
              <w:bidi w:val="0"/>
              <w:spacing w:before="0" w:after="283"/>
              <w:jc w:val="right"/>
              <w:rPr/>
            </w:pPr>
            <w:r>
              <w:rPr/>
              <w:t>5,433,375</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information above is based on the locations where the revenue originated.</w:t>
      </w:r>
    </w:p>
    <w:p>
      <w:pPr>
        <w:pStyle w:val="TextBody"/>
        <w:bidi w:val="0"/>
        <w:spacing w:before="0" w:after="0"/>
        <w:ind w:left="0" w:right="0" w:firstLine="720"/>
        <w:jc w:val="left"/>
        <w:rPr>
          <w:caps w:val="false"/>
          <w:smallCaps w:val="false"/>
        </w:rPr>
      </w:pPr>
      <w:r>
        <w:rPr>
          <w:caps w:val="false"/>
          <w:smallCaps w:val="false"/>
        </w:rPr>
        <w:t> </w:t>
      </w:r>
    </w:p>
    <w:tbl>
      <w:tblPr>
        <w:tblW w:w="6120" w:type="dxa"/>
        <w:jc w:val="left"/>
        <w:tblInd w:w="0" w:type="dxa"/>
        <w:tblLayout w:type="fixed"/>
        <w:tblCellMar>
          <w:top w:w="0" w:type="dxa"/>
          <w:left w:w="0" w:type="dxa"/>
          <w:bottom w:w="28" w:type="dxa"/>
          <w:right w:w="0" w:type="dxa"/>
        </w:tblCellMar>
      </w:tblPr>
      <w:tblGrid>
        <w:gridCol w:w="2825"/>
        <w:gridCol w:w="90"/>
        <w:gridCol w:w="188"/>
        <w:gridCol w:w="1257"/>
        <w:gridCol w:w="90"/>
        <w:gridCol w:w="90"/>
        <w:gridCol w:w="141"/>
        <w:gridCol w:w="1304"/>
        <w:gridCol w:w="135"/>
      </w:tblGrid>
      <w:tr>
        <w:trPr/>
        <w:tc>
          <w:tcPr>
            <w:tcW w:w="2825" w:type="dxa"/>
            <w:tcBorders>
              <w:bottom w:val="single" w:sz="12" w:space="0" w:color="000000"/>
            </w:tcBorders>
            <w:vAlign w:val="center"/>
          </w:tcPr>
          <w:p>
            <w:pPr>
              <w:pStyle w:val="TableContents"/>
              <w:bidi w:val="0"/>
              <w:spacing w:before="0" w:after="283"/>
              <w:jc w:val="left"/>
              <w:rPr>
                <w:b/>
              </w:rPr>
            </w:pPr>
            <w:r>
              <w:rPr>
                <w:b/>
              </w:rPr>
              <w:t>Long-lived assets located at</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December 31,</w:t>
              <w:br/>
              <w:t>2024</w:t>
            </w:r>
          </w:p>
        </w:tc>
        <w:tc>
          <w:tcPr>
            <w:tcW w:w="135" w:type="dxa"/>
            <w:tcBorders/>
            <w:tcMar>
              <w:bottom w:w="0" w:type="dxa"/>
            </w:tcMar>
            <w:vAlign w:val="center"/>
          </w:tcPr>
          <w:p>
            <w:pPr>
              <w:pStyle w:val="TableContents"/>
              <w:bidi w:val="0"/>
              <w:spacing w:before="0" w:after="283"/>
              <w:jc w:val="left"/>
              <w:rPr/>
            </w:pPr>
            <w:r>
              <w:rPr/>
              <w:t> </w:t>
            </w:r>
          </w:p>
        </w:tc>
      </w:tr>
      <w:tr>
        <w:trPr/>
        <w:tc>
          <w:tcPr>
            <w:tcW w:w="2825" w:type="dxa"/>
            <w:tcBorders/>
            <w:shd w:fill="CCEEFF" w:val="clear"/>
            <w:tcMar>
              <w:bottom w:w="0" w:type="dxa"/>
            </w:tcMar>
            <w:vAlign w:val="center"/>
          </w:tcPr>
          <w:p>
            <w:pPr>
              <w:pStyle w:val="TableContents"/>
              <w:bidi w:val="0"/>
              <w:spacing w:before="0" w:after="283"/>
              <w:jc w:val="both"/>
              <w:rPr/>
            </w:pPr>
            <w:r>
              <w:rPr/>
              <w:t>HK SAR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w:t>
            </w:r>
          </w:p>
        </w:tc>
        <w:tc>
          <w:tcPr>
            <w:tcW w:w="1257" w:type="dxa"/>
            <w:tcBorders/>
            <w:shd w:fill="CCEEFF" w:val="clear"/>
            <w:tcMar>
              <w:bottom w:w="0" w:type="dxa"/>
            </w:tcMar>
            <w:vAlign w:val="center"/>
          </w:tcPr>
          <w:p>
            <w:pPr>
              <w:pStyle w:val="TableContents"/>
              <w:bidi w:val="0"/>
              <w:spacing w:before="0" w:after="283"/>
              <w:jc w:val="right"/>
              <w:rPr/>
            </w:pPr>
            <w:r>
              <w:rPr/>
              <w:t>209,630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3,081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25" w:type="dxa"/>
            <w:tcBorders/>
            <w:shd w:fill="FFFFFF" w:val="clear"/>
            <w:tcMar>
              <w:bottom w:w="0" w:type="dxa"/>
            </w:tcMar>
            <w:vAlign w:val="center"/>
          </w:tcPr>
          <w:p>
            <w:pPr>
              <w:pStyle w:val="TableContents"/>
              <w:bidi w:val="0"/>
              <w:spacing w:before="0" w:after="283"/>
              <w:jc w:val="both"/>
              <w:rPr/>
            </w:pPr>
            <w:r>
              <w:rPr/>
              <w:t>US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7" w:type="dxa"/>
            <w:tcBorders/>
            <w:shd w:fill="FFFFFF" w:val="clear"/>
            <w:tcMar>
              <w:bottom w:w="0" w:type="dxa"/>
            </w:tcMar>
            <w:vAlign w:val="center"/>
          </w:tcPr>
          <w:p>
            <w:pPr>
              <w:pStyle w:val="TableContents"/>
              <w:bidi w:val="0"/>
              <w:spacing w:before="0" w:after="283"/>
              <w:jc w:val="right"/>
              <w:rPr/>
            </w:pPr>
            <w:r>
              <w:rPr/>
              <w:t>22,832,236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0"/>
              <w:jc w:val="right"/>
              <w:rPr/>
            </w:pPr>
            <w:r>
              <w:rPr/>
              <w:t>-</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825" w:type="dxa"/>
            <w:tcBorders/>
            <w:shd w:fill="CCEEFF" w:val="clear"/>
            <w:tcMar>
              <w:bottom w:w="0" w:type="dxa"/>
            </w:tcMar>
            <w:vAlign w:val="center"/>
          </w:tcPr>
          <w:p>
            <w:pPr>
              <w:pStyle w:val="TableContents"/>
              <w:bidi w:val="0"/>
              <w:spacing w:before="0" w:after="283"/>
              <w:jc w:val="left"/>
              <w:rPr/>
            </w:pPr>
            <w:r>
              <w:rPr/>
              <w:t>China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8,370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25" w:type="dxa"/>
            <w:tcBorders/>
            <w:shd w:fill="FFFFFF" w:val="clear"/>
            <w:tcMar>
              <w:bottom w:w="0" w:type="dxa"/>
            </w:tcMar>
            <w:vAlign w:val="center"/>
          </w:tcPr>
          <w:p>
            <w:pPr>
              <w:pStyle w:val="TableContents"/>
              <w:bidi w:val="0"/>
              <w:spacing w:before="0" w:after="283"/>
              <w:jc w:val="left"/>
              <w:rPr/>
            </w:pPr>
            <w:r>
              <w:rPr/>
              <w:t>Cambodia</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7" w:type="dxa"/>
            <w:tcBorders/>
            <w:shd w:fill="FFFFFF" w:val="clear"/>
            <w:tcMar>
              <w:bottom w:w="0" w:type="dxa"/>
            </w:tcMar>
            <w:vAlign w:val="center"/>
          </w:tcPr>
          <w:p>
            <w:pPr>
              <w:pStyle w:val="TableContents"/>
              <w:bidi w:val="0"/>
              <w:spacing w:before="0" w:after="283"/>
              <w:jc w:val="right"/>
              <w:rPr/>
            </w:pPr>
            <w:r>
              <w:rPr/>
              <w:t>354,660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pPr>
            <w:r>
              <w:rPr/>
              <w:t>47,902</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825" w:type="dxa"/>
            <w:tcBorders/>
            <w:shd w:fill="CCEEFF" w:val="clear"/>
            <w:tcMar>
              <w:bottom w:w="0" w:type="dxa"/>
            </w:tcMar>
            <w:vAlign w:val="center"/>
          </w:tcPr>
          <w:p>
            <w:pPr>
              <w:pStyle w:val="TableContents"/>
              <w:bidi w:val="0"/>
              <w:spacing w:before="0" w:after="283"/>
              <w:jc w:val="left"/>
              <w:rPr/>
            </w:pPr>
            <w:r>
              <w:rPr/>
              <w:t>Thailand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12" w:space="0" w:color="000000"/>
            </w:tcBorders>
            <w:shd w:fill="CCEEFF" w:val="clear"/>
            <w:vAlign w:val="center"/>
          </w:tcPr>
          <w:p>
            <w:pPr>
              <w:pStyle w:val="TableContents"/>
              <w:bidi w:val="0"/>
              <w:spacing w:before="0" w:after="283"/>
              <w:jc w:val="left"/>
              <w:rPr/>
            </w:pPr>
            <w:r>
              <w:rPr/>
              <w:t> </w:t>
            </w:r>
          </w:p>
        </w:tc>
        <w:tc>
          <w:tcPr>
            <w:tcW w:w="1257" w:type="dxa"/>
            <w:tcBorders>
              <w:bottom w:val="single" w:sz="12" w:space="0" w:color="000000"/>
            </w:tcBorders>
            <w:shd w:fill="CCEEFF" w:val="clear"/>
            <w:vAlign w:val="center"/>
          </w:tcPr>
          <w:p>
            <w:pPr>
              <w:pStyle w:val="TableContents"/>
              <w:bidi w:val="0"/>
              <w:spacing w:before="0" w:after="283"/>
              <w:jc w:val="right"/>
              <w:rPr/>
            </w:pPr>
            <w:r>
              <w:rPr/>
              <w:t>311,845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12" w:space="0" w:color="000000"/>
            </w:tcBorders>
            <w:shd w:fill="CCEEFF" w:val="clear"/>
            <w:vAlign w:val="center"/>
          </w:tcPr>
          <w:p>
            <w:pPr>
              <w:pStyle w:val="TableContents"/>
              <w:bidi w:val="0"/>
              <w:spacing w:before="0" w:after="283"/>
              <w:jc w:val="left"/>
              <w:rPr/>
            </w:pPr>
            <w:r>
              <w:rPr/>
              <w:t> </w:t>
            </w:r>
          </w:p>
        </w:tc>
        <w:tc>
          <w:tcPr>
            <w:tcW w:w="1304" w:type="dxa"/>
            <w:tcBorders>
              <w:bottom w:val="single" w:sz="12" w:space="0" w:color="000000"/>
            </w:tcBorders>
            <w:shd w:fill="CCEEFF" w:val="clear"/>
            <w:vAlign w:val="center"/>
          </w:tcPr>
          <w:p>
            <w:pPr>
              <w:pStyle w:val="TableContents"/>
              <w:bidi w:val="0"/>
              <w:spacing w:before="0" w:after="283"/>
              <w:jc w:val="right"/>
              <w:rPr/>
            </w:pPr>
            <w:r>
              <w:rPr/>
              <w:t>312,313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double" w:sz="10" w:space="0" w:color="000000"/>
            </w:tcBorders>
            <w:shd w:fill="FFFFFF" w:val="clear"/>
            <w:vAlign w:val="center"/>
          </w:tcPr>
          <w:p>
            <w:pPr>
              <w:pStyle w:val="TableContents"/>
              <w:bidi w:val="0"/>
              <w:spacing w:before="0" w:after="283"/>
              <w:jc w:val="left"/>
              <w:rPr/>
            </w:pPr>
            <w:r>
              <w:rPr/>
              <w:t>$</w:t>
            </w:r>
          </w:p>
        </w:tc>
        <w:tc>
          <w:tcPr>
            <w:tcW w:w="1257" w:type="dxa"/>
            <w:tcBorders>
              <w:bottom w:val="double" w:sz="10" w:space="0" w:color="000000"/>
            </w:tcBorders>
            <w:shd w:fill="FFFFFF" w:val="clear"/>
            <w:vAlign w:val="center"/>
          </w:tcPr>
          <w:p>
            <w:pPr>
              <w:pStyle w:val="TableContents"/>
              <w:bidi w:val="0"/>
              <w:spacing w:before="0" w:after="283"/>
              <w:jc w:val="right"/>
              <w:rPr/>
            </w:pPr>
            <w:r>
              <w:rPr/>
              <w:t>23,708,371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double" w:sz="10" w:space="0" w:color="000000"/>
            </w:tcBorders>
            <w:shd w:fill="FFFFFF" w:val="clear"/>
            <w:vAlign w:val="center"/>
          </w:tcPr>
          <w:p>
            <w:pPr>
              <w:pStyle w:val="TableContents"/>
              <w:bidi w:val="0"/>
              <w:spacing w:before="0" w:after="283"/>
              <w:jc w:val="left"/>
              <w:rPr/>
            </w:pPr>
            <w:r>
              <w:rPr/>
              <w:t> </w:t>
            </w:r>
          </w:p>
        </w:tc>
        <w:tc>
          <w:tcPr>
            <w:tcW w:w="1304" w:type="dxa"/>
            <w:tcBorders>
              <w:bottom w:val="double" w:sz="10" w:space="0" w:color="000000"/>
            </w:tcBorders>
            <w:shd w:fill="FFFFFF" w:val="clear"/>
            <w:vAlign w:val="center"/>
          </w:tcPr>
          <w:p>
            <w:pPr>
              <w:pStyle w:val="TableContents"/>
              <w:bidi w:val="0"/>
              <w:spacing w:before="0" w:after="283"/>
              <w:jc w:val="right"/>
              <w:rPr/>
            </w:pPr>
            <w:r>
              <w:rPr/>
              <w:t>371,666</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consist of plant and equipment, net, intangible assets, net and operating leases right-of-use assets,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18 — RISKS</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minimize the credit risk, the management of the Company monitors and ensures that follow-up action is taken to recover overdue debts. The Company considers the probability of default upon initial recognition of asset and whether there has been a significant increase in credit risk on an ongoing basis throughout each reporting period. To assess whether there is a significant increase in credit risk, the Company compares the risk of a default occurring on the asset as at the reporting date with the risk of default as at the date of initial recognition. It considers available reasonable and supportive forward-looking information, such as GDP growth rate and nominal GDP per capita. Based on the impairment assessment performed by the Company, the directors consider the loss allowance for account receivables as of December 31, 2025 and December 31, 2024 to be $21 and $19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risk on liquid funds is limited because the counterparties are banks with high credit ratings assigned by international credit-rating agencies. The Company is exposed to concentration of credit risk on liquid funds which are deposited with several banks with high credit ratings.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Deposits, prepayments and other receivables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impairment for deposits and other receivables, due from shareholders individually based on internal credit rating and ageing of these debtors which, in the opinion of the directors, have no significant increase in credit risk since initial recognition. Based on the impairment assessment performed by the Company, the management consider the loss allowance for deposits and other receivables, due from shareholders as of December 31, 2025 and December 31, 2024 is $5, and $4, respectively. The loss allowance for deposits and other receivables, due from shareholders as of December 30, 2025 and December 31, 2024 is $0, and $0, respectively.</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Receivables from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impairment for receivables from agents based on ageing of these debts and the recoverability of the deposits distributed by the agents to their sub-agents. Based on the assessment performed by the Company, the management have written off an amount of $818,780 during the year which were deemed not recoverable. The loss allowance for receivables from agents as of December 31, 2025 and December 31, 2024 were $nil.</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interest rate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cash flow interest rate risk through the changes in interest rates related mainly to the Company’s variable-rates bank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does not have any interest rate hedging policy in relation to fair value interest rate risk and cash flow interest rate risk. The directors monitor the Company’s exposures on an ongoing basis and will consider hedging the interest rate should the need arises.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Sensitivity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sensitivity analysis below has been determined by assuming that a change in interest rates had occurred at the end of the reporting period and had been applied to the exposure to interest rates for financial instruments in existence at that date. 1% increase or decrease is used when reporting interest rate risk internally to key management personnel and represents management’s assessment of the reasonably possible change in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interest rates had been 1% higher or lower and all other variables were held constant, the Company’s net (loss) income for the period/years ended December 31, 2025 and December 31, 2024 would have increased or decreased by approximately $52,890 and $26,894,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holding of foreign currency assets will affect the Company’s financial position as a result of a change in foreign currency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monetary assets and liabilities are mainly denominated in HK$, THB and RMB which are the same as the functional currencies of the relevant group entities. Hence, in the opinion of the directors of the Company, the currency risk of US$ is considered insignificant. The Company currently does not have a foreign currency hedging policy to eliminate currency exposures. However, the directors monitor the related foreign currency exposure closely and will consider hedging significant foreign currency exposures should the need arise.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market liquidity risk with respect to certain assets held on our balance sheet. Market liquidity risk is the risk that we cannot realize the fair value of our assets when needed due to insufficient market depth, disruption, or the absence of willing buyers. As of December 31, 2025, we held Solana as treasury investment. These assets trade in markets that may experience periods of reduced liquidity, particularly during periods of economic stress or market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Economic and political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mainly conducted in Thailand, Cambodia and Kyrgyzstan. Accordingly, the Company’s business, financial condition, and results of operations may be influenced by changes in the political, economic, and legal environments in Thailand, Cambodia and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in Thailand, Cambodia and Kyrgyzstan are subject to special considerations and significant risks. These include risks associated with, among others, the political, economic and legal environment and foreign currency exchange. The Company’s results may be adversely affected by changes in the political and social conditions in Thailand, Cambodia and Kyrgyzstan, and by changes in governmental policies with respect to laws and regulations, anti-inflationary measures, currency conversion, remittances abroad, and rates and methods of taxation, among other things including natural disasters and wars.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war involving the US, Israel, and Iran has severely disrupted international travel, beginning with the immediate closure of airspace over several Middle Eastern countries and the suspension of flights through critical hubs like Dubai and Doha, which has stranded hundreds of thousands of passengers. This has forced airlines to cancel thousands of flights or take longer, more expensive routes, leading to a surge in ticket prices and the imposition of new fuel surcharges that are affecting travelers globally. Governments have responded by issuing widespread “do not travel” warnings for the region and organizing evacuations, while embassies have halted routine visa services, further complicating international mobility. The compounded effect is a climate of uncertainty where even trips not destined for the Middle East face potential delays, higher costs, and complex rebooking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Inflation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changes in prices levels. Historically inflation has not materially impacted the Company’s consolidated financial statements; however, significant increases in the price of labor that cannot be passed to the Company’s customers could adversely impact the Company’s results of operations. Moreover, the recent escalation of the US-Israel-Iran conflict poses a significant threat to the global economy, primarily through the disruption of oil supplies, with cascading effects on the real estate sector in the UAE and a broad economic downturn across Asia, including Hong Kong and China. As the conflict intensifies around the Strait of Hormuz—through which nearly 20% of the world’s oil passes—global oil prices have surged past $100 per barrel, raising fears of an extended energy crisis. Such increase in oil prices might lead to domino effect on the overall costs of business operation for NewGenIvf and NewGenIvf might not be able to pass the cost pressure to its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19 — RELATED PARTY BALANCES AND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amount due from and due to related parties as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55"/>
        <w:gridCol w:w="90"/>
        <w:gridCol w:w="2340"/>
        <w:gridCol w:w="90"/>
        <w:gridCol w:w="225"/>
        <w:gridCol w:w="1206"/>
        <w:gridCol w:w="125"/>
        <w:gridCol w:w="236"/>
        <w:gridCol w:w="1265"/>
        <w:gridCol w:w="173"/>
      </w:tblGrid>
      <w:tr>
        <w:trPr/>
        <w:tc>
          <w:tcPr>
            <w:tcW w:w="44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340" w:type="dxa"/>
            <w:tcBorders>
              <w:bottom w:val="single" w:sz="12" w:space="0" w:color="000000"/>
            </w:tcBorders>
            <w:tcMar>
              <w:bottom w:w="28" w:type="dxa"/>
            </w:tcMar>
            <w:vAlign w:val="center"/>
          </w:tcPr>
          <w:p>
            <w:pPr>
              <w:pStyle w:val="TableContents"/>
              <w:bidi w:val="0"/>
              <w:spacing w:before="0" w:after="283"/>
              <w:jc w:val="center"/>
              <w:rPr>
                <w:b/>
              </w:rPr>
            </w:pPr>
            <w:r>
              <w:rPr>
                <w:b/>
              </w:rPr>
              <w:t>Relationship</w:t>
            </w:r>
          </w:p>
        </w:tc>
        <w:tc>
          <w:tcPr>
            <w:tcW w:w="90" w:type="dxa"/>
            <w:tcBorders/>
            <w:vAlign w:val="center"/>
          </w:tcPr>
          <w:p>
            <w:pPr>
              <w:pStyle w:val="TableContents"/>
              <w:bidi w:val="0"/>
              <w:spacing w:before="0" w:after="283"/>
              <w:jc w:val="left"/>
              <w:rPr/>
            </w:pPr>
            <w:r>
              <w:rPr/>
              <w:t> </w:t>
            </w:r>
          </w:p>
        </w:tc>
        <w:tc>
          <w:tcPr>
            <w:tcW w:w="14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15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3" w:type="dxa"/>
            <w:tcBorders/>
            <w:vAlign w:val="center"/>
          </w:tcPr>
          <w:p>
            <w:pPr>
              <w:pStyle w:val="TableContents"/>
              <w:bidi w:val="0"/>
              <w:spacing w:before="0" w:after="283"/>
              <w:jc w:val="left"/>
              <w:rPr/>
            </w:pPr>
            <w:r>
              <w:rPr/>
              <w:t> </w:t>
            </w:r>
          </w:p>
        </w:tc>
      </w:tr>
      <w:tr>
        <w:trPr/>
        <w:tc>
          <w:tcPr>
            <w:tcW w:w="4455" w:type="dxa"/>
            <w:tcBorders/>
            <w:vAlign w:val="center"/>
          </w:tcPr>
          <w:p>
            <w:pPr>
              <w:pStyle w:val="TableContents"/>
              <w:bidi w:val="0"/>
              <w:spacing w:before="0" w:after="283"/>
              <w:jc w:val="both"/>
              <w:rPr/>
            </w:pPr>
            <w:r>
              <w:rPr/>
              <w:t>Due from shareholders consist of the following:</w:t>
            </w:r>
          </w:p>
        </w:tc>
        <w:tc>
          <w:tcPr>
            <w:tcW w:w="90" w:type="dxa"/>
            <w:tcBorders/>
            <w:vAlign w:val="center"/>
          </w:tcPr>
          <w:p>
            <w:pPr>
              <w:pStyle w:val="TableContents"/>
              <w:bidi w:val="0"/>
              <w:spacing w:before="0" w:after="283"/>
              <w:jc w:val="left"/>
              <w:rPr/>
            </w:pPr>
            <w:r>
              <w:rPr/>
              <w:t> </w:t>
            </w:r>
          </w:p>
        </w:tc>
        <w:tc>
          <w:tcPr>
            <w:tcW w:w="2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1"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01"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4455" w:type="dxa"/>
            <w:tcBorders/>
            <w:shd w:fill="CCEEFF" w:val="clear"/>
            <w:vAlign w:val="center"/>
          </w:tcPr>
          <w:p>
            <w:pPr>
              <w:pStyle w:val="TableContents"/>
              <w:bidi w:val="0"/>
              <w:spacing w:before="0" w:after="283"/>
              <w:jc w:val="both"/>
              <w:rPr/>
            </w:pPr>
            <w:r>
              <w:rPr/>
              <w:t>Mr. Siu Wing Fung, Alfred (“Mr. Siu”)</w:t>
            </w:r>
          </w:p>
        </w:tc>
        <w:tc>
          <w:tcPr>
            <w:tcW w:w="90" w:type="dxa"/>
            <w:tcBorders/>
            <w:shd w:fill="CCEEFF" w:val="clear"/>
            <w:vAlign w:val="center"/>
          </w:tcPr>
          <w:p>
            <w:pPr>
              <w:pStyle w:val="TableContents"/>
              <w:bidi w:val="0"/>
              <w:spacing w:before="0" w:after="283"/>
              <w:jc w:val="left"/>
              <w:rPr/>
            </w:pPr>
            <w:r>
              <w:rPr/>
              <w:t> </w:t>
            </w:r>
          </w:p>
        </w:tc>
        <w:tc>
          <w:tcPr>
            <w:tcW w:w="2340" w:type="dxa"/>
            <w:tcBorders/>
            <w:shd w:fill="CCEEFF" w:val="clear"/>
            <w:vAlign w:val="center"/>
          </w:tcPr>
          <w:p>
            <w:pPr>
              <w:pStyle w:val="TableContents"/>
              <w:bidi w:val="0"/>
              <w:spacing w:before="0" w:after="283"/>
              <w:jc w:val="left"/>
              <w:rPr/>
            </w:pPr>
            <w:r>
              <w:rPr/>
              <w:t>Shareholder and director</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0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404,549</w:t>
            </w:r>
          </w:p>
        </w:tc>
        <w:tc>
          <w:tcPr>
            <w:tcW w:w="173" w:type="dxa"/>
            <w:tcBorders/>
            <w:shd w:fill="CCEEFF" w:val="clear"/>
            <w:vAlign w:val="center"/>
          </w:tcPr>
          <w:p>
            <w:pPr>
              <w:pStyle w:val="TableContents"/>
              <w:bidi w:val="0"/>
              <w:spacing w:before="0" w:after="283"/>
              <w:jc w:val="left"/>
              <w:rPr/>
            </w:pPr>
            <w:r>
              <w:rPr/>
              <w:t> </w:t>
            </w:r>
          </w:p>
        </w:tc>
      </w:tr>
      <w:tr>
        <w:trPr/>
        <w:tc>
          <w:tcPr>
            <w:tcW w:w="4455" w:type="dxa"/>
            <w:tcBorders/>
            <w:shd w:fill="FFFFFF" w:val="clear"/>
            <w:vAlign w:val="center"/>
          </w:tcPr>
          <w:p>
            <w:pPr>
              <w:pStyle w:val="TableContents"/>
              <w:bidi w:val="0"/>
              <w:spacing w:before="0" w:after="283"/>
              <w:jc w:val="both"/>
              <w:rPr/>
            </w:pPr>
            <w:r>
              <w:rPr/>
              <w:t>Harcourt Limited</w:t>
            </w:r>
          </w:p>
        </w:tc>
        <w:tc>
          <w:tcPr>
            <w:tcW w:w="90" w:type="dxa"/>
            <w:tcBorders/>
            <w:shd w:fill="FFFFFF" w:val="clear"/>
            <w:vAlign w:val="center"/>
          </w:tcPr>
          <w:p>
            <w:pPr>
              <w:pStyle w:val="TableContents"/>
              <w:bidi w:val="0"/>
              <w:spacing w:before="0" w:after="283"/>
              <w:jc w:val="left"/>
              <w:rPr/>
            </w:pPr>
            <w:r>
              <w:rPr/>
              <w:t> </w:t>
            </w:r>
          </w:p>
        </w:tc>
        <w:tc>
          <w:tcPr>
            <w:tcW w:w="2340" w:type="dxa"/>
            <w:tcBorders/>
            <w:shd w:fill="FFFFFF" w:val="clear"/>
            <w:vAlign w:val="center"/>
          </w:tcPr>
          <w:p>
            <w:pPr>
              <w:pStyle w:val="TableContents"/>
              <w:bidi w:val="0"/>
              <w:spacing w:before="0" w:after="283"/>
              <w:jc w:val="left"/>
              <w:rPr/>
            </w:pPr>
            <w:r>
              <w:rPr/>
              <w:t>A related party (note 1)</w:t>
            </w:r>
          </w:p>
        </w:tc>
        <w:tc>
          <w:tcPr>
            <w:tcW w:w="9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06" w:type="dxa"/>
            <w:tcBorders>
              <w:bottom w:val="single" w:sz="12" w:space="0" w:color="000000"/>
            </w:tcBorders>
            <w:shd w:fill="FFFFFF" w:val="clear"/>
            <w:tcMar>
              <w:bottom w:w="28" w:type="dxa"/>
            </w:tcMar>
            <w:vAlign w:val="center"/>
          </w:tcPr>
          <w:p>
            <w:pPr>
              <w:pStyle w:val="TableContents"/>
              <w:bidi w:val="0"/>
              <w:spacing w:before="0" w:after="283"/>
              <w:jc w:val="right"/>
              <w:rPr/>
            </w:pPr>
            <w:r>
              <w:rPr/>
              <w:t>110,232</w:t>
            </w:r>
          </w:p>
        </w:tc>
        <w:tc>
          <w:tcPr>
            <w:tcW w:w="125"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3" w:type="dxa"/>
            <w:tcBorders/>
            <w:shd w:fill="FFFFFF" w:val="clear"/>
            <w:vAlign w:val="center"/>
          </w:tcPr>
          <w:p>
            <w:pPr>
              <w:pStyle w:val="TableContents"/>
              <w:bidi w:val="0"/>
              <w:spacing w:before="0" w:after="283"/>
              <w:jc w:val="left"/>
              <w:rPr/>
            </w:pPr>
            <w:r>
              <w:rPr/>
              <w:t> </w:t>
            </w:r>
          </w:p>
        </w:tc>
      </w:tr>
      <w:tr>
        <w:trPr/>
        <w:tc>
          <w:tcPr>
            <w:tcW w:w="445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3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4455" w:type="dxa"/>
            <w:tcBorders/>
            <w:shd w:fill="FFFFFF" w:val="clear"/>
            <w:vAlign w:val="center"/>
          </w:tcPr>
          <w:p>
            <w:pPr>
              <w:pStyle w:val="TableContents"/>
              <w:bidi w:val="0"/>
              <w:spacing w:before="0" w:after="283"/>
              <w:jc w:val="both"/>
              <w:rPr/>
            </w:pPr>
            <w:r>
              <w:rPr/>
              <w:t>Due to a related party consist of the following:</w:t>
            </w:r>
          </w:p>
        </w:tc>
        <w:tc>
          <w:tcPr>
            <w:tcW w:w="90" w:type="dxa"/>
            <w:tcBorders/>
            <w:shd w:fill="FFFFFF" w:val="clear"/>
            <w:vAlign w:val="center"/>
          </w:tcPr>
          <w:p>
            <w:pPr>
              <w:pStyle w:val="TableContents"/>
              <w:bidi w:val="0"/>
              <w:spacing w:before="0" w:after="283"/>
              <w:jc w:val="left"/>
              <w:rPr/>
            </w:pPr>
            <w:r>
              <w:rPr/>
              <w:t> </w:t>
            </w:r>
          </w:p>
        </w:tc>
        <w:tc>
          <w:tcPr>
            <w:tcW w:w="234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4455" w:type="dxa"/>
            <w:tcBorders/>
            <w:shd w:fill="CCEEFF" w:val="clear"/>
            <w:vAlign w:val="center"/>
          </w:tcPr>
          <w:p>
            <w:pPr>
              <w:pStyle w:val="TableContents"/>
              <w:bidi w:val="0"/>
              <w:spacing w:before="0" w:after="283"/>
              <w:jc w:val="left"/>
              <w:rPr/>
            </w:pPr>
            <w:r>
              <w:rPr/>
              <w:t>Mr. Siu Wing Fung, Alfred (“Mr. Siu”)</w:t>
            </w:r>
          </w:p>
        </w:tc>
        <w:tc>
          <w:tcPr>
            <w:tcW w:w="90" w:type="dxa"/>
            <w:tcBorders/>
            <w:shd w:fill="CCEEFF" w:val="clear"/>
            <w:vAlign w:val="center"/>
          </w:tcPr>
          <w:p>
            <w:pPr>
              <w:pStyle w:val="TableContents"/>
              <w:bidi w:val="0"/>
              <w:spacing w:before="0" w:after="283"/>
              <w:jc w:val="left"/>
              <w:rPr/>
            </w:pPr>
            <w:r>
              <w:rPr/>
              <w:t> </w:t>
            </w:r>
          </w:p>
        </w:tc>
        <w:tc>
          <w:tcPr>
            <w:tcW w:w="2340" w:type="dxa"/>
            <w:tcBorders/>
            <w:shd w:fill="CCEEFF" w:val="clear"/>
            <w:vAlign w:val="center"/>
          </w:tcPr>
          <w:p>
            <w:pPr>
              <w:pStyle w:val="TableContents"/>
              <w:bidi w:val="0"/>
              <w:spacing w:before="0" w:after="283"/>
              <w:jc w:val="left"/>
              <w:rPr/>
            </w:pPr>
            <w:r>
              <w:rPr/>
              <w:t>Shareholder and director</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(116,653</w:t>
            </w:r>
          </w:p>
        </w:tc>
        <w:tc>
          <w:tcPr>
            <w:tcW w:w="125" w:type="dxa"/>
            <w:tcBorders/>
            <w:shd w:fill="CCEEFF" w:val="clear"/>
            <w:vAlign w:val="center"/>
          </w:tcPr>
          <w:p>
            <w:pPr>
              <w:pStyle w:val="TableContents"/>
              <w:bidi w:val="0"/>
              <w:spacing w:before="0" w:after="283"/>
              <w:jc w:val="left"/>
              <w:rPr/>
            </w:pPr>
            <w:r>
              <w:rPr/>
              <w:t>)</w:t>
            </w:r>
          </w:p>
        </w:tc>
        <w:tc>
          <w:tcPr>
            <w:tcW w:w="236"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4455" w:type="dxa"/>
            <w:tcBorders/>
            <w:shd w:fill="FFFFFF" w:val="clear"/>
            <w:vAlign w:val="center"/>
          </w:tcPr>
          <w:p>
            <w:pPr>
              <w:pStyle w:val="TableContents"/>
              <w:bidi w:val="0"/>
              <w:spacing w:before="0" w:after="283"/>
              <w:jc w:val="both"/>
              <w:rPr/>
            </w:pPr>
            <w:r>
              <w:rPr/>
              <w:t>Ms. Fong Hei Yue, Tina (“Ms. Fong”)</w:t>
            </w:r>
          </w:p>
        </w:tc>
        <w:tc>
          <w:tcPr>
            <w:tcW w:w="90" w:type="dxa"/>
            <w:tcBorders/>
            <w:shd w:fill="FFFFFF" w:val="clear"/>
            <w:vAlign w:val="center"/>
          </w:tcPr>
          <w:p>
            <w:pPr>
              <w:pStyle w:val="TableContents"/>
              <w:bidi w:val="0"/>
              <w:spacing w:before="0" w:after="283"/>
              <w:jc w:val="left"/>
              <w:rPr/>
            </w:pPr>
            <w:r>
              <w:rPr/>
              <w:t> </w:t>
            </w:r>
          </w:p>
        </w:tc>
        <w:tc>
          <w:tcPr>
            <w:tcW w:w="2340" w:type="dxa"/>
            <w:tcBorders/>
            <w:shd w:fill="FFFFFF" w:val="clear"/>
            <w:vAlign w:val="center"/>
          </w:tcPr>
          <w:p>
            <w:pPr>
              <w:pStyle w:val="TableContents"/>
              <w:bidi w:val="0"/>
              <w:spacing w:before="0" w:after="283"/>
              <w:jc w:val="left"/>
              <w:rPr/>
            </w:pPr>
            <w:r>
              <w:rPr/>
              <w:t>Shareholder and director</w:t>
            </w:r>
          </w:p>
        </w:tc>
        <w:tc>
          <w:tcPr>
            <w:tcW w:w="9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(497,200</w:t>
            </w:r>
          </w:p>
        </w:tc>
        <w:tc>
          <w:tcPr>
            <w:tcW w:w="173" w:type="dxa"/>
            <w:tcBorders/>
            <w:shd w:fill="FFFFFF" w:val="clear"/>
            <w:vAlign w:val="center"/>
          </w:tcPr>
          <w:p>
            <w:pPr>
              <w:pStyle w:val="TableContents"/>
              <w:bidi w:val="0"/>
              <w:spacing w:before="0" w:after="283"/>
              <w:jc w:val="left"/>
              <w:rPr/>
            </w:pPr>
            <w:r>
              <w:rPr/>
              <w:t>)</w:t>
            </w:r>
          </w:p>
        </w:tc>
      </w:tr>
      <w:tr>
        <w:trPr/>
        <w:tc>
          <w:tcPr>
            <w:tcW w:w="4455" w:type="dxa"/>
            <w:tcBorders/>
            <w:shd w:fill="CCEEFF" w:val="clear"/>
            <w:vAlign w:val="center"/>
          </w:tcPr>
          <w:p>
            <w:pPr>
              <w:pStyle w:val="TableContents"/>
              <w:bidi w:val="0"/>
              <w:spacing w:before="0" w:after="283"/>
              <w:jc w:val="both"/>
              <w:rPr/>
            </w:pPr>
            <w:r>
              <w:rPr/>
              <w:t>Harcourt Limited</w:t>
            </w:r>
          </w:p>
        </w:tc>
        <w:tc>
          <w:tcPr>
            <w:tcW w:w="90" w:type="dxa"/>
            <w:tcBorders/>
            <w:shd w:fill="CCEEFF" w:val="clear"/>
            <w:vAlign w:val="center"/>
          </w:tcPr>
          <w:p>
            <w:pPr>
              <w:pStyle w:val="TableContents"/>
              <w:bidi w:val="0"/>
              <w:spacing w:before="0" w:after="283"/>
              <w:jc w:val="left"/>
              <w:rPr/>
            </w:pPr>
            <w:r>
              <w:rPr/>
              <w:t> </w:t>
            </w:r>
          </w:p>
        </w:tc>
        <w:tc>
          <w:tcPr>
            <w:tcW w:w="2340" w:type="dxa"/>
            <w:tcBorders/>
            <w:shd w:fill="CCEEFF" w:val="clear"/>
            <w:vAlign w:val="center"/>
          </w:tcPr>
          <w:p>
            <w:pPr>
              <w:pStyle w:val="TableContents"/>
              <w:bidi w:val="0"/>
              <w:spacing w:before="0" w:after="283"/>
              <w:jc w:val="left"/>
              <w:rPr/>
            </w:pPr>
            <w:r>
              <w:rPr/>
              <w:t>A related party (note 1)</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0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(61,802</w:t>
            </w:r>
          </w:p>
        </w:tc>
        <w:tc>
          <w:tcPr>
            <w:tcW w:w="17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48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sz w:val="20"/>
              </w:rPr>
            </w:pPr>
            <w:r>
              <w:rPr>
                <w:sz w:val="20"/>
              </w:rPr>
              <w:t>(1)</w:t>
            </w:r>
          </w:p>
        </w:tc>
        <w:tc>
          <w:tcPr>
            <w:tcW w:w="9933" w:type="dxa"/>
            <w:tcBorders/>
            <w:vAlign w:val="center"/>
          </w:tcPr>
          <w:p>
            <w:pPr>
              <w:pStyle w:val="TableContents"/>
              <w:bidi w:val="0"/>
              <w:spacing w:before="0" w:after="283"/>
              <w:jc w:val="both"/>
              <w:rPr>
                <w:sz w:val="20"/>
              </w:rPr>
            </w:pPr>
            <w:r>
              <w:rPr>
                <w:sz w:val="20"/>
              </w:rPr>
              <w:t>The directors and shareholders of Harcourt Limited are Mr. Siu and Ms. Fong, Harcourt Limited therefore has the common ultimate beneficial owners with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due from shareholders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7670" w:type="dxa"/>
        <w:jc w:val="left"/>
        <w:tblInd w:w="0" w:type="dxa"/>
        <w:tblLayout w:type="fixed"/>
        <w:tblCellMar>
          <w:top w:w="0" w:type="dxa"/>
          <w:left w:w="0" w:type="dxa"/>
          <w:bottom w:w="0" w:type="dxa"/>
          <w:right w:w="0" w:type="dxa"/>
        </w:tblCellMar>
      </w:tblPr>
      <w:tblGrid>
        <w:gridCol w:w="3965"/>
        <w:gridCol w:w="90"/>
        <w:gridCol w:w="170"/>
        <w:gridCol w:w="1325"/>
        <w:gridCol w:w="125"/>
        <w:gridCol w:w="90"/>
        <w:gridCol w:w="170"/>
        <w:gridCol w:w="1565"/>
        <w:gridCol w:w="170"/>
      </w:tblGrid>
      <w:tr>
        <w:trPr/>
        <w:tc>
          <w:tcPr>
            <w:tcW w:w="3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pPr>
            <w:r>
              <w:rPr/>
              <w:t>Due from/ (to) shareholders/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           </w:t>
            </w:r>
            <w:r>
              <w:rPr/>
              <w:t>(6,421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65" w:type="dxa"/>
            <w:tcBorders/>
            <w:shd w:fill="CCEEFF" w:val="clear"/>
            <w:vAlign w:val="center"/>
          </w:tcPr>
          <w:p>
            <w:pPr>
              <w:pStyle w:val="TableContents"/>
              <w:bidi w:val="0"/>
              <w:spacing w:before="0" w:after="283"/>
              <w:jc w:val="right"/>
              <w:rPr/>
            </w:pPr>
            <w:r>
              <w:rPr/>
              <w:t>           </w:t>
            </w:r>
            <w:r>
              <w:rPr/>
              <w:t>(154,453</w:t>
            </w:r>
          </w:p>
        </w:tc>
        <w:tc>
          <w:tcPr>
            <w:tcW w:w="17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both"/>
              <w:rPr/>
            </w:pPr>
            <w:r>
              <w:rPr/>
              <w:t>Less: allowance for expected credit loss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6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(6,421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65" w:type="dxa"/>
            <w:tcBorders>
              <w:bottom w:val="double" w:sz="10" w:space="0" w:color="000000"/>
            </w:tcBorders>
            <w:shd w:fill="CCEEFF" w:val="clear"/>
            <w:tcMar>
              <w:bottom w:w="28" w:type="dxa"/>
            </w:tcMar>
            <w:vAlign w:val="center"/>
          </w:tcPr>
          <w:p>
            <w:pPr>
              <w:pStyle w:val="TableContents"/>
              <w:bidi w:val="0"/>
              <w:spacing w:before="0" w:after="283"/>
              <w:jc w:val="right"/>
              <w:rPr/>
            </w:pPr>
            <w:r>
              <w:rPr/>
              <w:t>(154,453</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834" w:type="dxa"/>
        <w:jc w:val="left"/>
        <w:tblInd w:w="0" w:type="dxa"/>
        <w:tblLayout w:type="fixed"/>
        <w:tblCellMar>
          <w:top w:w="0" w:type="dxa"/>
          <w:left w:w="0" w:type="dxa"/>
          <w:bottom w:w="0" w:type="dxa"/>
          <w:right w:w="0" w:type="dxa"/>
        </w:tblCellMar>
      </w:tblPr>
      <w:tblGrid>
        <w:gridCol w:w="3335"/>
        <w:gridCol w:w="90"/>
        <w:gridCol w:w="532"/>
        <w:gridCol w:w="912"/>
        <w:gridCol w:w="90"/>
        <w:gridCol w:w="90"/>
        <w:gridCol w:w="170"/>
        <w:gridCol w:w="1445"/>
        <w:gridCol w:w="170"/>
      </w:tblGrid>
      <w:tr>
        <w:trPr/>
        <w:tc>
          <w:tcPr>
            <w:tcW w:w="3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Balance at beginning of the year</w:t>
            </w:r>
          </w:p>
        </w:tc>
        <w:tc>
          <w:tcPr>
            <w:tcW w:w="90"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           </w:t>
            </w:r>
            <w:r>
              <w:rPr/>
              <w:t>(17,818</w:t>
            </w:r>
          </w:p>
        </w:tc>
        <w:tc>
          <w:tcPr>
            <w:tcW w:w="170" w:type="dxa"/>
            <w:tcBorders/>
            <w:shd w:fill="CCEEFF" w:val="clear"/>
            <w:vAlign w:val="center"/>
          </w:tcPr>
          <w:p>
            <w:pPr>
              <w:pStyle w:val="TableContents"/>
              <w:bidi w:val="0"/>
              <w:spacing w:before="0" w:after="283"/>
              <w:jc w:val="left"/>
              <w:rPr/>
            </w:pPr>
            <w:r>
              <w:rPr/>
              <w:t>)</w:t>
            </w:r>
          </w:p>
        </w:tc>
      </w:tr>
      <w:tr>
        <w:trPr/>
        <w:tc>
          <w:tcPr>
            <w:tcW w:w="3335" w:type="dxa"/>
            <w:tcBorders/>
            <w:shd w:fill="FFFFFF" w:val="clear"/>
            <w:vAlign w:val="center"/>
          </w:tcPr>
          <w:p>
            <w:pPr>
              <w:pStyle w:val="TableContents"/>
              <w:bidi w:val="0"/>
              <w:spacing w:before="0" w:after="283"/>
              <w:jc w:val="left"/>
              <w:rPr/>
            </w:pPr>
            <w:r>
              <w:rPr/>
              <w:t>Reversal of Provision / (Provision)</w:t>
            </w:r>
          </w:p>
        </w:tc>
        <w:tc>
          <w:tcPr>
            <w:tcW w:w="90" w:type="dxa"/>
            <w:tcBorders/>
            <w:shd w:fill="FFFFFF" w:val="clear"/>
            <w:vAlign w:val="center"/>
          </w:tcPr>
          <w:p>
            <w:pPr>
              <w:pStyle w:val="TableContents"/>
              <w:bidi w:val="0"/>
              <w:spacing w:before="0" w:after="283"/>
              <w:jc w:val="left"/>
              <w:rPr/>
            </w:pPr>
            <w:r>
              <w:rPr/>
              <w:t> </w:t>
            </w:r>
          </w:p>
        </w:tc>
        <w:tc>
          <w:tcPr>
            <w:tcW w:w="5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5" w:type="dxa"/>
            <w:tcBorders>
              <w:bottom w:val="single" w:sz="12" w:space="0" w:color="000000"/>
            </w:tcBorders>
            <w:shd w:fill="FFFFFF" w:val="clear"/>
            <w:tcMar>
              <w:bottom w:w="28" w:type="dxa"/>
            </w:tcMar>
            <w:vAlign w:val="center"/>
          </w:tcPr>
          <w:p>
            <w:pPr>
              <w:pStyle w:val="TableContents"/>
              <w:bidi w:val="0"/>
              <w:spacing w:before="0" w:after="283"/>
              <w:jc w:val="right"/>
              <w:rPr/>
            </w:pPr>
            <w:r>
              <w:rPr/>
              <w:t>(17,818</w:t>
            </w:r>
          </w:p>
        </w:tc>
        <w:tc>
          <w:tcPr>
            <w:tcW w:w="170" w:type="dxa"/>
            <w:tcBorders/>
            <w:shd w:fill="FFFFFF" w:val="clear"/>
            <w:vAlign w:val="center"/>
          </w:tcPr>
          <w:p>
            <w:pPr>
              <w:pStyle w:val="TableContents"/>
              <w:bidi w:val="0"/>
              <w:spacing w:before="0" w:after="283"/>
              <w:jc w:val="left"/>
              <w:rPr/>
            </w:pPr>
            <w:r>
              <w:rPr/>
              <w:t>)</w:t>
            </w:r>
          </w:p>
        </w:tc>
      </w:tr>
      <w:tr>
        <w:trPr/>
        <w:tc>
          <w:tcPr>
            <w:tcW w:w="3335" w:type="dxa"/>
            <w:tcBorders/>
            <w:shd w:fill="CCEEFF" w:val="clear"/>
            <w:vAlign w:val="center"/>
          </w:tcPr>
          <w:p>
            <w:pPr>
              <w:pStyle w:val="TableContents"/>
              <w:bidi w:val="0"/>
              <w:spacing w:before="0" w:after="283"/>
              <w:jc w:val="left"/>
              <w:rPr/>
            </w:pPr>
            <w:r>
              <w:rPr/>
              <w:t>Ending balance</w:t>
            </w:r>
          </w:p>
        </w:tc>
        <w:tc>
          <w:tcPr>
            <w:tcW w:w="90" w:type="dxa"/>
            <w:tcBorders/>
            <w:shd w:fill="CCEEFF" w:val="clear"/>
            <w:vAlign w:val="center"/>
          </w:tcPr>
          <w:p>
            <w:pPr>
              <w:pStyle w:val="TableContents"/>
              <w:bidi w:val="0"/>
              <w:spacing w:before="0" w:after="283"/>
              <w:jc w:val="left"/>
              <w:rPr/>
            </w:pPr>
            <w:r>
              <w:rPr/>
              <w:t> </w:t>
            </w:r>
          </w:p>
        </w:tc>
        <w:tc>
          <w:tcPr>
            <w:tcW w:w="53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transactions and balances detailed elsewhere in these consolidated financial statements, the Company had the following transactions with related parties: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80"/>
        <w:gridCol w:w="90"/>
        <w:gridCol w:w="170"/>
        <w:gridCol w:w="1490"/>
        <w:gridCol w:w="90"/>
        <w:gridCol w:w="90"/>
        <w:gridCol w:w="170"/>
        <w:gridCol w:w="1490"/>
        <w:gridCol w:w="135"/>
      </w:tblGrid>
      <w:tr>
        <w:trPr/>
        <w:tc>
          <w:tcPr>
            <w:tcW w:w="6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283"/>
              <w:jc w:val="both"/>
              <w:rPr/>
            </w:pPr>
            <w:r>
              <w:rPr/>
              <w:t>Directors’ remuneration to Mr. Siu Wing Fung, Alfred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90" w:type="dxa"/>
            <w:tcBorders/>
            <w:shd w:fill="CCEEFF" w:val="clear"/>
            <w:vAlign w:val="center"/>
          </w:tcPr>
          <w:p>
            <w:pPr>
              <w:pStyle w:val="TableContents"/>
              <w:bidi w:val="0"/>
              <w:spacing w:before="0" w:after="283"/>
              <w:jc w:val="right"/>
              <w:rPr/>
            </w:pPr>
            <w:r>
              <w:rPr/>
              <w:t>           </w:t>
            </w:r>
            <w:r>
              <w:rPr/>
              <w:t>325,000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90" w:type="dxa"/>
            <w:tcBorders/>
            <w:shd w:fill="CCEEFF" w:val="clear"/>
            <w:vAlign w:val="center"/>
          </w:tcPr>
          <w:p>
            <w:pPr>
              <w:pStyle w:val="TableContents"/>
              <w:bidi w:val="0"/>
              <w:spacing w:before="0" w:after="283"/>
              <w:jc w:val="right"/>
              <w:rPr/>
            </w:pPr>
            <w:r>
              <w:rPr/>
              <w:t>           </w:t>
            </w:r>
            <w:r>
              <w:rPr/>
              <w:t>190,000</w:t>
            </w:r>
          </w:p>
        </w:tc>
        <w:tc>
          <w:tcPr>
            <w:tcW w:w="135" w:type="dxa"/>
            <w:tcBorders/>
            <w:shd w:fill="CCEEFF" w:val="clear"/>
            <w:vAlign w:val="center"/>
          </w:tcPr>
          <w:p>
            <w:pPr>
              <w:pStyle w:val="TableContents"/>
              <w:bidi w:val="0"/>
              <w:spacing w:before="0" w:after="283"/>
              <w:jc w:val="left"/>
              <w:rPr/>
            </w:pPr>
            <w:r>
              <w:rPr/>
              <w:t> </w:t>
            </w:r>
          </w:p>
        </w:tc>
      </w:tr>
      <w:tr>
        <w:trPr/>
        <w:tc>
          <w:tcPr>
            <w:tcW w:w="6480" w:type="dxa"/>
            <w:tcBorders/>
            <w:shd w:fill="FFFFFF" w:val="clear"/>
            <w:vAlign w:val="center"/>
          </w:tcPr>
          <w:p>
            <w:pPr>
              <w:pStyle w:val="TableContents"/>
              <w:bidi w:val="0"/>
              <w:spacing w:before="0" w:after="283"/>
              <w:jc w:val="both"/>
              <w:rPr/>
            </w:pPr>
            <w:r>
              <w:rPr/>
              <w:t>Directors’ remuneration to Ms. Fong Hei Yue, Tina</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325,000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190,000</w:t>
            </w:r>
          </w:p>
        </w:tc>
        <w:tc>
          <w:tcPr>
            <w:tcW w:w="135" w:type="dxa"/>
            <w:tcBorders/>
            <w:shd w:fill="FFFFFF" w:val="clear"/>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283"/>
              <w:jc w:val="both"/>
              <w:rPr/>
            </w:pPr>
            <w:r>
              <w:rPr/>
              <w:t>Director’s bonus of Mr. Siu Wing Fung, Alfred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750,000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6480" w:type="dxa"/>
            <w:tcBorders/>
            <w:shd w:fill="FFFFFF" w:val="clear"/>
            <w:vAlign w:val="center"/>
          </w:tcPr>
          <w:p>
            <w:pPr>
              <w:pStyle w:val="TableContents"/>
              <w:bidi w:val="0"/>
              <w:spacing w:before="0" w:after="283"/>
              <w:jc w:val="both"/>
              <w:rPr/>
            </w:pPr>
            <w:r>
              <w:rPr/>
              <w:t>Director’s welfare, accommodation and insurance to Mr. Siu Wing Fung, Alfred</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393,103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283"/>
              <w:jc w:val="both"/>
              <w:rPr/>
            </w:pPr>
            <w:r>
              <w:rPr/>
              <w:t>Advisory services on fund raising project to Mr Siu, Daniel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219,045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6480" w:type="dxa"/>
            <w:tcBorders/>
            <w:shd w:fill="FFFFFF" w:val="clear"/>
            <w:vAlign w:val="center"/>
          </w:tcPr>
          <w:p>
            <w:pPr>
              <w:pStyle w:val="TableContents"/>
              <w:bidi w:val="0"/>
              <w:spacing w:before="0" w:after="283"/>
              <w:jc w:val="both"/>
              <w:rPr/>
            </w:pPr>
            <w:r>
              <w:rPr/>
              <w:t>Consulting services on fund raising project to Mr Siu, Jasper</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65,000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283"/>
              <w:jc w:val="both"/>
              <w:rPr/>
            </w:pPr>
            <w:r>
              <w:rPr/>
              <w:t>Marketing service fee to Harcourt Limited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230,769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20 —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MicroSort Lab Services,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NewGenIvf Group Limited (the “Company”) completed the acquisition of 100% of the outstanding equity interests of MicroSort Lab Services, LLC (“MicroSort”), a Delaware limited liability company established by Genetics &amp; IVF Institute, Inc. (“Seller”). The Seller transferred to MicroSort a portfolio of assets including registered trademarks, domain names, customer contracts, and a consultant agreement. MicroSort technology is a form of pre-conception gender selection technology for humans and this Preimplantation Genetic Screening (“PGS”) is used in parallel with an IVF treatment cycle. Prior to the acquisition, the Company had been a licensee of the MicroSort® technology in Thailand and Cambodia. The company’s strategic acquisition of the MicroSort technology provide the company with the exclusive right to this technology for its continued use within its clinics as well as to licence it out to other clinics globally. In accordance with ASC 805, The acquisition was accounted for as a business combination in accordance with ASC 805, Business Combinations, as the Company obtained control of an integrated set of activities and assets that constitute a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purchase consideration amounted to US$5,000,000, consisting of cash consideration of US$750,000 and 2,500,000 Class A Ordinary Shares of the Company (42 shares, post–reverse stock splits) at a deemed share price of $1.7 per share. After the 2nd reverse stock split in February 2025, the Company issued 125,000 shares were when the share price was $2.06 per share. Accordingly, the share consideration was valued at US$257,500 at the acquisition date. The total fair value of the purchase consideration on acquisition date amounts to $1,007,500 measured in accordance with ASC 805-30-30-7. No contingent consideration or seller financing arrangements were included in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engaged an independent valuation firm, to determine the fair value of the acquired trademarks and technology. Using the income approach (discounted cash flow method), the fair value of the trademarks and technology were determined to be US$5,284,000 as of December 31, 2024. The acquired trademark was valued at $5,284,000, using an income approach, primarily applying a discounted cash flow methodology, which considered projected revenues attributable to the trademark, licensing income and expenses, and a risk-adjusted discount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obtained control over the Company and its related business and assets on February 28, 2025. Accordingly, February 28, 2026 which been determined by management as the acquisition date. No liabilities were assumed as part of the transaction. As at acquisition date management had re-evaluated the fair value assessment of the trademarks and determined the fair value to be $3.5 million. As the fair value of net assets acquired exceeded the fair value of the purchase consideration, the Company recognized a bargain purchase gain of US$2.5 million, in accordance with ASC 805-30-25-2. In accordance with ASC 805-30-25-2, the Company reassessed the identification and measurement of all acquired assets and liabilities and the consideration transferred. Management concluded that the bargain purchase gain resulted primarily from the Seller’s decision to exit non-core operations, as well as a decline in the Company’s stock price between the signing date and the Acquisition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identifiable assets and liabilities of MicroSort, as at the date of acquisition were as follows:</w:t>
      </w:r>
    </w:p>
    <w:p>
      <w:pPr>
        <w:pStyle w:val="TextBody"/>
        <w:bidi w:val="0"/>
        <w:spacing w:before="0" w:after="0"/>
        <w:ind w:left="0" w:right="0" w:hanging="0"/>
        <w:jc w:val="both"/>
        <w:rPr>
          <w:caps w:val="false"/>
          <w:smallCaps w:val="false"/>
        </w:rPr>
      </w:pPr>
      <w:r>
        <w:rPr>
          <w:caps w:val="false"/>
          <w:smallCaps w:val="false"/>
        </w:rPr>
        <w:t> </w:t>
      </w:r>
    </w:p>
    <w:tbl>
      <w:tblPr>
        <w:tblW w:w="6839" w:type="dxa"/>
        <w:jc w:val="left"/>
        <w:tblInd w:w="0" w:type="dxa"/>
        <w:tblLayout w:type="fixed"/>
        <w:tblCellMar>
          <w:top w:w="0" w:type="dxa"/>
          <w:left w:w="0" w:type="dxa"/>
          <w:bottom w:w="0" w:type="dxa"/>
          <w:right w:w="0" w:type="dxa"/>
        </w:tblCellMar>
      </w:tblPr>
      <w:tblGrid>
        <w:gridCol w:w="5120"/>
        <w:gridCol w:w="90"/>
        <w:gridCol w:w="118"/>
        <w:gridCol w:w="1341"/>
        <w:gridCol w:w="170"/>
      </w:tblGrid>
      <w:tr>
        <w:trPr/>
        <w:tc>
          <w:tcPr>
            <w:tcW w:w="5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w:t>
              <w:br/>
              <w:t>recognized</w:t>
              <w:br/>
              <w:t>on acquisition</w:t>
            </w:r>
          </w:p>
        </w:tc>
        <w:tc>
          <w:tcPr>
            <w:tcW w:w="170"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Intangible Asset – intellectual property and trademark</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3,495,335</w:t>
            </w:r>
          </w:p>
        </w:tc>
        <w:tc>
          <w:tcPr>
            <w:tcW w:w="17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pPr>
            <w:r>
              <w:rPr/>
              <w:t>Liabilities assumed</w:t>
            </w:r>
          </w:p>
        </w:tc>
        <w:tc>
          <w:tcPr>
            <w:tcW w:w="9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Total identifiable net assets at fair value</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3,495,335</w:t>
            </w:r>
          </w:p>
        </w:tc>
        <w:tc>
          <w:tcPr>
            <w:tcW w:w="17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Cash consideration</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(750,000</w:t>
            </w:r>
          </w:p>
        </w:tc>
        <w:tc>
          <w:tcPr>
            <w:tcW w:w="170" w:type="dxa"/>
            <w:tcBorders/>
            <w:shd w:fill="CCEEFF" w:val="clear"/>
            <w:vAlign w:val="center"/>
          </w:tcPr>
          <w:p>
            <w:pPr>
              <w:pStyle w:val="TableContents"/>
              <w:bidi w:val="0"/>
              <w:spacing w:before="0" w:after="283"/>
              <w:jc w:val="left"/>
              <w:rPr/>
            </w:pPr>
            <w:r>
              <w:rPr/>
              <w:t>)</w:t>
            </w:r>
          </w:p>
        </w:tc>
      </w:tr>
      <w:tr>
        <w:trPr/>
        <w:tc>
          <w:tcPr>
            <w:tcW w:w="5120" w:type="dxa"/>
            <w:tcBorders/>
            <w:shd w:fill="FFFFFF" w:val="clear"/>
            <w:vAlign w:val="center"/>
          </w:tcPr>
          <w:p>
            <w:pPr>
              <w:pStyle w:val="TableContents"/>
              <w:bidi w:val="0"/>
              <w:spacing w:before="0" w:after="283"/>
              <w:jc w:val="left"/>
              <w:rPr/>
            </w:pPr>
            <w:r>
              <w:rPr/>
              <w:t>Share consideration</w:t>
            </w:r>
          </w:p>
        </w:tc>
        <w:tc>
          <w:tcPr>
            <w:tcW w:w="9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12" w:space="0" w:color="000000"/>
            </w:tcBorders>
            <w:shd w:fill="FFFFFF" w:val="clear"/>
            <w:tcMar>
              <w:bottom w:w="28" w:type="dxa"/>
            </w:tcMar>
            <w:vAlign w:val="center"/>
          </w:tcPr>
          <w:p>
            <w:pPr>
              <w:pStyle w:val="TableContents"/>
              <w:bidi w:val="0"/>
              <w:spacing w:before="0" w:after="283"/>
              <w:jc w:val="right"/>
              <w:rPr/>
            </w:pPr>
            <w:r>
              <w:rPr/>
              <w:t>(257,500</w:t>
            </w:r>
          </w:p>
        </w:tc>
        <w:tc>
          <w:tcPr>
            <w:tcW w:w="170" w:type="dxa"/>
            <w:tcBorders/>
            <w:shd w:fill="FFFFFF" w:val="clear"/>
            <w:vAlign w:val="center"/>
          </w:tcPr>
          <w:p>
            <w:pPr>
              <w:pStyle w:val="TableContents"/>
              <w:bidi w:val="0"/>
              <w:spacing w:before="0" w:after="283"/>
              <w:jc w:val="left"/>
              <w:rPr/>
            </w:pPr>
            <w:r>
              <w:rPr/>
              <w:t>)</w:t>
            </w:r>
          </w:p>
        </w:tc>
      </w:tr>
      <w:tr>
        <w:trPr/>
        <w:tc>
          <w:tcPr>
            <w:tcW w:w="5120" w:type="dxa"/>
            <w:tcBorders/>
            <w:shd w:fill="CCEEFF" w:val="clear"/>
            <w:vAlign w:val="center"/>
          </w:tcPr>
          <w:p>
            <w:pPr>
              <w:pStyle w:val="TableContents"/>
              <w:bidi w:val="0"/>
              <w:spacing w:before="0" w:after="283"/>
              <w:jc w:val="left"/>
              <w:rPr>
                <w:b/>
              </w:rPr>
            </w:pPr>
            <w:r>
              <w:rPr>
                <w:b/>
              </w:rPr>
              <w:t>Bargain purchase gain</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b/>
              </w:rPr>
            </w:pPr>
            <w:r>
              <w:rPr>
                <w:b/>
              </w:rPr>
              <w:t>2,487,835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did not have any trade receivables outstanding as of the Acquisition Date. Accordingly, no receivables were recognized as part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transaction costs were immaterial and were expensed as incurred within general and administrative expenses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intangible assets have been classified as indefinite-lived intangible assets acquired will be subject to annual impairment testing in accordance with ASC 350. The bargain purchase gain has been which has been recorded as a separate line item within Other income (expense), net in the Consolidated Statements of Operations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MicroSort business, while being established by the Seller in prior years, it had not generated significant revenue and earnings prior to the acquisition due to MicroSort not being the core business focus of the Seller Accordingly, the unaudited pro forma consolidated revenue and net income of the Company, as if the acquisition had occurred on January 1, 2024, would not have differed materially from the amounts reported in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Nodexus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NewGenIvf Group Limited (the “Company”) acquired substantially all of the operating assets of Nodexus Inc (“Nodexus”) through an assignment for the benefit of creditors process administered by Sherwood Partners, Inc. The acquired assets included a patent portfolio and proprietary cell-sorting technology (five granted U.S. patents and one granted Japan patent), 18 Nodexus NX One units, partially constructed NX One units, cartridges, spare parts, and the Nodexus.com domain. Nodexus technology is a form of pre-conception gender selection technology for humans and this Preimplantation Genetic Screening (“PGS”) is used in parallel with an IVF treatment cycle. The company’s strategic acquisition of the Nodexus technology provide the company with the exclusive right to this technology for its continued use within its clinics as well as to license it out to other clinics globally. In accordance with ASC 805, The acquisition was accounted for as a business combination in accordance with ASC 805, Business Combinations, as the Company obtained control of an integrated set of activities and assets that constitute a business. Although Nodexus did not generate revenue and did not have outputs as of the acquisition date, management concluded that the acquired set met the definition of a business under ASC 805-10-55-5A through 55-9 because it included inputs and a substantive process that together are capable of producing outputs.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engaged an independent valuation of the acquired patents. Using the relief-from-royalty method, the fair value of the patents was determined to be US$17,900,000 primarily applying a relief-from-royalty method, which estimates the present value of royalty payments avoided by owning the technology rather than licensing it. Key assumptions included estimated market-participant revenue projections, an indicative royalty rate, a discount rate reflective of early-stage technological risk. The Company also estimated the fair value of other acquired assets at US$1,566,000. No liabilities were assumed as part of the transaction. The aggregate fair value of net assets acquired was US$19,466,000. As the fair value of net assets acquired significantly exceeded the consideration transferred, the Company recognized a bargain purchase gain of US$19,166,000 in accordance with ASC 805-30-25-2. The gain reflects the distressed nature of the sale process, limited market participants, and the Seller’s inability to execute commercialization, rather than any measurement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cash consideration paid was US$300,000. The company obtained control over the Company and its related business and assets on July 29, 2025. Accordingly, July 29, 2025 has been determined by management as the acquisition date. No liabilities were assumed as part of the transaction. The Company also estimated the fair value of other acquired assets at US$1,566,000. No liabilities were assumed as part of the transaction. The aggregate fair value of net assets acquired was US$19.5 million. As the fair value of net assets acquired significantly exceeded the consideration transferred, the Company recognized a bargain purchase gain of US$19,166,000 in accordance with ASC 805-30-25-2. In accordance with ASC 805-30-25-2, the Company reassessed the identification and measurement of all acquired assets and liabilities and the consideration transferred. Management concluded that the gain represents a unique, non-recurring event arising from the acquisition of high-potential assets in a forced liquidation process at a price substantially below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identifiable assets and liabilities of Nodexus, as at the date of acquisition were as follows:</w:t>
      </w:r>
    </w:p>
    <w:p>
      <w:pPr>
        <w:pStyle w:val="TextBody"/>
        <w:bidi w:val="0"/>
        <w:spacing w:before="0" w:after="0"/>
        <w:ind w:left="0" w:right="0" w:hanging="0"/>
        <w:jc w:val="both"/>
        <w:rPr>
          <w:caps w:val="false"/>
          <w:smallCaps w:val="false"/>
        </w:rPr>
      </w:pPr>
      <w:r>
        <w:rPr>
          <w:caps w:val="false"/>
          <w:smallCaps w:val="false"/>
        </w:rPr>
        <w:t> </w:t>
      </w:r>
    </w:p>
    <w:tbl>
      <w:tblPr>
        <w:tblW w:w="5684" w:type="dxa"/>
        <w:jc w:val="left"/>
        <w:tblInd w:w="0" w:type="dxa"/>
        <w:tblLayout w:type="fixed"/>
        <w:tblCellMar>
          <w:top w:w="0" w:type="dxa"/>
          <w:left w:w="0" w:type="dxa"/>
          <w:bottom w:w="0" w:type="dxa"/>
          <w:right w:w="0" w:type="dxa"/>
        </w:tblCellMar>
      </w:tblPr>
      <w:tblGrid>
        <w:gridCol w:w="3965"/>
        <w:gridCol w:w="90"/>
        <w:gridCol w:w="107"/>
        <w:gridCol w:w="1352"/>
        <w:gridCol w:w="170"/>
      </w:tblGrid>
      <w:tr>
        <w:trPr/>
        <w:tc>
          <w:tcPr>
            <w:tcW w:w="3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w:t>
              <w:br/>
              <w:t xml:space="preserve">recognized </w:t>
              <w:br/>
              <w:t>on acquisition</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Intangible assets - patented Technology</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17,900,000</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Nodexus NX One Unit</w:t>
            </w:r>
          </w:p>
        </w:tc>
        <w:tc>
          <w:tcPr>
            <w:tcW w:w="9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1,530,000</w:t>
            </w:r>
          </w:p>
        </w:tc>
        <w:tc>
          <w:tcPr>
            <w:tcW w:w="17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Catridges for Nodexus NX</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16,000</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Nodexus.com domain and hosting access</w:t>
            </w:r>
          </w:p>
        </w:tc>
        <w:tc>
          <w:tcPr>
            <w:tcW w:w="9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20,000</w:t>
            </w:r>
          </w:p>
        </w:tc>
        <w:tc>
          <w:tcPr>
            <w:tcW w:w="17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Liabilities assumed</w:t>
            </w:r>
          </w:p>
        </w:tc>
        <w:tc>
          <w:tcPr>
            <w:tcW w:w="9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Total identifiable net assets at fair value</w:t>
            </w:r>
          </w:p>
        </w:tc>
        <w:tc>
          <w:tcPr>
            <w:tcW w:w="9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19,466,000</w:t>
            </w:r>
          </w:p>
        </w:tc>
        <w:tc>
          <w:tcPr>
            <w:tcW w:w="17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Cash consideration</w:t>
            </w:r>
          </w:p>
        </w:tc>
        <w:tc>
          <w:tcPr>
            <w:tcW w:w="9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FFFFFF" w:val="clear"/>
            <w:tcMar>
              <w:bottom w:w="28" w:type="dxa"/>
            </w:tcMar>
            <w:vAlign w:val="center"/>
          </w:tcPr>
          <w:p>
            <w:pPr>
              <w:pStyle w:val="TableContents"/>
              <w:bidi w:val="0"/>
              <w:spacing w:before="0" w:after="283"/>
              <w:jc w:val="right"/>
              <w:rPr/>
            </w:pPr>
            <w:r>
              <w:rPr/>
              <w:t>(300,000</w:t>
            </w:r>
          </w:p>
        </w:tc>
        <w:tc>
          <w:tcPr>
            <w:tcW w:w="170"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b/>
              </w:rPr>
            </w:pPr>
            <w:r>
              <w:rPr>
                <w:b/>
              </w:rPr>
              <w:t>Bargain purchase gain</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b/>
              </w:rPr>
            </w:pPr>
            <w:r>
              <w:rPr>
                <w:b/>
              </w:rPr>
              <w:t>19,166,000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did not have any trade receivables outstanding as of the Acquisition Date. Accordingly, no receivables were recognized as part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transaction costs were immaterial and were expensed as incurred within general and administrative expenses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tangible assets will be amortized on a straight-line basis over their estimated useful life of 5 years in accordance with ASC 360. The intangible assets have been classified as indefinite-lived intangible assets acquired will be subject to annual impairment testing in accordance with ASC 350. The bargain purchase gain has been which has been recorded as a separate line item within Other income (expense), net in the Consolidated Statements of Operations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was a development-stage entity and did not generate revenue or earnings prior to the acquisition. Accordingly, the unaudited pro forma consolidated revenue and net income of the Company, as if the acquisition had occurred on January 1, 2024, would not have differed materially from the amounts reported in the Company’s consolidated financial statements for the periods presented. While the Nodexus business had been established in prior years, it had not generated significant revenue and earnings prior to the acquisition due to it being used primarily for research and development purposes. Accordingly, the unaudited pro forma consolidated revenue and net income of the Company, as if the acquisition had occurred on January 1, 2024, would not have differed materially from the amounts reported in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21 — DISPOSAL OF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2025, the Company completed the sale of its Shenzhen Qianhai Fengtai Renhui Health Technology Co., Ltd. (“SZ QianHai”) to an unrelated third party for total consideration of US$ 0 (RMB 1), consisting of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disposal, all the outstanding account payables and receivables as well as all outstanding balances were transferred to the Buyer. Any tax liabilities in People’s Republic of China (PRC) arising from the transfer of these balances shall be borne by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financial impact of the disposal:</w:t>
      </w:r>
    </w:p>
    <w:p>
      <w:pPr>
        <w:pStyle w:val="TextBody"/>
        <w:bidi w:val="0"/>
        <w:spacing w:before="0" w:after="0"/>
        <w:ind w:left="0" w:right="0" w:hanging="0"/>
        <w:jc w:val="both"/>
        <w:rPr>
          <w:caps w:val="false"/>
          <w:smallCaps w:val="false"/>
        </w:rPr>
      </w:pPr>
      <w:r>
        <w:rPr>
          <w:caps w:val="false"/>
          <w:smallCaps w:val="false"/>
        </w:rPr>
        <w:t> </w:t>
      </w:r>
    </w:p>
    <w:tbl>
      <w:tblPr>
        <w:tblW w:w="4315" w:type="dxa"/>
        <w:jc w:val="left"/>
        <w:tblInd w:w="0" w:type="dxa"/>
        <w:shd w:fill="FFFFFF" w:val="clear"/>
        <w:tblLayout w:type="fixed"/>
        <w:tblCellMar>
          <w:top w:w="0" w:type="dxa"/>
          <w:left w:w="0" w:type="dxa"/>
          <w:bottom w:w="0" w:type="dxa"/>
          <w:right w:w="0" w:type="dxa"/>
        </w:tblCellMar>
      </w:tblPr>
      <w:tblGrid>
        <w:gridCol w:w="105"/>
        <w:gridCol w:w="200"/>
        <w:gridCol w:w="4010"/>
      </w:tblGrid>
      <w:tr>
        <w:trPr/>
        <w:tc>
          <w:tcPr>
            <w:tcW w:w="105" w:type="dxa"/>
            <w:tcBorders/>
            <w:shd w:fill="FFFFFF" w:val="clear"/>
            <w:vAlign w:val="center"/>
          </w:tcPr>
          <w:p>
            <w:pPr>
              <w:pStyle w:val="TableContents"/>
              <w:bidi w:val="0"/>
              <w:spacing w:before="0" w:after="283"/>
              <w:jc w:val="both"/>
              <w:rPr/>
            </w:pPr>
            <w:r>
              <w:rPr/>
              <w:t> </w:t>
            </w:r>
          </w:p>
        </w:tc>
        <w:tc>
          <w:tcPr>
            <w:tcW w:w="200" w:type="dxa"/>
            <w:tcBorders/>
            <w:shd w:fill="FFFFFF" w:val="clear"/>
            <w:vAlign w:val="center"/>
          </w:tcPr>
          <w:p>
            <w:pPr>
              <w:pStyle w:val="TableContents"/>
              <w:bidi w:val="0"/>
              <w:spacing w:before="0" w:after="283"/>
              <w:jc w:val="both"/>
              <w:rPr/>
            </w:pPr>
            <w:r>
              <w:rPr/>
              <w:t>●</w:t>
            </w:r>
          </w:p>
        </w:tc>
        <w:tc>
          <w:tcPr>
            <w:tcW w:w="4010" w:type="dxa"/>
            <w:tcBorders/>
            <w:shd w:fill="FFFFFF" w:val="clear"/>
            <w:vAlign w:val="center"/>
          </w:tcPr>
          <w:p>
            <w:pPr>
              <w:pStyle w:val="TableContents"/>
              <w:bidi w:val="0"/>
              <w:spacing w:before="0" w:after="283"/>
              <w:jc w:val="both"/>
              <w:rPr>
                <w:sz w:val="20"/>
              </w:rPr>
            </w:pPr>
            <w:r>
              <w:rPr>
                <w:sz w:val="20"/>
              </w:rPr>
              <w:t>Consideration received: Cash of US$ 0 (RMB 1)</w:t>
            </w:r>
          </w:p>
        </w:tc>
      </w:tr>
    </w:tbl>
    <w:p>
      <w:pPr>
        <w:pStyle w:val="TextBody"/>
        <w:bidi w:val="0"/>
        <w:spacing w:before="0" w:after="0"/>
        <w:ind w:left="0" w:right="0" w:hanging="0"/>
        <w:jc w:val="both"/>
        <w:rPr>
          <w:caps w:val="false"/>
          <w:smallCaps w:val="false"/>
        </w:rPr>
      </w:pPr>
      <w:r>
        <w:rPr>
          <w:caps w:val="false"/>
          <w:smallCaps w:val="false"/>
        </w:rPr>
        <w:t> </w:t>
      </w:r>
    </w:p>
    <w:tbl>
      <w:tblPr>
        <w:tblW w:w="4225" w:type="dxa"/>
        <w:jc w:val="left"/>
        <w:tblInd w:w="0" w:type="dxa"/>
        <w:shd w:fill="FFFFFF" w:val="clear"/>
        <w:tblLayout w:type="fixed"/>
        <w:tblCellMar>
          <w:top w:w="0" w:type="dxa"/>
          <w:left w:w="0" w:type="dxa"/>
          <w:bottom w:w="0" w:type="dxa"/>
          <w:right w:w="0" w:type="dxa"/>
        </w:tblCellMar>
      </w:tblPr>
      <w:tblGrid>
        <w:gridCol w:w="105"/>
        <w:gridCol w:w="200"/>
        <w:gridCol w:w="3920"/>
      </w:tblGrid>
      <w:tr>
        <w:trPr/>
        <w:tc>
          <w:tcPr>
            <w:tcW w:w="105" w:type="dxa"/>
            <w:tcBorders/>
            <w:shd w:fill="FFFFFF" w:val="clear"/>
            <w:vAlign w:val="center"/>
          </w:tcPr>
          <w:p>
            <w:pPr>
              <w:pStyle w:val="TableContents"/>
              <w:bidi w:val="0"/>
              <w:spacing w:before="0" w:after="283"/>
              <w:jc w:val="both"/>
              <w:rPr/>
            </w:pPr>
            <w:r>
              <w:rPr/>
              <w:t> </w:t>
            </w:r>
          </w:p>
        </w:tc>
        <w:tc>
          <w:tcPr>
            <w:tcW w:w="200" w:type="dxa"/>
            <w:tcBorders/>
            <w:shd w:fill="FFFFFF" w:val="clear"/>
            <w:vAlign w:val="center"/>
          </w:tcPr>
          <w:p>
            <w:pPr>
              <w:pStyle w:val="TableContents"/>
              <w:bidi w:val="0"/>
              <w:spacing w:before="0" w:after="283"/>
              <w:jc w:val="both"/>
              <w:rPr/>
            </w:pPr>
            <w:r>
              <w:rPr/>
              <w:t>●</w:t>
            </w:r>
          </w:p>
        </w:tc>
        <w:tc>
          <w:tcPr>
            <w:tcW w:w="3920" w:type="dxa"/>
            <w:tcBorders/>
            <w:shd w:fill="FFFFFF" w:val="clear"/>
            <w:vAlign w:val="center"/>
          </w:tcPr>
          <w:p>
            <w:pPr>
              <w:pStyle w:val="TableContents"/>
              <w:bidi w:val="0"/>
              <w:spacing w:before="0" w:after="283"/>
              <w:jc w:val="both"/>
              <w:rPr>
                <w:sz w:val="20"/>
              </w:rPr>
            </w:pPr>
            <w:r>
              <w:rPr>
                <w:sz w:val="20"/>
              </w:rPr>
              <w:t>Net assets disposed of $47,702 (RMB 352,826)</w:t>
            </w:r>
          </w:p>
        </w:tc>
      </w:tr>
    </w:tbl>
    <w:p>
      <w:pPr>
        <w:pStyle w:val="TextBody"/>
        <w:bidi w:val="0"/>
        <w:spacing w:before="0" w:after="0"/>
        <w:ind w:left="0" w:right="0" w:hanging="0"/>
        <w:jc w:val="both"/>
        <w:rPr>
          <w:caps w:val="false"/>
          <w:smallCaps w:val="false"/>
        </w:rPr>
      </w:pPr>
      <w:r>
        <w:rPr>
          <w:caps w:val="false"/>
          <w:smallCaps w:val="false"/>
        </w:rPr>
        <w:t> </w:t>
      </w:r>
    </w:p>
    <w:tbl>
      <w:tblPr>
        <w:tblW w:w="5110" w:type="dxa"/>
        <w:jc w:val="left"/>
        <w:tblInd w:w="0" w:type="dxa"/>
        <w:shd w:fill="FFFFFF" w:val="clear"/>
        <w:tblLayout w:type="fixed"/>
        <w:tblCellMar>
          <w:top w:w="0" w:type="dxa"/>
          <w:left w:w="0" w:type="dxa"/>
          <w:bottom w:w="0" w:type="dxa"/>
          <w:right w:w="0" w:type="dxa"/>
        </w:tblCellMar>
      </w:tblPr>
      <w:tblGrid>
        <w:gridCol w:w="105"/>
        <w:gridCol w:w="200"/>
        <w:gridCol w:w="4805"/>
      </w:tblGrid>
      <w:tr>
        <w:trPr/>
        <w:tc>
          <w:tcPr>
            <w:tcW w:w="105" w:type="dxa"/>
            <w:tcBorders/>
            <w:shd w:fill="FFFFFF" w:val="clear"/>
            <w:vAlign w:val="center"/>
          </w:tcPr>
          <w:p>
            <w:pPr>
              <w:pStyle w:val="TableContents"/>
              <w:bidi w:val="0"/>
              <w:spacing w:before="0" w:after="283"/>
              <w:jc w:val="both"/>
              <w:rPr/>
            </w:pPr>
            <w:r>
              <w:rPr/>
              <w:t> </w:t>
            </w:r>
          </w:p>
        </w:tc>
        <w:tc>
          <w:tcPr>
            <w:tcW w:w="200" w:type="dxa"/>
            <w:tcBorders/>
            <w:shd w:fill="FFFFFF" w:val="clear"/>
            <w:vAlign w:val="center"/>
          </w:tcPr>
          <w:p>
            <w:pPr>
              <w:pStyle w:val="TableContents"/>
              <w:bidi w:val="0"/>
              <w:spacing w:before="0" w:after="283"/>
              <w:jc w:val="both"/>
              <w:rPr/>
            </w:pPr>
            <w:r>
              <w:rPr/>
              <w:t>●</w:t>
            </w:r>
          </w:p>
        </w:tc>
        <w:tc>
          <w:tcPr>
            <w:tcW w:w="4805" w:type="dxa"/>
            <w:tcBorders/>
            <w:shd w:fill="FFFFFF" w:val="clear"/>
            <w:vAlign w:val="center"/>
          </w:tcPr>
          <w:p>
            <w:pPr>
              <w:pStyle w:val="TableContents"/>
              <w:bidi w:val="0"/>
              <w:spacing w:before="0" w:after="283"/>
              <w:jc w:val="both"/>
              <w:rPr>
                <w:sz w:val="20"/>
              </w:rPr>
            </w:pPr>
            <w:r>
              <w:rPr>
                <w:sz w:val="20"/>
              </w:rPr>
              <w:t>Loss on disposal of subsidiary of $47,702 (RMB 352,826)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disposal was accounted for in accordance with ASC 810, Consolidation. As a result, the Company deconsolidated Shenzhen Qianhai Fengtai Renhui Health Technology Co. and recognized a loss on disposal of subsidiary (after netting against the cash consideration received) in the amount of US$47,702 in other income, net in the 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disposal did not represent a strategic shift and, therefore, was not classified as a discontinued operation under ASC 205-20.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NOTE 22 — COMMITMENTS &amp; </w:t>
      </w:r>
      <w:r>
        <w:rPr>
          <w:rFonts w:ascii="Times New Roman;Times;Serif" w:hAnsi="Times New Roman;Times;Serif"/>
          <w:b/>
          <w:i w:val="false"/>
          <w:caps/>
          <w:sz w:val="20"/>
          <w:u w:val="single"/>
        </w:rPr>
        <w:t>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was not a party to any legal or administrative proceedings. As of December 31, 2025, the Company had commitment as described in Notes 12 and 13 to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committed to honor its obligations pursuant to the convertible note agreements as described in Note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23 — SUBSEQUENT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and to the date of this report, $600,000 convertible notes outstanding as of December 31, 2025 had been converted to additional 190,319 Class A ordinary shares (adjusted by Reverse Stock Splits on December 2, 2025, January 26, 2026 and March 16,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NewGenBiz Limited, a 100% directly owned subsidiary of NewGenIvf Group Limited, was incorporated in British Virgin Islands as an investment holding company for future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entered into a Securities Purchase Agreement with Vanquish Funding Group Inc., pursuant to which, amongst other things, the Company agreed to sell a convertible note in the aggregate principal amount of $107,000, convertible into Class A Ordinary Shares pursuant to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entered into a Securities Purchase Agreement with Boot Capital LLC, pursuant to which, amongst other things, the Company agreed to sell a convertible note in the aggregate principal amount of $50,000, convertible into Class A Ordinary Shares pursuant to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NewGenOman Limited, a 100% directly owned subsidiary of NewGenIvf Group Limited, was incorporated in British Virgin Islands as an investment holding company for future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On February 27, 2026, NewGenBiz Limited, a 100% directly owned subsidiary of NewGenIvf Group Limited, was incorporated in Hong Kong as a foundation for charitable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Company entered into a Securities Purchase Agreement with CFI Capital LLC, pursuant to which, amongst other things, the Company agreed to sell a convertible note in the aggregate principal amount of $200,000, convertible into Class A Ordinary Shares pursuant to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Company entered into a Securities Purchase Agreement with Firstfire Global Opportunities Fund, LLC, pursuant to which, amongst other things, the Company agreed to sell a convertible note in the aggregate principal amount of $220,000, convertible into Class A Ordinary Shares pursuant to its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 Class A Ordinary Shares and Up to [●] Pre-Funded Warrants to Purchase Up to [●]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 Class A Ordinary Shares Underlying the Pre-Funded 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95450" cy="4572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695450" cy="4572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Officers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Virgin Islands law does not limit the extent to which a company’s memorandum and articles of association may provide for indemnification of officers and directors, except to the extent any such provision may be held by the British Virgin Islands courts to be contrary to public policy, such as to provide indemnification against willful default, civil fraud or the consequences of committing a crime. Under our Memorandum and Articles of Association, we may indemnify our directors, officers and liquidators against all expenses, including legal fees, and against all judgments, fines and amounts paid in settlement and reasonably incurred in connection with civil, criminal, administrative or investigative proceedings to which they are party or are threatened to be made a party by reason of their acting as our director, officer or liquidator. To be entitled to indemnification, these persons must have acted honestly and in good faith with a view to the best interest of the registrant and, in the case of criminal proceedings, they must have had no reasonable cause to believe their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 Recent Sales of Unregistered Securities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sales of all securities by the Company since the closing of the Business Combination which were not registered under the Securities Act. The Company believes that each of such issuances was exempt from registration under the Securities Act in reliance on Section 4(a)(2)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Company issued to certain investors 295,000 Class A Ordinary Shares (equivalent to 295 Class A Ordinary Shares post Reverse Stock Splits) which were converted from the ordinary shares of Legacy NewGenIvf pursuant to the terms of the Securities Purchase Agreement by and between A SPAC I Mini Acquisition Corp. and certain investors named therein (the “February Buyers”) on February 29, 2024. Pursuant to this Securities Purchase Agreement, A SPAC I Mini Acquisition Corp agreed to issue and sell to the February Buyers, in a private placement, an aggregate of up to $3,500,000 principal amount of convertible notes, consisting of one or more tranches: (i) an initial tranche of an aggregate principal amount of promissory notes of up to $1,750,000 and including an original issue discount of up to aggregate $122,500, and (ii) subsequent tranches of an aggregate principal amount of promissory notes of up to $1,750,000 and including an original issue discount of up to aggregate $122,500. The closing of the Initial Tranche took place on April 3, 2024. The Company also closed on a subsequent tranche of the aforementioned promissory notes in the principal amount of $250,000 by issuing and selling to the February Buyers shortly after the closing of the Business Combination, resulting in an aggregate principal amount of notes of $2,000,000 sold to the February Buyers. The form of these promissory notes is included as Exhibit 4.2 of the Form 6-K filed on April 4, 2024. The aforementioned Securities Purchase Agreement is included as Exhibit 4.1 of the Form 6-K filed on April 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2024 Debt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2024, the Company entered into a Securities Purchase Agreement (“Securities Purchase Agreement”) with certain investors named therein (collectively, the “Buyers”), pursuant to which, amongst other things: (i) the Company agreed to sell, at an initial closing (and such initial closing, the “Initial Closing”), (a) a senior convertible note (the “Initial Note”) in the aggregate original principal amount not exceeding $1,100,000, convertible into Class A Ordinary Shares pursuant to its terms, (b) a warrant to purchase 1,325,301 Class A Ordinary Shares (such warrant, the “Series A Warrant” and prior to any Reverse Stock Splits), and (c) a warrant to purchase 180,722 Class A Ordinary Shares (the “Series B Warrant” and prior to any Reverse Stock Splits); and (ii) the Company may require each Buyer (or each Buyer may require the Company, as applicable) to participate in the sale of (a) one or more additional convertible notes (which aggregate original principal amount for all additional convertible notes shall not exceed $9,500,000) (the “Additional Notes”) and (b) related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 is filed as Exhibit 4.1 of the Company’s current report on Form 6-K dated August 16, 2024 and is incorporated by reference herein. The Initial Note is filed as Exhibit 10.25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the Securities Purchase Agreement, the Company entered into amendment and exchange agreements with certain holders of its convertible promissory notes (the “Existing Notes” and each of such amendment and exchange agreements, an “Amendment and Exchange Agreement”), pursuant to which the Company exchanged the Existing Notes by issuing, among other things, (i) senior convertible notes in the aggregate principal amount of $2,700,000 (the “Exchange Notes”, and, together with the Initial Note and the Additional Notes, the “Notes”) and (b) a series of warrants to initially acquire up to a certain number of Class A Ordinary Shares to the holders of the Existing Notes set forth therein (the “Exchange Warrants” and the Series A Warrants and the Series B Warrants, the “Warrants”). The Exchange Notes are in substantially similar form to the Initial Notes, which are discussed further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Warrants expire nine years after the issuance date and are initially exercisable for an aggregate of 3,253,012 Class A Ordinary Shares (without reflecting any Reverse Stock Splits), subject to adjustment as provided therein. The Exchange Warrants may be exercised at any time after the exchange date, subject to the Maximum Percentage (as defined in the Exchange Warrants). The initial exercise price of the Exchange Warrants is $0.913 per share, subject to adjustment as provided therein. If at the time of exercise of the Exchange Warrants, there is no effective registration statement registering our Class A Ordinary Shares underlying such warrants, such warrants may be exercised on a cashless basis pursuant to their terms. The form of the Amendment and Exchange Agreement, the form of Exchange Notes, and the form of Exchange Warrants are filed as Exhibits 4.2, 4.3, and 4.4 to the Form 6-K dated August 16, 2024,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the Company and the Buyers consummated the Initial Closing. The Initial Note sold in connection with the Securities Purchase Agreement bears an interest rate of 14.75% per annum and is convertible into the Company’s Class A Ordinary Shares as follows: the Conversion Amount (as defined in the Initial Note) into validly issued, fully paid and non-assessable Class A Ordinary Shares at the Conversion Rate (as defined in the Initial Note); subject to adjustment as provided therein. No fractional Class A Ordinary Shares are issuable upon any such conversion. A holder may convert the Initial Notes at any time after the initial issuance date of such Initial Note, subject to the Maximum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Initial Note is included as Exhibit A of the Securities Purchase Agreement filed as Exhibit 4.1 in the Form 6-K dated August 15,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the Company also sold to the Buyers Series A Warrants to purchase an aggregate 1,325,301 Class A Ordinary Shares (without reflecting any Reverse Stock Splits) and Series B Warrants to purchase an aggregate 180,722 Class A Ordinary Shares (without reflecting any Reverse Stock Splits).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Series A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Warrants expire nine years after the issuance date and are initially exercisable for an aggregate of 1,325,301 Class A Ordinary Shares (the “Series A Warrant Shares”), subject to adjustment as provided therein. The initial exercise price of the Series A Warrants is $0.913 per share, subject to adjustment as provided therein. If at the time of exercise of the Series A Warrants, there is no effective registration statement registering the shares of our Ordinary Shares underlying such warrants, such warrants may be exercised on a cashless basis pursuant to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Warrants expire nine years after the issuance date and are initially exercisable for an aggregate of 180,722 Ordinary Shares, subject to adjustment as provided therein. The Series B Warrants may be exercised at any time on or after February 12, 2025 (the “Initial Exercise Eligibility Date”), subject to the Maximum Percentage. The initial exercise price of the Series B Warrants was prepaid, except for a nominal exercise price of $0.001 per share, subject to adjustment as provided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Series A Warrant and form of the Series B Warrant are included as Exhibit B of the Securities Purchase Agreement included as Exhibit 4.1 in the Form 6-K filed on August 16, 2024,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Tranche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2024, the Company closed on the second tranche of the 2024 Debt Financing pursuant to the terms of the Securities Purchase Agreement. Under the second tranche, the Company sold the First Mandatory Additional Note in the aggregate principal amount of $500,000. The First Mandatory Additional Note is in substantially similar form to the Initial Note. Upon issuance of the First Mandatory Additional Note, the number of Class A Ordinary Shares issuable upon exercise of the Series A Warrant automatically increased to 2,236,446 (before any Reverse Stock Split adjustment). The First Mandatory Additional Note is included as Exhibit 4.1 in the Form 6-K filed on August 30, 2024, which is incorporated herein by reference.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11, 2024, the Company </w:t>
      </w:r>
      <w:r>
        <w:rPr>
          <w:rFonts w:ascii="Times New Roman;Times;Serif" w:hAnsi="Times New Roman;Times;Serif"/>
          <w:b w:val="false"/>
          <w:i w:val="false"/>
          <w:caps w:val="false"/>
          <w:smallCaps w:val="false"/>
          <w:sz w:val="20"/>
          <w:shd w:fill="FFFFFF" w:val="clear"/>
        </w:rPr>
        <w:t xml:space="preserve">closed on the third tranche of the 2024 Debt Financing pursuant to the terms of the Securities Purchase Agreement. Under the third tranche, the Company sold the Second Mandatory Additional Note in the aggregate principal amount of $1,500,000. The Second Mandatory Additional Note is in substantially similar form to the Initial Note. </w:t>
      </w:r>
      <w:r>
        <w:rPr>
          <w:rFonts w:ascii="Times New Roman;Times;Serif" w:hAnsi="Times New Roman;Times;Serif"/>
          <w:b w:val="false"/>
          <w:i w:val="false"/>
          <w:caps w:val="false"/>
          <w:smallCaps w:val="false"/>
          <w:sz w:val="20"/>
        </w:rPr>
        <w:t xml:space="preserve">Upon issuance of the First Mandatory Additional Note, the number of Class A Ordinary Shares issuable upon exercise of the Series A Warrant automatically increased to 5,874,383 (before any Reverse Stock Split adjustments). </w:t>
      </w:r>
      <w:r>
        <w:rPr>
          <w:rFonts w:ascii="Times New Roman;Times;Serif" w:hAnsi="Times New Roman;Times;Serif"/>
          <w:b w:val="false"/>
          <w:i w:val="false"/>
          <w:caps w:val="false"/>
          <w:smallCaps w:val="false"/>
          <w:sz w:val="20"/>
          <w:shd w:fill="FFFFFF" w:val="clear"/>
        </w:rPr>
        <w:t>The Second Mandatory Additional Note is included as Exhibit 4.1 in the Form 6-K filed on November 15, 2024,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Fourth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2025, the Company closed on the fourth tranche of the 2024 Debt Financing pursuant to the terms of the Securities Purchase Agreement. Under the fourth tranche, the Company sold a senior convertible note (the “Fourth Tranche Note”) in the original principal amount of $2,000,000. The Fourth Tranche Note is in substantially similar form to the Initial Note. Upon issuance of the note, the number of Class A Ordinary Shares issuable upon exercise of the Series A Warrant automatically increased to approximately 159,223 (on a post Reverse Stock Splits basis). </w:t>
      </w:r>
      <w:r>
        <w:rPr>
          <w:rFonts w:ascii="Times New Roman;Times;Serif" w:hAnsi="Times New Roman;Times;Serif"/>
          <w:b w:val="false"/>
          <w:i w:val="false"/>
          <w:caps w:val="false"/>
          <w:smallCaps w:val="false"/>
          <w:sz w:val="20"/>
          <w:shd w:fill="FFFFFF" w:val="clear"/>
        </w:rPr>
        <w:t>The Fourth Tranche Note is included as Exhibit 4.1 in the Form 6-K filed on April 3, 2025,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Fifth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16, 2025, the Company consummated the fifth tranche of </w:t>
      </w:r>
      <w:r>
        <w:rPr>
          <w:rFonts w:ascii="Times New Roman;Times;Serif" w:hAnsi="Times New Roman;Times;Serif"/>
          <w:b w:val="false"/>
          <w:i w:val="false"/>
          <w:caps w:val="false"/>
          <w:smallCaps w:val="false"/>
          <w:sz w:val="20"/>
          <w:shd w:fill="FFFFFF" w:val="clear"/>
        </w:rPr>
        <w:t>the 2024 Debt Financing</w:t>
      </w:r>
      <w:r>
        <w:rPr>
          <w:rFonts w:ascii="Times New Roman;Times;Serif" w:hAnsi="Times New Roman;Times;Serif"/>
          <w:b w:val="false"/>
          <w:i w:val="false"/>
          <w:caps w:val="false"/>
          <w:smallCaps w:val="false"/>
          <w:sz w:val="20"/>
        </w:rPr>
        <w:t xml:space="preserve"> under the terms of the Securities Purchase Agreement. At the closing of the fifth tranche, the Company sold to the Investor a senior convertible note (the “Fifth Tranche Note”) in the original principal amount of $2,000,000. The Note bears an interest rate of 14.75% per annum. The maximum number of Class A Ordinary Shares of the Company, no par value, which this note is issuable into is 6,923,990, based on a conversion price of $0.63 and assuming an interest rate of 14.75% through the fifty-four (54) month maturity of the Notes. Further the conversion price of the Note is subject to proportional adjustment upon the occurrence of any stock split, stock dividend, stock combination and/or similar transactions, and full-ratchet adjustment in connection with a subsequent offering at a per share price less than the fixed conversion price then in effect. The holder of the Note may convert any portion of the outstanding portion of the Note into validly issued, fully paid and non-assessable Class A Shares at the conversion price. No fractional Class A Shares are issuable upon any such conversion. If the issuance would result in the issuance of a fraction of a Class A Share, the Company shall round such fraction of a Class A Share up to the nearest whole share. </w:t>
      </w:r>
      <w:r>
        <w:rPr>
          <w:rFonts w:ascii="Times New Roman;Times;Serif" w:hAnsi="Times New Roman;Times;Serif"/>
          <w:b w:val="false"/>
          <w:i w:val="false"/>
          <w:caps w:val="false"/>
          <w:smallCaps w:val="false"/>
          <w:sz w:val="20"/>
          <w:shd w:fill="FFFFFF" w:val="clear"/>
        </w:rPr>
        <w:t>The Fourth Tranche Note is included as Exhibit 4.1 in the Form 6-K filed on July 16, 2025,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12, 2024 and the date of this prospectus, the Company received gross proceeds of $7,100,000 and issued an aggregate of 705,722 Class A Ordinary Shares (on a post Reverse Stock Splits basis) to the Buyers.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receive up to approximately $13,455,317 in additional net proceeds from the 2024 Debt Financing if all remaining Additional Notes in the aggregate principal amount of $3,500,000 (the “Remaining Additional Notes”) issuable pursuant to the Securities Purchase Agreement are sold and (ii) the Series A Warrants are increased by 3,997,855 assuming that (A) all Remaining Additional Notes are sold and (B) an Additional Share Price is equal to $1.66 and (iii) all of the Warrants are exercised in full, based on the following assumptions (x) approximately $8,951,571 in net proceeds are received from the exercise of the Series A Warrants, assuming that the Series A Warrants are exercised in full at an exercise price of $1.66 and the number of Ordinary Shares issuable upon exercise of the Series A Warrants equals 5,392,949, (y) approximately $1,485 in net proceeds are received from the exercise of the Series B Warrants, assuming that the Series B Warrants are exercised in full at an exercise price of $0.020 per share, and (z) approximately $1,002,261 in net proceeds are received from the exercise of the Exchange Warrants, assuming that the Exchange Warrants are exercised in full at an exercise price of $1.66. The foregoing is subject to adjustment as set forth in the respective Notes and Warrants,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2025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the Company entered into a new Securities Purchase Agreement (“2025 Securities Purchase Agreement”) with certain investors named therein (collectively, the “Buyers”), pursuant to which, amongst other things: (i) the Company agreed to sell, at an initial closing (and such initial closing, the “Initial Closing”) a senior convertible note (the “New CB Initial Note”) in the aggregate original principal amount not exceeding $3,200,000, convertible into Class A Ordinary Shares pursuant to its terms; and (ii) the Company may require each Buyer (or each Buyer may require the Company, as applicable) to participate in the sale of one or more additional convertible notes (which aggregate original principal amount for all additional convertible notes shall not exceed $25,600,000) (the “New CB Additional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Securities Purchase Agreement is filed as Exhibit 4.1 of the Company’s current report on Form 6-K dated April 3, 2025 and is incorporated by reference herein. The first tranche of $3,200,000 was received on June 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Company entered into a Securities Purchase Agreement with Vanquish Funding Group Inc. (“First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pursuant to a second securities purchase agreement, which was on substantially the same terms as the First Vanquish SPA, except for the aggregate principal amount (“Second Vanquish SPA”). The third tranche of $107,000 was received on January 22, 2026, pursuant to a third securities purchase agreement, which was on substantially the same terms as the First Vanquish SPA, except for the aggregate principal amount (“Third Vanquish SPA”). As of the date of this prospectus, a total of 265,411 shares was issued to Vanquish. The First Vanquish SPA is filed as Exhibit 10.33, the Second Vanquish SPA is filed as Exhibit 10.34, and the Third Vanquish SPA is filed as Exhibit 10.35.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entered into a Securities Purchase Agreement with Labrys Fund II, L.P. (“Labrys SPA”), pursuant to which, amongst other things, (i) the Company agreed to sell a convertible note in the aggregate principal amount of $250,000, convertible into Class A Ordinary Shares pursuant to its terms and the funding of $250,000 was received on November 15, 2025. The Labrys SPA is filed as Exhibit 10.36.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2026 Debt Financing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entered into a Securities Purchase Agreement with Boot Capital LLC (“Boot SPA”), pursuant to which, amongst other things, the Company agreed to sell a convertible note in the aggregate principal amount of $50,000, convertible into Class A Ordinary Shares pursuant to its terms and the funding of $50,000 was received on February 2, 2026. The Boot SPA and convertible note are filed as Exhibits 10.37 and 10.38.</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2026, the Company entered into a Securities Purchase Agreement with CFI Capital LLC (“CFI Capital SPA”), pursuant to which, amongst other things, (i) the Company agreed to sell a convertible note in the aggregate principal amount of $220,000, convertible into Class A Ordinary Shares pursuant to its terms and the funding of $200,000 was received on March 23, 2026. The CFI Capital SPA and convertible note are filed as Exhibits 10.39 and 10.40.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Company entered into a Securities Purchase Agreement with FirstFire Global Opportunities Fund LLC (“FirstFire SPA”), pursuant to which, amongst other things, (i) the Company agreed to sell a convertible note in the aggregate principal amount of $220,000, convertible into Class A Ordinary Shares pursuant to its terms and the funding of $220,000 was received on or about March 31, 2026. The FirstFire SPA and convertible note are filed as Exhibits 10.41 and 10.42.</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the Company entered into a Securities Purchase Agreement with Silvercrest Hybrid Capital LLC (“Silvercrest SPA”), pursuant to which, amongst other things, (i) the Company agreed to sell a convertible note in the aggregate principal amount of $200,000, convertible into Class A Ordinary Shares pursuant to its terms and the funding of $220,000 was received on March 31, 2026. The Silvercrest SPA and convertible note are filed as Exhibits 10.43 and 10.44.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2026, the Company entered into a Securities Purchase Agreement with Pacific Pier Capital II, LP (“Pacific Pier SPA”), pursuant to which, amongst other things, (i) the Company agreed to sell a convertible note in the aggregate principal amount of $200,000, convertible into Class A Ordinary Shares pursuant to its terms and the funding of $200,000 was received on April 18, 2026. The Pacific Pier SPA and convertible note are filed as Exhibits 10.45 and 10.46.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the Company entered into an additional Securities Purchase Agreement with Labrys Fund II, L.P. (“Fourth Labrys SPA”), pursuant to which, amongst other things, (i) the Company agreed to sell a convertible note in the aggregate principal amount of $250,000, convertible into Class A Ordinary Shares pursuant to its terms and the funding of $250,000 was received on April 20, 2026. The Fourth Labrys SPA and convertible note are filed as Exhibits 10.47 and 10.48.</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entered into a Securities Purchase Agreement with White Lion Capital LLC, (“White Lion SPA”) pursuant to which, amongst other things, (i) the Company agreed to sell a convertible note in the aggregate principal amount of $200,000, convertible into Class A Ordinary Shares pursuant to its terms and the funding of $200,000 was received on April 30, 2026. The White Lion SPA and convertible note are filed as Exhibits 10.49 and 10.50.</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the Company entered into a Securities Purchase Agreement with White Lion Capital LLC, pursuant to which, amongst other things, (i) the Company agreed to sell a convertible note in the aggregate principal amount of $166,667, convertible into Class A Ordinary Shares pursuant to its terms and the funding of $166,667 was received on May 26, 2026. The White Lion SPA and convertible note are filed as Exhibits XX and XX.</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the Company entered into a Securities Purchase Agreement with Vanquish Funding Group, Inc., pursuant to which, amongst other things, (i) the Company agreed to sell a convertible note in the aggregate principal amount of $132,000, convertible into Class A Ordinary Shares pursuant to its terms and the funding of $132,000 was received on June 5, 2026. The Vanquish SPA and convertible note are filed as Exhibits XX and XX.</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the Company entered into a repurchase and forbearance agreement (“Repurchase and Forbearance Agreement”) with JAK Opportunities VI LLC (“JAK”), pursuant to which the Company agreed to repurchase certain outstanding convertible notes, and warrants previously issued to the Investor, and to make certain forbearance payments in scheduled instalments to JAK, in consideration for JAK’s forbearance from converting outstanding convertible notes, exercising outstanding warrants and effectuating additional closings under existing securities purchase agreements. The Repurchase and Forbearance Agreement was filed as Exhibit 10.1 of the Company’s current report on Form 6-K dated June 16, 2026 and is incorporated by reference 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the Company entered into a Securities Purchase Agreement with White Lion Capital LLC, pursuant to which, amongst other things, the Company agreed to sell a convertible note in the aggregate principal amount of $111,111, convertible into Class A Ordinary Shares pursuant to its terms. The White Lion SPA and convertible note are filed as Exhibits 10.63 and 10.64,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entered into a Securities Purchase Agreement with Vanquish Funding Group, pursuant to which, amongst other things, the Company agreed to sell a convertible note in the aggregate principal amount of $100,000, convertible into Class A Ordinary Shares pursuant to its terms. The Vanquish SPA and convertible note are filed as Exhibits 10.65 and 10.66,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the Company entered into an Amendment and Exchange Agreement with JAK, pursuant to which, amongst other things, the Company agreed to the exchange of outstanding convertible notes, and warrants, and the termination of the Repurchase and Forbearance Agreement, in consideration for a new convertible note in the aggregate principal amount of $7,105,468.75, convertible into Class A Ordinary Shares pursuant to its terms. The Amendment and Exchange Agreement and the new convertible note are filed as Exhibits 10.67 and 10.68,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Company entered into a Securities Purchase Agreement with Hinterland Partners LLC, pursuant to which, amongst other things, (i) the Company agreed to sell a convertible note in the aggregate principal amount of $250,000, convertible into Class A Ordinary Shares pursuant to its terms. The Hinterland SPA and convertible note are filed as Exhibits 10.69 and 10.70.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White Lion Equity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from time to time, up to One Hundred Million Dollars ($100,000,000) in aggregate gross purchase price of newly issued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 The White Lion Purchase Agreement was included as Exhibit 10.27 of the Form F-1 registration statement filed on December 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700,000 Class A Ordinary Shares (equivalent to 4 Class A Ordinary Shares post Reverse Stock Splits) were issued to White Lion, in consideration for White Lion’s commitment pursuant to the White Lion Purchase Agreement. Between December 12, 2024 and the date of this prospectus, the Company received gross proceeds of $15,550,143 and issued an aggregate of 93,103 Class A Ordinary Shares (on a post-Reverse Stock Splits basis) to White 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MicroSort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2025, the Company entered into a Purchase Agreement with Genetics &amp; IVF Institute, Inc. (“Purchase Agreement”), pursuant to which the Company purchased all of the Assets (as defined in the Purchase Agreement) and IP Licenses (as defined in the Purchase Agreement) relating to the MicroSort Business (as defined in the Purchase Agreement) from Genetics &amp; IVF Institute, Inc. for a cash consideration of $750,000 and a share consideration of 2,500,000 Class A Ordinary Shares (equivalent to 14 Class A Ordinary Shares post Sixth Reverse Stock Split) (“Share Consideration”). The Purchase Agreement is filed as Exhibit 10.30 in this registration statement. MicroSort Lab Services, LLC (“MicroSort”) was incorporated by Genetics &amp; IVF Institute, Inc. in January 2025 to hold all of the Assets (as defined in the Purchase Agreement) to be transferred to the Company at closing. The Company’s acquisition of MicroSort was completed on February 28, 2025, and the Share Consideration was issued to GIVF on the same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ASPAC Consulting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2025, the Company entered into a Consulting Services Agreement with A SPAC (Holdings) Group Corp (“ASPAC”), pursuant to which the Company engaged ASPAC for the provision of certain consulting services. It was agreed that the Company would provide consideration in the form of cash and shares. On March 3, 2025, the Company issued the 150,000 Class A Ordinary Shares to ASPAC (equivalent to 17 Class A Ordinary Shares adjusted for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have been omitted because either they are not required, are not applicable or the information required therein is otherwise set forth in the Company’s financial statements and related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8"/>
        <w:gridCol w:w="90"/>
        <w:gridCol w:w="9307"/>
      </w:tblGrid>
      <w:tr>
        <w:trPr/>
        <w:tc>
          <w:tcPr>
            <w:tcW w:w="808" w:type="dxa"/>
            <w:tcBorders>
              <w:bottom w:val="single" w:sz="12" w:space="0" w:color="000000"/>
            </w:tcBorders>
            <w:vAlign w:val="center"/>
          </w:tcPr>
          <w:p>
            <w:pPr>
              <w:pStyle w:val="TableContents"/>
              <w:bidi w:val="0"/>
              <w:spacing w:before="0" w:after="283"/>
              <w:jc w:val="left"/>
              <w:rPr>
                <w:b/>
                <w:sz w:val="20"/>
              </w:rPr>
            </w:pPr>
            <w:r>
              <w:rPr>
                <w:b/>
                <w:sz w:val="20"/>
              </w:rPr>
              <w:t xml:space="preserve">Exhibit No.  </w:t>
            </w:r>
          </w:p>
        </w:tc>
        <w:tc>
          <w:tcPr>
            <w:tcW w:w="90" w:type="dxa"/>
            <w:tcBorders/>
            <w:tcMar>
              <w:bottom w:w="0" w:type="dxa"/>
            </w:tcMar>
            <w:vAlign w:val="center"/>
          </w:tcPr>
          <w:p>
            <w:pPr>
              <w:pStyle w:val="TableContents"/>
              <w:bidi w:val="0"/>
              <w:spacing w:before="0" w:after="283"/>
              <w:jc w:val="left"/>
              <w:rPr/>
            </w:pPr>
            <w:r>
              <w:rPr/>
              <w:t> </w:t>
            </w:r>
          </w:p>
        </w:tc>
        <w:tc>
          <w:tcPr>
            <w:tcW w:w="9307"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808" w:type="dxa"/>
            <w:tcBorders/>
            <w:shd w:fill="CCEEFF" w:val="clear"/>
            <w:tcMar>
              <w:bottom w:w="0" w:type="dxa"/>
            </w:tcMar>
            <w:vAlign w:val="center"/>
          </w:tcPr>
          <w:p>
            <w:pPr>
              <w:pStyle w:val="TableContents"/>
              <w:bidi w:val="0"/>
              <w:spacing w:before="0" w:after="283"/>
              <w:jc w:val="left"/>
              <w:rPr>
                <w:sz w:val="20"/>
              </w:rPr>
            </w:pPr>
            <w:r>
              <w:rPr>
                <w:sz w:val="20"/>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7" w:type="dxa"/>
            <w:tcBorders/>
            <w:shd w:fill="CCEEFF" w:val="clear"/>
            <w:tcMar>
              <w:bottom w:w="0" w:type="dxa"/>
            </w:tcMar>
            <w:vAlign w:val="center"/>
          </w:tcPr>
          <w:p>
            <w:pPr>
              <w:pStyle w:val="TableContents"/>
              <w:bidi w:val="0"/>
              <w:spacing w:before="0" w:after="283"/>
              <w:jc w:val="both"/>
              <w:rPr/>
            </w:pPr>
            <w:hyperlink w:anchor="ea030132501ex1-1.htm">
              <w:r>
                <w:rPr>
                  <w:rStyle w:val="InternetLink"/>
                  <w:sz w:val="20"/>
                </w:rPr>
                <w:t xml:space="preserve">Form of Placement Agency Agreement </w:t>
              </w:r>
            </w:hyperlink>
          </w:p>
        </w:tc>
      </w:tr>
      <w:tr>
        <w:trPr/>
        <w:tc>
          <w:tcPr>
            <w:tcW w:w="808" w:type="dxa"/>
            <w:tcBorders/>
            <w:shd w:fill="FFFFFF" w:val="clear"/>
            <w:tcMar>
              <w:bottom w:w="0" w:type="dxa"/>
            </w:tcMar>
            <w:vAlign w:val="center"/>
          </w:tcPr>
          <w:p>
            <w:pPr>
              <w:pStyle w:val="TableContents"/>
              <w:bidi w:val="0"/>
              <w:spacing w:before="0" w:after="283"/>
              <w:jc w:val="left"/>
              <w:rPr>
                <w:sz w:val="20"/>
              </w:rPr>
            </w:pPr>
            <w:r>
              <w:rPr>
                <w:sz w:val="20"/>
              </w:rPr>
              <w:t>3.1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307" w:type="dxa"/>
            <w:tcBorders/>
            <w:shd w:fill="FFFFFF" w:val="clear"/>
            <w:tcMar>
              <w:bottom w:w="0" w:type="dxa"/>
            </w:tcMar>
            <w:vAlign w:val="center"/>
          </w:tcPr>
          <w:p>
            <w:pPr>
              <w:pStyle w:val="TableContents"/>
              <w:bidi w:val="0"/>
              <w:spacing w:before="0" w:after="283"/>
              <w:jc w:val="both"/>
              <w:rPr/>
            </w:pPr>
            <w:hyperlink r:id="rId19">
              <w:r>
                <w:rPr>
                  <w:rStyle w:val="InternetLink"/>
                  <w:sz w:val="20"/>
                </w:rPr>
                <w:t>Amended and Restated Memorandum and Articles of Association of the Company dated July 4, 2025 (incorporated by reference to Exhibit 3.1 of the Company’s Form 6-K filed with the SEC on July 7, 2025)</w:t>
              </w:r>
            </w:hyperlink>
          </w:p>
        </w:tc>
      </w:tr>
      <w:tr>
        <w:trPr/>
        <w:tc>
          <w:tcPr>
            <w:tcW w:w="808" w:type="dxa"/>
            <w:tcBorders/>
            <w:shd w:fill="CCEEFF" w:val="clear"/>
            <w:tcMar>
              <w:bottom w:w="0" w:type="dxa"/>
            </w:tcMar>
            <w:vAlign w:val="center"/>
          </w:tcPr>
          <w:p>
            <w:pPr>
              <w:pStyle w:val="TableContents"/>
              <w:bidi w:val="0"/>
              <w:spacing w:before="0" w:after="283"/>
              <w:jc w:val="left"/>
              <w:rPr>
                <w:sz w:val="20"/>
              </w:rPr>
            </w:pPr>
            <w:r>
              <w:rPr>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7" w:type="dxa"/>
            <w:tcBorders/>
            <w:shd w:fill="CCEEFF" w:val="clear"/>
            <w:tcMar>
              <w:bottom w:w="0" w:type="dxa"/>
            </w:tcMar>
            <w:vAlign w:val="center"/>
          </w:tcPr>
          <w:p>
            <w:pPr>
              <w:pStyle w:val="TableContents"/>
              <w:bidi w:val="0"/>
              <w:spacing w:before="0" w:after="283"/>
              <w:jc w:val="both"/>
              <w:rPr/>
            </w:pPr>
            <w:hyperlink r:id="rId20">
              <w:r>
                <w:rPr>
                  <w:rStyle w:val="InternetLink"/>
                  <w:sz w:val="20"/>
                </w:rPr>
                <w:t>Specimen Class A Ordinary Share Certificate of the Company (incorporated by reference to Exhibit 2.1 of the report on Form 20-F filed with the Securities and Exchange Commission on April 9, 2024)</w:t>
              </w:r>
            </w:hyperlink>
          </w:p>
        </w:tc>
      </w:tr>
      <w:tr>
        <w:trPr/>
        <w:tc>
          <w:tcPr>
            <w:tcW w:w="808" w:type="dxa"/>
            <w:tcBorders/>
            <w:shd w:fill="FFFFFF" w:val="clear"/>
            <w:tcMar>
              <w:bottom w:w="0" w:type="dxa"/>
            </w:tcMar>
            <w:vAlign w:val="center"/>
          </w:tcPr>
          <w:p>
            <w:pPr>
              <w:pStyle w:val="TableContents"/>
              <w:bidi w:val="0"/>
              <w:spacing w:before="0" w:after="283"/>
              <w:jc w:val="left"/>
              <w:rPr>
                <w:sz w:val="20"/>
              </w:rPr>
            </w:pPr>
            <w:r>
              <w:rPr>
                <w:sz w:val="20"/>
              </w:rPr>
              <w:t>4.2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307" w:type="dxa"/>
            <w:tcBorders/>
            <w:shd w:fill="FFFFFF" w:val="clear"/>
            <w:tcMar>
              <w:bottom w:w="0" w:type="dxa"/>
            </w:tcMar>
            <w:vAlign w:val="center"/>
          </w:tcPr>
          <w:p>
            <w:pPr>
              <w:pStyle w:val="TableContents"/>
              <w:bidi w:val="0"/>
              <w:spacing w:before="0" w:after="283"/>
              <w:jc w:val="both"/>
              <w:rPr/>
            </w:pPr>
            <w:hyperlink r:id="rId21">
              <w:r>
                <w:rPr>
                  <w:rStyle w:val="InternetLink"/>
                  <w:sz w:val="20"/>
                </w:rPr>
                <w:t>Specimen Warrant Certificate of the Company (incorporated by reference to Exhibit 2.2 of the report on Form 20-F filed with the Securities and Exchange Commission on April 9, 2024)</w:t>
              </w:r>
            </w:hyperlink>
          </w:p>
        </w:tc>
      </w:tr>
      <w:tr>
        <w:trPr/>
        <w:tc>
          <w:tcPr>
            <w:tcW w:w="808" w:type="dxa"/>
            <w:tcBorders/>
            <w:shd w:fill="CCEEFF" w:val="clear"/>
            <w:tcMar>
              <w:bottom w:w="0" w:type="dxa"/>
            </w:tcMar>
            <w:vAlign w:val="center"/>
          </w:tcPr>
          <w:p>
            <w:pPr>
              <w:pStyle w:val="TableContents"/>
              <w:bidi w:val="0"/>
              <w:spacing w:before="0" w:after="283"/>
              <w:jc w:val="left"/>
              <w:rPr>
                <w:sz w:val="20"/>
              </w:rPr>
            </w:pPr>
            <w:r>
              <w:rPr>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7" w:type="dxa"/>
            <w:tcBorders/>
            <w:shd w:fill="CCEEFF" w:val="clear"/>
            <w:tcMar>
              <w:bottom w:w="0" w:type="dxa"/>
            </w:tcMar>
            <w:vAlign w:val="center"/>
          </w:tcPr>
          <w:p>
            <w:pPr>
              <w:pStyle w:val="TableContents"/>
              <w:bidi w:val="0"/>
              <w:spacing w:before="0" w:after="283"/>
              <w:jc w:val="both"/>
              <w:rPr/>
            </w:pPr>
            <w:hyperlink r:id="rId22">
              <w:r>
                <w:rPr>
                  <w:rStyle w:val="InternetLink"/>
                  <w:sz w:val="20"/>
                </w:rPr>
                <w:t>Warrant Agreement, dated February 14, 2022, by and between ASCA and Continental Stock Transfer &amp; Trust Company (incorporated by reference to Exhibit 4.2 to ASCA’s Current Report on Form 8-K filed with the Securities and Exchange Commission on February 18, 2022)</w:t>
              </w:r>
            </w:hyperlink>
          </w:p>
        </w:tc>
      </w:tr>
      <w:tr>
        <w:trPr/>
        <w:tc>
          <w:tcPr>
            <w:tcW w:w="808" w:type="dxa"/>
            <w:tcBorders/>
            <w:shd w:fill="FFFFFF" w:val="clear"/>
            <w:tcMar>
              <w:bottom w:w="0" w:type="dxa"/>
            </w:tcMar>
            <w:vAlign w:val="center"/>
          </w:tcPr>
          <w:p>
            <w:pPr>
              <w:pStyle w:val="TableContents"/>
              <w:bidi w:val="0"/>
              <w:spacing w:before="0" w:after="283"/>
              <w:jc w:val="left"/>
              <w:rPr>
                <w:sz w:val="20"/>
              </w:rPr>
            </w:pPr>
            <w:r>
              <w:rPr>
                <w:sz w:val="20"/>
              </w:rPr>
              <w:t>4.4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307" w:type="dxa"/>
            <w:tcBorders/>
            <w:shd w:fill="FFFFFF" w:val="clear"/>
            <w:tcMar>
              <w:bottom w:w="0" w:type="dxa"/>
            </w:tcMar>
            <w:vAlign w:val="center"/>
          </w:tcPr>
          <w:p>
            <w:pPr>
              <w:pStyle w:val="TableContents"/>
              <w:bidi w:val="0"/>
              <w:spacing w:before="0" w:after="283"/>
              <w:jc w:val="both"/>
              <w:rPr/>
            </w:pPr>
            <w:hyperlink r:id="rId23">
              <w:r>
                <w:rPr>
                  <w:rStyle w:val="InternetLink"/>
                  <w:sz w:val="20"/>
                </w:rPr>
                <w:t>Form of Assumption of Warrant Agreement (incorporated by reference to Exhibit 4.7 to the Company’s registration statement on Form F-4 (File No. 333-275208), filed with the Securities and Exchange Commission on October 27, 2023)</w:t>
              </w:r>
            </w:hyperlink>
          </w:p>
        </w:tc>
      </w:tr>
      <w:tr>
        <w:trPr/>
        <w:tc>
          <w:tcPr>
            <w:tcW w:w="808" w:type="dxa"/>
            <w:tcBorders/>
            <w:shd w:fill="CCEEFF" w:val="clear"/>
            <w:tcMar>
              <w:bottom w:w="0" w:type="dxa"/>
            </w:tcMar>
            <w:vAlign w:val="center"/>
          </w:tcPr>
          <w:p>
            <w:pPr>
              <w:pStyle w:val="TableContents"/>
              <w:bidi w:val="0"/>
              <w:spacing w:before="0" w:after="283"/>
              <w:jc w:val="left"/>
              <w:rPr>
                <w:sz w:val="20"/>
              </w:rPr>
            </w:pPr>
            <w:r>
              <w:rPr>
                <w:sz w:val="20"/>
              </w:rPr>
              <w:t>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7" w:type="dxa"/>
            <w:tcBorders/>
            <w:shd w:fill="CCEEFF" w:val="clear"/>
            <w:tcMar>
              <w:bottom w:w="0" w:type="dxa"/>
            </w:tcMar>
            <w:vAlign w:val="center"/>
          </w:tcPr>
          <w:p>
            <w:pPr>
              <w:pStyle w:val="TableContents"/>
              <w:bidi w:val="0"/>
              <w:spacing w:before="0" w:after="283"/>
              <w:jc w:val="both"/>
              <w:rPr/>
            </w:pPr>
            <w:hyperlink w:anchor="ea030132501ex4-6.htm">
              <w:r>
                <w:rPr>
                  <w:rStyle w:val="InternetLink"/>
                </w:rPr>
                <w:t>Form of Pre-Funded Warrant</w:t>
              </w:r>
            </w:hyperlink>
          </w:p>
        </w:tc>
      </w:tr>
      <w:tr>
        <w:trPr/>
        <w:tc>
          <w:tcPr>
            <w:tcW w:w="808" w:type="dxa"/>
            <w:tcBorders/>
            <w:shd w:fill="FFFFFF" w:val="clear"/>
            <w:tcMar>
              <w:bottom w:w="0" w:type="dxa"/>
            </w:tcMar>
            <w:vAlign w:val="center"/>
          </w:tcPr>
          <w:p>
            <w:pPr>
              <w:pStyle w:val="TableContents"/>
              <w:bidi w:val="0"/>
              <w:spacing w:before="0" w:after="283"/>
              <w:jc w:val="both"/>
              <w:rPr>
                <w:sz w:val="20"/>
              </w:rPr>
            </w:pPr>
            <w:r>
              <w:rPr>
                <w:sz w:val="20"/>
              </w:rPr>
              <w:t>5.1*</w:t>
            </w:r>
            <w:r>
              <w:rPr>
                <w:rFonts w:ascii="Times New Roman;Times;Serif" w:hAnsi="Times New Roman;Times;Serif"/>
                <w:sz w:val="20"/>
              </w:rPr>
              <w:t>*</w:t>
            </w:r>
          </w:p>
        </w:tc>
        <w:tc>
          <w:tcPr>
            <w:tcW w:w="90" w:type="dxa"/>
            <w:tcBorders/>
            <w:shd w:fill="FFFFFF" w:val="clear"/>
            <w:tcMar>
              <w:bottom w:w="0" w:type="dxa"/>
            </w:tcMar>
            <w:vAlign w:val="center"/>
          </w:tcPr>
          <w:p>
            <w:pPr>
              <w:pStyle w:val="TableContents"/>
              <w:bidi w:val="0"/>
              <w:spacing w:before="0" w:after="283"/>
              <w:jc w:val="both"/>
              <w:rPr/>
            </w:pPr>
            <w:r>
              <w:rPr/>
              <w:t> </w:t>
            </w:r>
          </w:p>
        </w:tc>
        <w:tc>
          <w:tcPr>
            <w:tcW w:w="9307" w:type="dxa"/>
            <w:tcBorders/>
            <w:shd w:fill="FFFFFF" w:val="clear"/>
            <w:tcMar>
              <w:bottom w:w="0" w:type="dxa"/>
            </w:tcMar>
            <w:vAlign w:val="center"/>
          </w:tcPr>
          <w:p>
            <w:pPr>
              <w:pStyle w:val="TableContents"/>
              <w:bidi w:val="0"/>
              <w:spacing w:before="0" w:after="283"/>
              <w:jc w:val="both"/>
              <w:rPr>
                <w:sz w:val="20"/>
              </w:rPr>
            </w:pPr>
            <w:r>
              <w:rPr>
                <w:sz w:val="20"/>
              </w:rPr>
              <w:t>Opinion of Ogier</w:t>
            </w:r>
          </w:p>
        </w:tc>
      </w:tr>
      <w:tr>
        <w:trPr/>
        <w:tc>
          <w:tcPr>
            <w:tcW w:w="808" w:type="dxa"/>
            <w:tcBorders/>
            <w:shd w:fill="CCEEFF" w:val="clear"/>
            <w:tcMar>
              <w:bottom w:w="0" w:type="dxa"/>
            </w:tcMar>
            <w:vAlign w:val="center"/>
          </w:tcPr>
          <w:p>
            <w:pPr>
              <w:pStyle w:val="TableContents"/>
              <w:bidi w:val="0"/>
              <w:spacing w:before="0" w:after="283"/>
              <w:jc w:val="both"/>
              <w:rPr>
                <w:sz w:val="20"/>
              </w:rPr>
            </w:pPr>
            <w:r>
              <w:rPr>
                <w:sz w:val="20"/>
              </w:rPr>
              <w:t>5.2*</w:t>
            </w: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07" w:type="dxa"/>
            <w:tcBorders/>
            <w:shd w:fill="CCEEFF" w:val="clear"/>
            <w:tcMar>
              <w:bottom w:w="0" w:type="dxa"/>
            </w:tcMar>
            <w:vAlign w:val="center"/>
          </w:tcPr>
          <w:p>
            <w:pPr>
              <w:pStyle w:val="TableContents"/>
              <w:bidi w:val="0"/>
              <w:spacing w:before="0" w:after="283"/>
              <w:jc w:val="both"/>
              <w:rPr>
                <w:sz w:val="20"/>
              </w:rPr>
            </w:pPr>
            <w:r>
              <w:rPr>
                <w:sz w:val="20"/>
              </w:rPr>
              <w:t>Opinion of Han Kun Law Offices LLP</w:t>
            </w:r>
          </w:p>
        </w:tc>
      </w:tr>
      <w:tr>
        <w:trPr/>
        <w:tc>
          <w:tcPr>
            <w:tcW w:w="808" w:type="dxa"/>
            <w:tcBorders/>
            <w:shd w:fill="FFFFFF" w:val="clear"/>
            <w:tcMar>
              <w:bottom w:w="0" w:type="dxa"/>
            </w:tcMar>
            <w:vAlign w:val="center"/>
          </w:tcPr>
          <w:p>
            <w:pPr>
              <w:pStyle w:val="TableContents"/>
              <w:bidi w:val="0"/>
              <w:spacing w:before="0" w:after="283"/>
              <w:jc w:val="left"/>
              <w:rPr>
                <w:sz w:val="20"/>
              </w:rPr>
            </w:pPr>
            <w:r>
              <w:rPr>
                <w:sz w:val="20"/>
              </w:rPr>
              <w:t>10.1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307" w:type="dxa"/>
            <w:tcBorders/>
            <w:shd w:fill="FFFFFF" w:val="clear"/>
            <w:tcMar>
              <w:bottom w:w="0" w:type="dxa"/>
            </w:tcMar>
            <w:vAlign w:val="center"/>
          </w:tcPr>
          <w:p>
            <w:pPr>
              <w:pStyle w:val="TableContents"/>
              <w:bidi w:val="0"/>
              <w:spacing w:before="0" w:after="283"/>
              <w:jc w:val="both"/>
              <w:rPr/>
            </w:pPr>
            <w:hyperlink r:id="rId24">
              <w:r>
                <w:rPr>
                  <w:rStyle w:val="InternetLink"/>
                  <w:sz w:val="20"/>
                </w:rPr>
                <w:t>Merger Agreement, dated as of February 15, 2023, by and among ASCA, NewGenIvf Limited, certain shareholders of NewGenIvf Limited, A SPAC I Mini Acquisition Corp., and A SPAC I Mini Sub Acquisition Corp. (incorporated by reference to Exhibit 2.1 to ASCA’s Current Report on Form 8-K filed with the Securities and Exchange Commission on February 16, 2023)</w:t>
              </w:r>
            </w:hyperlink>
          </w:p>
        </w:tc>
      </w:tr>
      <w:tr>
        <w:trPr/>
        <w:tc>
          <w:tcPr>
            <w:tcW w:w="808" w:type="dxa"/>
            <w:tcBorders/>
            <w:shd w:fill="CCEEFF" w:val="clear"/>
            <w:tcMar>
              <w:bottom w:w="0" w:type="dxa"/>
            </w:tcMar>
            <w:vAlign w:val="center"/>
          </w:tcPr>
          <w:p>
            <w:pPr>
              <w:pStyle w:val="TableContents"/>
              <w:bidi w:val="0"/>
              <w:spacing w:before="0" w:after="283"/>
              <w:jc w:val="left"/>
              <w:rPr>
                <w:sz w:val="20"/>
              </w:rPr>
            </w:pPr>
            <w:r>
              <w:rPr>
                <w:sz w:val="20"/>
              </w:rPr>
              <w:t>10.2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7" w:type="dxa"/>
            <w:tcBorders/>
            <w:shd w:fill="CCEEFF" w:val="clear"/>
            <w:tcMar>
              <w:bottom w:w="0" w:type="dxa"/>
            </w:tcMar>
            <w:vAlign w:val="center"/>
          </w:tcPr>
          <w:p>
            <w:pPr>
              <w:pStyle w:val="TableContents"/>
              <w:bidi w:val="0"/>
              <w:spacing w:before="0" w:after="283"/>
              <w:jc w:val="both"/>
              <w:rPr/>
            </w:pPr>
            <w:hyperlink r:id="rId25">
              <w:r>
                <w:rPr>
                  <w:rStyle w:val="InternetLink"/>
                  <w:sz w:val="20"/>
                </w:rPr>
                <w:t>First Amendment to the Merger Agreement, dated June 12, 2023, by and among ASCA, NewGenIvf Limited, Principal Shareholders, A SPAC I Mini Acquisition Corp. and A SPAC I Mini Sub Acquisition Corp. (incorporated by reference to Exhibit 2.1 to ASCA’s Current Report on Form 8-K filed with the Securities and Exchange Commission on June 13, 2023)</w:t>
              </w:r>
            </w:hyperlink>
          </w:p>
        </w:tc>
      </w:tr>
      <w:tr>
        <w:trPr/>
        <w:tc>
          <w:tcPr>
            <w:tcW w:w="808" w:type="dxa"/>
            <w:tcBorders/>
            <w:shd w:fill="FFFFFF" w:val="clear"/>
            <w:tcMar>
              <w:bottom w:w="0" w:type="dxa"/>
            </w:tcMar>
            <w:vAlign w:val="center"/>
          </w:tcPr>
          <w:p>
            <w:pPr>
              <w:pStyle w:val="TableContents"/>
              <w:bidi w:val="0"/>
              <w:spacing w:before="0" w:after="283"/>
              <w:jc w:val="left"/>
              <w:rPr>
                <w:sz w:val="20"/>
              </w:rPr>
            </w:pPr>
            <w:r>
              <w:rPr>
                <w:sz w:val="20"/>
              </w:rPr>
              <w:t>10.3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307" w:type="dxa"/>
            <w:tcBorders/>
            <w:shd w:fill="FFFFFF" w:val="clear"/>
            <w:tcMar>
              <w:bottom w:w="0" w:type="dxa"/>
            </w:tcMar>
            <w:vAlign w:val="center"/>
          </w:tcPr>
          <w:p>
            <w:pPr>
              <w:pStyle w:val="TableContents"/>
              <w:bidi w:val="0"/>
              <w:spacing w:before="0" w:after="283"/>
              <w:jc w:val="both"/>
              <w:rPr/>
            </w:pPr>
            <w:hyperlink r:id="rId26">
              <w:r>
                <w:rPr>
                  <w:rStyle w:val="InternetLink"/>
                  <w:sz w:val="20"/>
                </w:rPr>
                <w:t>Second Amendment to the Merger Agreement, dated December 6, 2023, by and among ASCA, NewGenIvf Limited, Principal Shareholders, A SPAC I Mini Acquisition Corp. and A SPAC I Mini Sub Acquisition Corp. (incorporated by reference to Exhibit 2.1 to ASCA’s Current Report on Form 8-K filed with the Securities and Exchange Commission on December 6, 2023)</w:t>
              </w:r>
            </w:hyperlink>
          </w:p>
        </w:tc>
      </w:tr>
      <w:tr>
        <w:trPr/>
        <w:tc>
          <w:tcPr>
            <w:tcW w:w="808"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7" w:type="dxa"/>
            <w:tcBorders/>
            <w:shd w:fill="CCEEFF" w:val="clear"/>
            <w:tcMar>
              <w:bottom w:w="0" w:type="dxa"/>
            </w:tcMar>
            <w:vAlign w:val="center"/>
          </w:tcPr>
          <w:p>
            <w:pPr>
              <w:pStyle w:val="TableContents"/>
              <w:bidi w:val="0"/>
              <w:spacing w:before="0" w:after="283"/>
              <w:jc w:val="both"/>
              <w:rPr/>
            </w:pPr>
            <w:hyperlink r:id="rId27">
              <w:r>
                <w:rPr>
                  <w:rStyle w:val="InternetLink"/>
                  <w:sz w:val="20"/>
                </w:rPr>
                <w:t>Third Amendment to the Merger Agreement, dated March 1, 2024, by and among ASCA, NewGenIvf Limited, Principal Shareholders, A SPAC I Mini Acquisition Corp. and A SPAC I Mini Sub Acquisition Corp. (incorporated by reference to Exhibit 2.1 to ASCA’s Current Report on Form 8-K filed with the Securities and Exchange Commission on March 6, 2024)</w:t>
              </w:r>
            </w:hyperlink>
          </w:p>
        </w:tc>
      </w:tr>
      <w:tr>
        <w:trPr/>
        <w:tc>
          <w:tcPr>
            <w:tcW w:w="808" w:type="dxa"/>
            <w:tcBorders/>
            <w:shd w:fill="FFFFFF" w:val="clear"/>
            <w:tcMar>
              <w:bottom w:w="0" w:type="dxa"/>
            </w:tcMar>
            <w:vAlign w:val="center"/>
          </w:tcPr>
          <w:p>
            <w:pPr>
              <w:pStyle w:val="TableContents"/>
              <w:bidi w:val="0"/>
              <w:spacing w:before="0" w:after="283"/>
              <w:jc w:val="left"/>
              <w:rPr>
                <w:sz w:val="20"/>
              </w:rPr>
            </w:pPr>
            <w:r>
              <w:rPr>
                <w:sz w:val="20"/>
              </w:rPr>
              <w:t>10.5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307" w:type="dxa"/>
            <w:tcBorders/>
            <w:shd w:fill="FFFFFF" w:val="clear"/>
            <w:tcMar>
              <w:bottom w:w="0" w:type="dxa"/>
            </w:tcMar>
            <w:vAlign w:val="center"/>
          </w:tcPr>
          <w:p>
            <w:pPr>
              <w:pStyle w:val="TableContents"/>
              <w:bidi w:val="0"/>
              <w:spacing w:before="0" w:after="283"/>
              <w:jc w:val="both"/>
              <w:rPr/>
            </w:pPr>
            <w:hyperlink r:id="rId28">
              <w:r>
                <w:rPr>
                  <w:rStyle w:val="InternetLink"/>
                  <w:sz w:val="20"/>
                </w:rPr>
                <w:t>Stock Escrow Agreement, dated February 14, 2022 by and between ASCA and Continental Stock Transfer &amp; Trust Company (incorporated by reference to Exhibit 10.5 to ASCA’s Current Report on Form 8-K filed with the Securities and Exchange Commission on February 18, 2022)</w:t>
              </w:r>
            </w:hyperlink>
          </w:p>
        </w:tc>
      </w:tr>
      <w:tr>
        <w:trPr/>
        <w:tc>
          <w:tcPr>
            <w:tcW w:w="808" w:type="dxa"/>
            <w:tcBorders/>
            <w:shd w:fill="CCEEFF" w:val="clear"/>
            <w:tcMar>
              <w:bottom w:w="0" w:type="dxa"/>
            </w:tcMar>
            <w:vAlign w:val="center"/>
          </w:tcPr>
          <w:p>
            <w:pPr>
              <w:pStyle w:val="TableContents"/>
              <w:bidi w:val="0"/>
              <w:spacing w:before="0" w:after="283"/>
              <w:jc w:val="left"/>
              <w:rPr>
                <w:sz w:val="20"/>
              </w:rPr>
            </w:pPr>
            <w:r>
              <w:rPr>
                <w:sz w:val="20"/>
              </w:rPr>
              <w:t>10.6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7" w:type="dxa"/>
            <w:tcBorders/>
            <w:shd w:fill="CCEEFF" w:val="clear"/>
            <w:tcMar>
              <w:bottom w:w="0" w:type="dxa"/>
            </w:tcMar>
            <w:vAlign w:val="center"/>
          </w:tcPr>
          <w:p>
            <w:pPr>
              <w:pStyle w:val="TableContents"/>
              <w:bidi w:val="0"/>
              <w:spacing w:before="0" w:after="283"/>
              <w:jc w:val="both"/>
              <w:rPr/>
            </w:pPr>
            <w:hyperlink r:id="rId29">
              <w:r>
                <w:rPr>
                  <w:rStyle w:val="InternetLink"/>
                  <w:sz w:val="20"/>
                </w:rPr>
                <w:t>Voting and Support Agreement, dated as of February 15, 2023, by and among A SPAC I Acquisition Corp., A SPAC I Mini Acquisition Corp., NewGenIvf Limited, and certain shareholders of NewGenIvf Limited (incorporated by reference to Exhibit 10.1 to ASCA’s Current Report on Form 8-K filed with the Securities and Exchange Commission on February 16, 2023)</w:t>
              </w:r>
            </w:hyperlink>
          </w:p>
        </w:tc>
      </w:tr>
      <w:tr>
        <w:trPr/>
        <w:tc>
          <w:tcPr>
            <w:tcW w:w="808" w:type="dxa"/>
            <w:tcBorders/>
            <w:shd w:fill="FFFFFF" w:val="clear"/>
            <w:tcMar>
              <w:bottom w:w="0" w:type="dxa"/>
            </w:tcMar>
            <w:vAlign w:val="center"/>
          </w:tcPr>
          <w:p>
            <w:pPr>
              <w:pStyle w:val="TableContents"/>
              <w:bidi w:val="0"/>
              <w:spacing w:before="0" w:after="283"/>
              <w:jc w:val="left"/>
              <w:rPr>
                <w:sz w:val="20"/>
              </w:rPr>
            </w:pPr>
            <w:r>
              <w:rPr>
                <w:sz w:val="20"/>
              </w:rPr>
              <w:t>10.7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307" w:type="dxa"/>
            <w:tcBorders/>
            <w:shd w:fill="FFFFFF" w:val="clear"/>
            <w:tcMar>
              <w:bottom w:w="0" w:type="dxa"/>
            </w:tcMar>
            <w:vAlign w:val="center"/>
          </w:tcPr>
          <w:p>
            <w:pPr>
              <w:pStyle w:val="TableContents"/>
              <w:bidi w:val="0"/>
              <w:spacing w:before="0" w:after="283"/>
              <w:jc w:val="both"/>
              <w:rPr/>
            </w:pPr>
            <w:hyperlink r:id="rId30">
              <w:r>
                <w:rPr>
                  <w:rStyle w:val="InternetLink"/>
                  <w:sz w:val="20"/>
                </w:rPr>
                <w:t>Form of Amended and Restated Registration Rights Agreement (incorporated by reference to Exhibit 10.2 to ASCA’s Current Report on Form 8-K filed with the Securities and Exchange Commission on February 16, 2023)</w:t>
              </w:r>
            </w:hyperlink>
          </w:p>
        </w:tc>
      </w:tr>
      <w:tr>
        <w:trPr/>
        <w:tc>
          <w:tcPr>
            <w:tcW w:w="808" w:type="dxa"/>
            <w:tcBorders/>
            <w:shd w:fill="CCEEFF" w:val="clear"/>
            <w:tcMar>
              <w:bottom w:w="0" w:type="dxa"/>
            </w:tcMar>
            <w:vAlign w:val="center"/>
          </w:tcPr>
          <w:p>
            <w:pPr>
              <w:pStyle w:val="TableContents"/>
              <w:bidi w:val="0"/>
              <w:spacing w:before="0" w:after="283"/>
              <w:jc w:val="left"/>
              <w:rPr>
                <w:sz w:val="20"/>
              </w:rPr>
            </w:pPr>
            <w:r>
              <w:rPr>
                <w:sz w:val="20"/>
              </w:rPr>
              <w:t>10.8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7" w:type="dxa"/>
            <w:tcBorders/>
            <w:shd w:fill="CCEEFF" w:val="clear"/>
            <w:tcMar>
              <w:bottom w:w="0" w:type="dxa"/>
            </w:tcMar>
            <w:vAlign w:val="center"/>
          </w:tcPr>
          <w:p>
            <w:pPr>
              <w:pStyle w:val="TableContents"/>
              <w:bidi w:val="0"/>
              <w:spacing w:before="0" w:after="283"/>
              <w:jc w:val="both"/>
              <w:rPr/>
            </w:pPr>
            <w:hyperlink r:id="rId31">
              <w:r>
                <w:rPr>
                  <w:rStyle w:val="InternetLink"/>
                  <w:sz w:val="20"/>
                </w:rPr>
                <w:t>Form of Lock-Up Agreement (incorporated by reference to exhibit 4.8 of the Company’s report on Form 20-F filed with the SEC on April 9, 2024)</w:t>
              </w:r>
            </w:hyperlink>
          </w:p>
        </w:tc>
      </w:tr>
      <w:tr>
        <w:trPr/>
        <w:tc>
          <w:tcPr>
            <w:tcW w:w="808" w:type="dxa"/>
            <w:tcBorders/>
            <w:shd w:fill="FFFFFF" w:val="clear"/>
            <w:tcMar>
              <w:bottom w:w="0" w:type="dxa"/>
            </w:tcMar>
            <w:vAlign w:val="center"/>
          </w:tcPr>
          <w:p>
            <w:pPr>
              <w:pStyle w:val="TableContents"/>
              <w:bidi w:val="0"/>
              <w:spacing w:before="0" w:after="283"/>
              <w:jc w:val="left"/>
              <w:rPr>
                <w:sz w:val="20"/>
              </w:rPr>
            </w:pPr>
            <w:r>
              <w:rPr>
                <w:sz w:val="20"/>
              </w:rPr>
              <w:t>10.9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307" w:type="dxa"/>
            <w:tcBorders/>
            <w:shd w:fill="FFFFFF" w:val="clear"/>
            <w:tcMar>
              <w:bottom w:w="0" w:type="dxa"/>
            </w:tcMar>
            <w:vAlign w:val="center"/>
          </w:tcPr>
          <w:p>
            <w:pPr>
              <w:pStyle w:val="TableContents"/>
              <w:bidi w:val="0"/>
              <w:spacing w:before="0" w:after="283"/>
              <w:jc w:val="both"/>
              <w:rPr/>
            </w:pPr>
            <w:hyperlink r:id="rId32">
              <w:r>
                <w:rPr>
                  <w:rStyle w:val="InternetLink"/>
                  <w:sz w:val="20"/>
                </w:rPr>
                <w:t>Securities Purchase Agreement, dated February 29, 2024, by and among ASCA, The Company, Legacy NewGenIvf, the Buyers and Merger Sub (incorporated by reference to Exhibit 10.1 to ASCA’s Current Report on Form 8-K filed with the Securities and Exchange Commission on March 6, 2024)</w:t>
              </w:r>
            </w:hyperlink>
          </w:p>
        </w:tc>
      </w:tr>
      <w:tr>
        <w:trPr/>
        <w:tc>
          <w:tcPr>
            <w:tcW w:w="808" w:type="dxa"/>
            <w:tcBorders/>
            <w:shd w:fill="CCEEFF" w:val="clear"/>
            <w:tcMar>
              <w:bottom w:w="0" w:type="dxa"/>
            </w:tcMar>
            <w:vAlign w:val="center"/>
          </w:tcPr>
          <w:p>
            <w:pPr>
              <w:pStyle w:val="TableContents"/>
              <w:bidi w:val="0"/>
              <w:spacing w:before="0" w:after="283"/>
              <w:jc w:val="left"/>
              <w:rPr>
                <w:sz w:val="20"/>
              </w:rPr>
            </w:pPr>
            <w:r>
              <w:rPr>
                <w:sz w:val="20"/>
              </w:rPr>
              <w:t>10.10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7" w:type="dxa"/>
            <w:tcBorders/>
            <w:shd w:fill="CCEEFF" w:val="clear"/>
            <w:tcMar>
              <w:bottom w:w="0" w:type="dxa"/>
            </w:tcMar>
            <w:vAlign w:val="center"/>
          </w:tcPr>
          <w:p>
            <w:pPr>
              <w:pStyle w:val="TableContents"/>
              <w:bidi w:val="0"/>
              <w:spacing w:before="0" w:after="283"/>
              <w:jc w:val="both"/>
              <w:rPr/>
            </w:pPr>
            <w:hyperlink r:id="rId33">
              <w:r>
                <w:rPr>
                  <w:rStyle w:val="InternetLink"/>
                  <w:sz w:val="20"/>
                </w:rPr>
                <w:t>Form of Note between The Company and the Buyers (incorporated by reference to Exhibit 10.2 to ASCA’s Current Report on Form 8-K filed with the Securities and Exchange Commission on March 6, 2024)</w:t>
              </w:r>
            </w:hyperlink>
          </w:p>
        </w:tc>
      </w:tr>
      <w:tr>
        <w:trPr/>
        <w:tc>
          <w:tcPr>
            <w:tcW w:w="808" w:type="dxa"/>
            <w:tcBorders/>
            <w:shd w:fill="FFFFFF" w:val="clear"/>
            <w:tcMar>
              <w:bottom w:w="0" w:type="dxa"/>
            </w:tcMar>
            <w:vAlign w:val="center"/>
          </w:tcPr>
          <w:p>
            <w:pPr>
              <w:pStyle w:val="TableContents"/>
              <w:bidi w:val="0"/>
              <w:spacing w:before="0" w:after="283"/>
              <w:jc w:val="left"/>
              <w:rPr>
                <w:sz w:val="20"/>
              </w:rPr>
            </w:pPr>
            <w:r>
              <w:rPr>
                <w:sz w:val="20"/>
              </w:rPr>
              <w:t>10.11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307" w:type="dxa"/>
            <w:tcBorders/>
            <w:shd w:fill="FFFFFF" w:val="clear"/>
            <w:tcMar>
              <w:bottom w:w="0" w:type="dxa"/>
            </w:tcMar>
            <w:vAlign w:val="center"/>
          </w:tcPr>
          <w:p>
            <w:pPr>
              <w:pStyle w:val="TableContents"/>
              <w:bidi w:val="0"/>
              <w:spacing w:before="0" w:after="283"/>
              <w:jc w:val="both"/>
              <w:rPr/>
            </w:pPr>
            <w:hyperlink r:id="rId34">
              <w:r>
                <w:rPr>
                  <w:rStyle w:val="InternetLink"/>
                  <w:sz w:val="20"/>
                </w:rPr>
                <w:t>Acknowledgement Agreement, dated March 1, 2024, by and among ASCA, Legacy NewGenIvf and Chardan (incorporated by reference to Exhibit 10.3 to ASCA’s Current Report on Form 8-K filed with the Securities and Exchange Commission on March 6, 2024)</w:t>
              </w:r>
            </w:hyperlink>
          </w:p>
        </w:tc>
      </w:tr>
      <w:tr>
        <w:trPr/>
        <w:tc>
          <w:tcPr>
            <w:tcW w:w="808" w:type="dxa"/>
            <w:tcBorders/>
            <w:shd w:fill="CCEEFF" w:val="clear"/>
            <w:tcMar>
              <w:bottom w:w="0" w:type="dxa"/>
            </w:tcMar>
            <w:vAlign w:val="center"/>
          </w:tcPr>
          <w:p>
            <w:pPr>
              <w:pStyle w:val="TableContents"/>
              <w:bidi w:val="0"/>
              <w:spacing w:before="0" w:after="283"/>
              <w:jc w:val="left"/>
              <w:rPr>
                <w:sz w:val="20"/>
              </w:rPr>
            </w:pPr>
            <w:r>
              <w:rPr>
                <w:sz w:val="20"/>
              </w:rPr>
              <w:t>10.12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7" w:type="dxa"/>
            <w:tcBorders/>
            <w:shd w:fill="CCEEFF" w:val="clear"/>
            <w:tcMar>
              <w:bottom w:w="0" w:type="dxa"/>
            </w:tcMar>
            <w:vAlign w:val="center"/>
          </w:tcPr>
          <w:p>
            <w:pPr>
              <w:pStyle w:val="TableContents"/>
              <w:bidi w:val="0"/>
              <w:spacing w:before="0" w:after="283"/>
              <w:jc w:val="both"/>
              <w:rPr/>
            </w:pPr>
            <w:hyperlink r:id="rId35">
              <w:r>
                <w:rPr>
                  <w:rStyle w:val="InternetLink"/>
                  <w:sz w:val="20"/>
                </w:rPr>
                <w:t>Power Generator Lease Contract, dated January 10, 2021, between BD &amp; H TECH Co., LTD. and First Fertility Phnom Penh Ltd (English Translation) (incorporated by reference to Exhibit 10.19 to the Company’s registration statement on Form F-4 (File No. 333-275208), filed with the Securities and Exchange Commission on October 27, 2023)</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0"/>
        <w:gridCol w:w="90"/>
        <w:gridCol w:w="9585"/>
      </w:tblGrid>
      <w:tr>
        <w:trPr/>
        <w:tc>
          <w:tcPr>
            <w:tcW w:w="530" w:type="dxa"/>
            <w:tcBorders/>
            <w:shd w:fill="CCEEFF" w:val="clear"/>
            <w:vAlign w:val="center"/>
          </w:tcPr>
          <w:p>
            <w:pPr>
              <w:pStyle w:val="TableContents"/>
              <w:bidi w:val="0"/>
              <w:spacing w:before="0" w:after="283"/>
              <w:jc w:val="left"/>
              <w:rPr>
                <w:sz w:val="20"/>
              </w:rPr>
            </w:pPr>
            <w:r>
              <w:rPr>
                <w:sz w:val="20"/>
              </w:rPr>
              <w:t>10.13</w:t>
            </w:r>
          </w:p>
        </w:tc>
        <w:tc>
          <w:tcPr>
            <w:tcW w:w="90" w:type="dxa"/>
            <w:tcBorders/>
            <w:shd w:fill="CCEEFF" w:val="clear"/>
            <w:vAlign w:val="center"/>
          </w:tcPr>
          <w:p>
            <w:pPr>
              <w:pStyle w:val="TableContents"/>
              <w:bidi w:val="0"/>
              <w:spacing w:before="0" w:after="283"/>
              <w:jc w:val="left"/>
              <w:rPr/>
            </w:pPr>
            <w:r>
              <w:rPr/>
              <w:t> </w:t>
            </w:r>
          </w:p>
        </w:tc>
        <w:tc>
          <w:tcPr>
            <w:tcW w:w="9585" w:type="dxa"/>
            <w:tcBorders/>
            <w:shd w:fill="CCEEFF" w:val="clear"/>
            <w:vAlign w:val="center"/>
          </w:tcPr>
          <w:p>
            <w:pPr>
              <w:pStyle w:val="TableContents"/>
              <w:bidi w:val="0"/>
              <w:spacing w:before="0" w:after="283"/>
              <w:jc w:val="both"/>
              <w:rPr/>
            </w:pPr>
            <w:hyperlink r:id="rId36">
              <w:r>
                <w:rPr>
                  <w:rStyle w:val="InternetLink"/>
                  <w:sz w:val="20"/>
                </w:rPr>
                <w:t>Property Lease Contract, dated June 22, 2020, between SOK HEANG and First Fertility Phnom Penh Ltd (English Translation) (incorporated by reference to Exhibit 10.20 to the Company’s registration statement on Form F-4 (File No. 333-275208), filed with the Securities and Exchange Commission on October 27, 2023)</w:t>
              </w:r>
            </w:hyperlink>
          </w:p>
        </w:tc>
      </w:tr>
      <w:tr>
        <w:trPr/>
        <w:tc>
          <w:tcPr>
            <w:tcW w:w="530" w:type="dxa"/>
            <w:tcBorders/>
            <w:shd w:fill="FFFFFF" w:val="clear"/>
            <w:vAlign w:val="center"/>
          </w:tcPr>
          <w:p>
            <w:pPr>
              <w:pStyle w:val="TableContents"/>
              <w:bidi w:val="0"/>
              <w:spacing w:before="0" w:after="283"/>
              <w:jc w:val="left"/>
              <w:rPr>
                <w:sz w:val="20"/>
              </w:rPr>
            </w:pPr>
            <w:r>
              <w:rPr>
                <w:sz w:val="20"/>
              </w:rPr>
              <w:t>10.14</w:t>
            </w:r>
          </w:p>
        </w:tc>
        <w:tc>
          <w:tcPr>
            <w:tcW w:w="90" w:type="dxa"/>
            <w:tcBorders/>
            <w:shd w:fill="FFFFFF" w:val="clear"/>
            <w:vAlign w:val="center"/>
          </w:tcPr>
          <w:p>
            <w:pPr>
              <w:pStyle w:val="TableContents"/>
              <w:bidi w:val="0"/>
              <w:spacing w:before="0" w:after="283"/>
              <w:jc w:val="left"/>
              <w:rPr/>
            </w:pPr>
            <w:r>
              <w:rPr/>
              <w:t> </w:t>
            </w:r>
          </w:p>
        </w:tc>
        <w:tc>
          <w:tcPr>
            <w:tcW w:w="9585" w:type="dxa"/>
            <w:tcBorders/>
            <w:shd w:fill="FFFFFF" w:val="clear"/>
            <w:vAlign w:val="center"/>
          </w:tcPr>
          <w:p>
            <w:pPr>
              <w:pStyle w:val="TableContents"/>
              <w:bidi w:val="0"/>
              <w:spacing w:before="0" w:after="283"/>
              <w:jc w:val="both"/>
              <w:rPr/>
            </w:pPr>
            <w:hyperlink r:id="rId37">
              <w:r>
                <w:rPr>
                  <w:rStyle w:val="InternetLink"/>
                  <w:sz w:val="20"/>
                </w:rPr>
                <w:t>MicroSort Lease and Services Agreement, dated March 29, 2019, between First Fertility Phnom Penh Ltd and MicroSort International (incorporated by reference to Exhibit 10.21 to the Company’s registration statement on Form F-4 (File No. 333-275208), filed with the Securities and Exchange Commission on October 27, 2023)</w:t>
              </w:r>
            </w:hyperlink>
          </w:p>
        </w:tc>
      </w:tr>
      <w:tr>
        <w:trPr/>
        <w:tc>
          <w:tcPr>
            <w:tcW w:w="530" w:type="dxa"/>
            <w:tcBorders/>
            <w:shd w:fill="CCEEFF" w:val="clear"/>
            <w:vAlign w:val="center"/>
          </w:tcPr>
          <w:p>
            <w:pPr>
              <w:pStyle w:val="TableContents"/>
              <w:bidi w:val="0"/>
              <w:spacing w:before="0" w:after="283"/>
              <w:jc w:val="left"/>
              <w:rPr>
                <w:sz w:val="20"/>
              </w:rPr>
            </w:pPr>
            <w:r>
              <w:rPr>
                <w:sz w:val="20"/>
              </w:rPr>
              <w:t>10.15</w:t>
            </w:r>
          </w:p>
        </w:tc>
        <w:tc>
          <w:tcPr>
            <w:tcW w:w="90" w:type="dxa"/>
            <w:tcBorders/>
            <w:shd w:fill="CCEEFF" w:val="clear"/>
            <w:vAlign w:val="center"/>
          </w:tcPr>
          <w:p>
            <w:pPr>
              <w:pStyle w:val="TableContents"/>
              <w:bidi w:val="0"/>
              <w:spacing w:before="0" w:after="283"/>
              <w:jc w:val="left"/>
              <w:rPr/>
            </w:pPr>
            <w:r>
              <w:rPr/>
              <w:t> </w:t>
            </w:r>
          </w:p>
        </w:tc>
        <w:tc>
          <w:tcPr>
            <w:tcW w:w="9585" w:type="dxa"/>
            <w:tcBorders/>
            <w:shd w:fill="CCEEFF" w:val="clear"/>
            <w:vAlign w:val="center"/>
          </w:tcPr>
          <w:p>
            <w:pPr>
              <w:pStyle w:val="TableContents"/>
              <w:bidi w:val="0"/>
              <w:spacing w:before="0" w:after="283"/>
              <w:jc w:val="both"/>
              <w:rPr/>
            </w:pPr>
            <w:hyperlink r:id="rId38">
              <w:r>
                <w:rPr>
                  <w:rStyle w:val="InternetLink"/>
                  <w:sz w:val="20"/>
                </w:rPr>
                <w:t>Management and Administrative Services Agreement, dated November 1, 2022, between First Fertility PGS Center Ltd and Med Holdings Ltd (incorporated by reference to Exhibit 10.22 to the Company’s registration statement on Form F-4 (File No. 333-275208), filed with the Securities and Exchange Commission on October 27, 2023)</w:t>
              </w:r>
            </w:hyperlink>
          </w:p>
        </w:tc>
      </w:tr>
      <w:tr>
        <w:trPr/>
        <w:tc>
          <w:tcPr>
            <w:tcW w:w="530" w:type="dxa"/>
            <w:tcBorders/>
            <w:shd w:fill="FFFFFF" w:val="clear"/>
            <w:vAlign w:val="center"/>
          </w:tcPr>
          <w:p>
            <w:pPr>
              <w:pStyle w:val="TableContents"/>
              <w:bidi w:val="0"/>
              <w:spacing w:before="0" w:after="283"/>
              <w:jc w:val="left"/>
              <w:rPr>
                <w:sz w:val="20"/>
              </w:rPr>
            </w:pPr>
            <w:r>
              <w:rPr>
                <w:sz w:val="20"/>
              </w:rPr>
              <w:t>10.16</w:t>
            </w:r>
          </w:p>
        </w:tc>
        <w:tc>
          <w:tcPr>
            <w:tcW w:w="90" w:type="dxa"/>
            <w:tcBorders/>
            <w:shd w:fill="FFFFFF" w:val="clear"/>
            <w:vAlign w:val="center"/>
          </w:tcPr>
          <w:p>
            <w:pPr>
              <w:pStyle w:val="TableContents"/>
              <w:bidi w:val="0"/>
              <w:spacing w:before="0" w:after="283"/>
              <w:jc w:val="left"/>
              <w:rPr/>
            </w:pPr>
            <w:r>
              <w:rPr/>
              <w:t> </w:t>
            </w:r>
          </w:p>
        </w:tc>
        <w:tc>
          <w:tcPr>
            <w:tcW w:w="9585" w:type="dxa"/>
            <w:tcBorders/>
            <w:shd w:fill="FFFFFF" w:val="clear"/>
            <w:vAlign w:val="center"/>
          </w:tcPr>
          <w:p>
            <w:pPr>
              <w:pStyle w:val="TableContents"/>
              <w:bidi w:val="0"/>
              <w:spacing w:before="0" w:after="283"/>
              <w:jc w:val="both"/>
              <w:rPr/>
            </w:pPr>
            <w:hyperlink r:id="rId39">
              <w:r>
                <w:rPr>
                  <w:rStyle w:val="InternetLink"/>
                  <w:sz w:val="20"/>
                </w:rPr>
                <w:t>MicroSort Lease and Services Agreement, dated April, 8, 2019, between First Fertility PGS Center Ltd. and MicroSort International (incorporated by reference to Exhibit 10.23 to the Company’s registration statement on Form F-4 (File No. 333-275208), filed with the Securities and Exchange Commission on October 27, 2023)</w:t>
              </w:r>
            </w:hyperlink>
          </w:p>
        </w:tc>
      </w:tr>
      <w:tr>
        <w:trPr/>
        <w:tc>
          <w:tcPr>
            <w:tcW w:w="530" w:type="dxa"/>
            <w:tcBorders/>
            <w:shd w:fill="CCEEFF" w:val="clear"/>
            <w:vAlign w:val="center"/>
          </w:tcPr>
          <w:p>
            <w:pPr>
              <w:pStyle w:val="TableContents"/>
              <w:bidi w:val="0"/>
              <w:spacing w:before="0" w:after="283"/>
              <w:jc w:val="left"/>
              <w:rPr>
                <w:sz w:val="20"/>
              </w:rPr>
            </w:pPr>
            <w:r>
              <w:rPr>
                <w:sz w:val="20"/>
              </w:rPr>
              <w:t>10.17</w:t>
            </w:r>
          </w:p>
        </w:tc>
        <w:tc>
          <w:tcPr>
            <w:tcW w:w="90" w:type="dxa"/>
            <w:tcBorders/>
            <w:shd w:fill="CCEEFF" w:val="clear"/>
            <w:vAlign w:val="center"/>
          </w:tcPr>
          <w:p>
            <w:pPr>
              <w:pStyle w:val="TableContents"/>
              <w:bidi w:val="0"/>
              <w:spacing w:before="0" w:after="283"/>
              <w:jc w:val="left"/>
              <w:rPr/>
            </w:pPr>
            <w:r>
              <w:rPr/>
              <w:t> </w:t>
            </w:r>
          </w:p>
        </w:tc>
        <w:tc>
          <w:tcPr>
            <w:tcW w:w="9585" w:type="dxa"/>
            <w:tcBorders/>
            <w:shd w:fill="CCEEFF" w:val="clear"/>
            <w:vAlign w:val="center"/>
          </w:tcPr>
          <w:p>
            <w:pPr>
              <w:pStyle w:val="TableContents"/>
              <w:bidi w:val="0"/>
              <w:spacing w:before="0" w:after="283"/>
              <w:jc w:val="both"/>
              <w:rPr/>
            </w:pPr>
            <w:hyperlink r:id="rId40">
              <w:r>
                <w:rPr>
                  <w:rStyle w:val="InternetLink"/>
                  <w:sz w:val="20"/>
                </w:rPr>
                <w:t>Medical Consulting Service Agreement, dated January 1, 2021, between First Fertility PGS Center Ltd and First Fertility Phnom Penh Ltd (incorporated by reference to Exhibit 10.24 to the Company’s registration statement on Form F-4 (File No. 333-275208), filed with the Securities and Exchange Commission on October 27, 2023)</w:t>
              </w:r>
            </w:hyperlink>
          </w:p>
        </w:tc>
      </w:tr>
      <w:tr>
        <w:trPr/>
        <w:tc>
          <w:tcPr>
            <w:tcW w:w="530" w:type="dxa"/>
            <w:tcBorders/>
            <w:shd w:fill="FFFFFF" w:val="clear"/>
            <w:vAlign w:val="center"/>
          </w:tcPr>
          <w:p>
            <w:pPr>
              <w:pStyle w:val="TableContents"/>
              <w:bidi w:val="0"/>
              <w:spacing w:before="0" w:after="283"/>
              <w:jc w:val="left"/>
              <w:rPr>
                <w:sz w:val="20"/>
              </w:rPr>
            </w:pPr>
            <w:r>
              <w:rPr>
                <w:sz w:val="20"/>
              </w:rPr>
              <w:t>10.18</w:t>
            </w:r>
          </w:p>
        </w:tc>
        <w:tc>
          <w:tcPr>
            <w:tcW w:w="90" w:type="dxa"/>
            <w:tcBorders/>
            <w:shd w:fill="FFFFFF" w:val="clear"/>
            <w:vAlign w:val="center"/>
          </w:tcPr>
          <w:p>
            <w:pPr>
              <w:pStyle w:val="TableContents"/>
              <w:bidi w:val="0"/>
              <w:spacing w:before="0" w:after="283"/>
              <w:jc w:val="left"/>
              <w:rPr/>
            </w:pPr>
            <w:r>
              <w:rPr/>
              <w:t> </w:t>
            </w:r>
          </w:p>
        </w:tc>
        <w:tc>
          <w:tcPr>
            <w:tcW w:w="9585" w:type="dxa"/>
            <w:tcBorders/>
            <w:shd w:fill="FFFFFF" w:val="clear"/>
            <w:vAlign w:val="center"/>
          </w:tcPr>
          <w:p>
            <w:pPr>
              <w:pStyle w:val="TableContents"/>
              <w:bidi w:val="0"/>
              <w:spacing w:before="0" w:after="283"/>
              <w:jc w:val="both"/>
              <w:rPr/>
            </w:pPr>
            <w:hyperlink r:id="rId41">
              <w:r>
                <w:rPr>
                  <w:rStyle w:val="InternetLink"/>
                  <w:sz w:val="20"/>
                </w:rPr>
                <w:t>Receivables Purchase Agreement, dated December, 28, 2022, between First Fertility PGS Center Ltd and Mr. Siu, Wing Fung Alfred (incorporated by reference to Exhibit 10.25 to the Company’s registration statement on Form F-4 (File No. 333-275208), filed with the Securities and Exchange Commission on October 27, 2023)</w:t>
              </w:r>
            </w:hyperlink>
          </w:p>
        </w:tc>
      </w:tr>
      <w:tr>
        <w:trPr/>
        <w:tc>
          <w:tcPr>
            <w:tcW w:w="530" w:type="dxa"/>
            <w:tcBorders/>
            <w:shd w:fill="CCEEFF" w:val="clear"/>
            <w:vAlign w:val="center"/>
          </w:tcPr>
          <w:p>
            <w:pPr>
              <w:pStyle w:val="TableContents"/>
              <w:bidi w:val="0"/>
              <w:spacing w:before="0" w:after="283"/>
              <w:jc w:val="left"/>
              <w:rPr>
                <w:sz w:val="20"/>
              </w:rPr>
            </w:pPr>
            <w:r>
              <w:rPr>
                <w:sz w:val="20"/>
              </w:rPr>
              <w:t>10.19</w:t>
            </w:r>
          </w:p>
        </w:tc>
        <w:tc>
          <w:tcPr>
            <w:tcW w:w="90" w:type="dxa"/>
            <w:tcBorders/>
            <w:shd w:fill="CCEEFF" w:val="clear"/>
            <w:vAlign w:val="center"/>
          </w:tcPr>
          <w:p>
            <w:pPr>
              <w:pStyle w:val="TableContents"/>
              <w:bidi w:val="0"/>
              <w:spacing w:before="0" w:after="283"/>
              <w:jc w:val="left"/>
              <w:rPr/>
            </w:pPr>
            <w:r>
              <w:rPr/>
              <w:t> </w:t>
            </w:r>
          </w:p>
        </w:tc>
        <w:tc>
          <w:tcPr>
            <w:tcW w:w="9585" w:type="dxa"/>
            <w:tcBorders/>
            <w:shd w:fill="CCEEFF" w:val="clear"/>
            <w:vAlign w:val="center"/>
          </w:tcPr>
          <w:p>
            <w:pPr>
              <w:pStyle w:val="TableContents"/>
              <w:bidi w:val="0"/>
              <w:spacing w:before="0" w:after="283"/>
              <w:jc w:val="both"/>
              <w:rPr/>
            </w:pPr>
            <w:hyperlink r:id="rId42">
              <w:r>
                <w:rPr>
                  <w:rStyle w:val="InternetLink"/>
                  <w:sz w:val="20"/>
                </w:rPr>
                <w:t>Master Services Agreement, dated December 21, 2022, between First Fertility PGS Center Ltd and First Fertility Phnom Penh Ltd (incorporated by reference to Exhibit 10.26 to the Company’s registration statement on Form F-4 (File No. 333-275208), filed with the Securities and Exchange Commission on October 27, 2023)</w:t>
              </w:r>
            </w:hyperlink>
          </w:p>
        </w:tc>
      </w:tr>
      <w:tr>
        <w:trPr/>
        <w:tc>
          <w:tcPr>
            <w:tcW w:w="530" w:type="dxa"/>
            <w:tcBorders/>
            <w:shd w:fill="FFFFFF" w:val="clear"/>
            <w:vAlign w:val="center"/>
          </w:tcPr>
          <w:p>
            <w:pPr>
              <w:pStyle w:val="TableContents"/>
              <w:bidi w:val="0"/>
              <w:spacing w:before="0" w:after="283"/>
              <w:jc w:val="left"/>
              <w:rPr>
                <w:sz w:val="20"/>
              </w:rPr>
            </w:pPr>
            <w:r>
              <w:rPr>
                <w:sz w:val="20"/>
              </w:rPr>
              <w:t>10.20</w:t>
            </w:r>
          </w:p>
        </w:tc>
        <w:tc>
          <w:tcPr>
            <w:tcW w:w="90" w:type="dxa"/>
            <w:tcBorders/>
            <w:shd w:fill="FFFFFF" w:val="clear"/>
            <w:vAlign w:val="center"/>
          </w:tcPr>
          <w:p>
            <w:pPr>
              <w:pStyle w:val="TableContents"/>
              <w:bidi w:val="0"/>
              <w:spacing w:before="0" w:after="283"/>
              <w:jc w:val="left"/>
              <w:rPr/>
            </w:pPr>
            <w:r>
              <w:rPr/>
              <w:t> </w:t>
            </w:r>
          </w:p>
        </w:tc>
        <w:tc>
          <w:tcPr>
            <w:tcW w:w="9585" w:type="dxa"/>
            <w:tcBorders/>
            <w:shd w:fill="FFFFFF" w:val="clear"/>
            <w:vAlign w:val="center"/>
          </w:tcPr>
          <w:p>
            <w:pPr>
              <w:pStyle w:val="TableContents"/>
              <w:bidi w:val="0"/>
              <w:spacing w:before="0" w:after="283"/>
              <w:jc w:val="both"/>
              <w:rPr/>
            </w:pPr>
            <w:hyperlink r:id="rId43">
              <w:r>
                <w:rPr>
                  <w:rStyle w:val="InternetLink"/>
                  <w:sz w:val="20"/>
                </w:rPr>
                <w:t>Form of Agreement for Storage of Embryos, Eggs, and Sperms Service between First Fertility PGS Center Ltd and Reproductive Expert Co Ltd (incorporated by reference to Exhibit 10.27 to the Company’s registration statement on Form F-4 (File No. 333-275208), filed with the Securities and Exchange Commission on October 27, 2023)</w:t>
              </w:r>
            </w:hyperlink>
          </w:p>
        </w:tc>
      </w:tr>
      <w:tr>
        <w:trPr/>
        <w:tc>
          <w:tcPr>
            <w:tcW w:w="530" w:type="dxa"/>
            <w:tcBorders/>
            <w:shd w:fill="CCEEFF" w:val="clear"/>
            <w:vAlign w:val="center"/>
          </w:tcPr>
          <w:p>
            <w:pPr>
              <w:pStyle w:val="TableContents"/>
              <w:bidi w:val="0"/>
              <w:spacing w:before="0" w:after="283"/>
              <w:jc w:val="left"/>
              <w:rPr>
                <w:sz w:val="20"/>
              </w:rPr>
            </w:pPr>
            <w:r>
              <w:rPr>
                <w:sz w:val="20"/>
              </w:rPr>
              <w:t>10.21</w:t>
            </w:r>
          </w:p>
        </w:tc>
        <w:tc>
          <w:tcPr>
            <w:tcW w:w="90" w:type="dxa"/>
            <w:tcBorders/>
            <w:shd w:fill="CCEEFF" w:val="clear"/>
            <w:vAlign w:val="center"/>
          </w:tcPr>
          <w:p>
            <w:pPr>
              <w:pStyle w:val="TableContents"/>
              <w:bidi w:val="0"/>
              <w:spacing w:before="0" w:after="283"/>
              <w:jc w:val="left"/>
              <w:rPr/>
            </w:pPr>
            <w:r>
              <w:rPr/>
              <w:t> </w:t>
            </w:r>
          </w:p>
        </w:tc>
        <w:tc>
          <w:tcPr>
            <w:tcW w:w="9585" w:type="dxa"/>
            <w:tcBorders/>
            <w:shd w:fill="CCEEFF" w:val="clear"/>
            <w:vAlign w:val="center"/>
          </w:tcPr>
          <w:p>
            <w:pPr>
              <w:pStyle w:val="TableContents"/>
              <w:bidi w:val="0"/>
              <w:spacing w:before="0" w:after="283"/>
              <w:jc w:val="both"/>
              <w:rPr/>
            </w:pPr>
            <w:hyperlink r:id="rId44">
              <w:r>
                <w:rPr>
                  <w:rStyle w:val="InternetLink"/>
                  <w:sz w:val="20"/>
                </w:rPr>
                <w:t>Form of NewGenIvf Group Limited 2024 Share Incentive Plan (incorporated by reference to exhibit 4.21 of the Company’s report on Form 20-F filed with the SEC on April 9, 2024)</w:t>
              </w:r>
            </w:hyperlink>
          </w:p>
        </w:tc>
      </w:tr>
      <w:tr>
        <w:trPr/>
        <w:tc>
          <w:tcPr>
            <w:tcW w:w="530" w:type="dxa"/>
            <w:tcBorders/>
            <w:shd w:fill="FFFFFF" w:val="clear"/>
            <w:vAlign w:val="center"/>
          </w:tcPr>
          <w:p>
            <w:pPr>
              <w:pStyle w:val="TableContents"/>
              <w:bidi w:val="0"/>
              <w:spacing w:before="0" w:after="283"/>
              <w:jc w:val="left"/>
              <w:rPr>
                <w:sz w:val="20"/>
              </w:rPr>
            </w:pPr>
            <w:r>
              <w:rPr>
                <w:sz w:val="20"/>
              </w:rPr>
              <w:t>10.22</w:t>
            </w:r>
          </w:p>
        </w:tc>
        <w:tc>
          <w:tcPr>
            <w:tcW w:w="90" w:type="dxa"/>
            <w:tcBorders/>
            <w:shd w:fill="FFFFFF" w:val="clear"/>
            <w:vAlign w:val="center"/>
          </w:tcPr>
          <w:p>
            <w:pPr>
              <w:pStyle w:val="TableContents"/>
              <w:bidi w:val="0"/>
              <w:spacing w:before="0" w:after="283"/>
              <w:jc w:val="left"/>
              <w:rPr/>
            </w:pPr>
            <w:r>
              <w:rPr/>
              <w:t> </w:t>
            </w:r>
          </w:p>
        </w:tc>
        <w:tc>
          <w:tcPr>
            <w:tcW w:w="9585" w:type="dxa"/>
            <w:tcBorders/>
            <w:shd w:fill="FFFFFF" w:val="clear"/>
            <w:vAlign w:val="center"/>
          </w:tcPr>
          <w:p>
            <w:pPr>
              <w:pStyle w:val="TableContents"/>
              <w:bidi w:val="0"/>
              <w:spacing w:before="0" w:after="283"/>
              <w:jc w:val="both"/>
              <w:rPr/>
            </w:pPr>
            <w:hyperlink r:id="rId45">
              <w:r>
                <w:rPr>
                  <w:rStyle w:val="InternetLink"/>
                  <w:sz w:val="20"/>
                </w:rPr>
                <w:t>Securities Purchase Agreement between A SPAC I Mini Acquisition Corp. and JAK Opportunities VI LLC dated February 29, 2024 (incorporated by reference to Exhibit 4.1 of the Company’s current report on Form 6-K filed with the SEC on April 4, 2024)</w:t>
              </w:r>
            </w:hyperlink>
          </w:p>
        </w:tc>
      </w:tr>
      <w:tr>
        <w:trPr/>
        <w:tc>
          <w:tcPr>
            <w:tcW w:w="530" w:type="dxa"/>
            <w:tcBorders/>
            <w:shd w:fill="CCEEFF" w:val="clear"/>
            <w:vAlign w:val="center"/>
          </w:tcPr>
          <w:p>
            <w:pPr>
              <w:pStyle w:val="TableContents"/>
              <w:bidi w:val="0"/>
              <w:spacing w:before="0" w:after="283"/>
              <w:jc w:val="left"/>
              <w:rPr>
                <w:sz w:val="20"/>
              </w:rPr>
            </w:pPr>
            <w:r>
              <w:rPr>
                <w:sz w:val="20"/>
              </w:rPr>
              <w:t>10.23</w:t>
            </w:r>
          </w:p>
        </w:tc>
        <w:tc>
          <w:tcPr>
            <w:tcW w:w="90" w:type="dxa"/>
            <w:tcBorders/>
            <w:shd w:fill="CCEEFF" w:val="clear"/>
            <w:vAlign w:val="center"/>
          </w:tcPr>
          <w:p>
            <w:pPr>
              <w:pStyle w:val="TableContents"/>
              <w:bidi w:val="0"/>
              <w:spacing w:before="0" w:after="283"/>
              <w:jc w:val="left"/>
              <w:rPr/>
            </w:pPr>
            <w:r>
              <w:rPr/>
              <w:t> </w:t>
            </w:r>
          </w:p>
        </w:tc>
        <w:tc>
          <w:tcPr>
            <w:tcW w:w="9585" w:type="dxa"/>
            <w:tcBorders/>
            <w:shd w:fill="CCEEFF" w:val="clear"/>
            <w:vAlign w:val="center"/>
          </w:tcPr>
          <w:p>
            <w:pPr>
              <w:pStyle w:val="TableContents"/>
              <w:bidi w:val="0"/>
              <w:spacing w:before="0" w:after="283"/>
              <w:jc w:val="both"/>
              <w:rPr/>
            </w:pPr>
            <w:hyperlink r:id="rId46">
              <w:r>
                <w:rPr>
                  <w:rStyle w:val="InternetLink"/>
                  <w:sz w:val="20"/>
                </w:rPr>
                <w:t>Form of Note between A SPAC I Mini Acquisition Corp. and JAK Opportunities VI LLC dated February 29, 2024 (incorporated by reference to Exhibit 4.2 of the Company’s current report on Form 6-K filed with the SEC on April 4, 2024)</w:t>
              </w:r>
            </w:hyperlink>
          </w:p>
        </w:tc>
      </w:tr>
      <w:tr>
        <w:trPr/>
        <w:tc>
          <w:tcPr>
            <w:tcW w:w="530" w:type="dxa"/>
            <w:tcBorders/>
            <w:shd w:fill="FFFFFF" w:val="clear"/>
            <w:vAlign w:val="center"/>
          </w:tcPr>
          <w:p>
            <w:pPr>
              <w:pStyle w:val="TableContents"/>
              <w:bidi w:val="0"/>
              <w:spacing w:before="0" w:after="283"/>
              <w:jc w:val="left"/>
              <w:rPr>
                <w:sz w:val="20"/>
              </w:rPr>
            </w:pPr>
            <w:r>
              <w:rPr>
                <w:sz w:val="20"/>
              </w:rPr>
              <w:t>10.24</w:t>
            </w:r>
          </w:p>
        </w:tc>
        <w:tc>
          <w:tcPr>
            <w:tcW w:w="90" w:type="dxa"/>
            <w:tcBorders/>
            <w:shd w:fill="FFFFFF" w:val="clear"/>
            <w:vAlign w:val="center"/>
          </w:tcPr>
          <w:p>
            <w:pPr>
              <w:pStyle w:val="TableContents"/>
              <w:bidi w:val="0"/>
              <w:spacing w:before="0" w:after="283"/>
              <w:jc w:val="left"/>
              <w:rPr/>
            </w:pPr>
            <w:r>
              <w:rPr/>
              <w:t> </w:t>
            </w:r>
          </w:p>
        </w:tc>
        <w:tc>
          <w:tcPr>
            <w:tcW w:w="9585" w:type="dxa"/>
            <w:tcBorders/>
            <w:shd w:fill="FFFFFF" w:val="clear"/>
            <w:vAlign w:val="center"/>
          </w:tcPr>
          <w:p>
            <w:pPr>
              <w:pStyle w:val="TableContents"/>
              <w:bidi w:val="0"/>
              <w:spacing w:before="0" w:after="283"/>
              <w:jc w:val="both"/>
              <w:rPr/>
            </w:pPr>
            <w:hyperlink r:id="rId47">
              <w:r>
                <w:rPr>
                  <w:rStyle w:val="InternetLink"/>
                  <w:sz w:val="20"/>
                </w:rPr>
                <w:t>Securities Purchase Agreement between the Company and certain buyers dated August 7, 2024 (incorporated by reference to Exhibit 4.1 of the Company’s current report on Form 6-K filed with the SEC on August 16, 2024)</w:t>
              </w:r>
            </w:hyperlink>
          </w:p>
        </w:tc>
      </w:tr>
      <w:tr>
        <w:trPr/>
        <w:tc>
          <w:tcPr>
            <w:tcW w:w="530" w:type="dxa"/>
            <w:tcBorders/>
            <w:shd w:fill="CCEEFF" w:val="clear"/>
            <w:vAlign w:val="center"/>
          </w:tcPr>
          <w:p>
            <w:pPr>
              <w:pStyle w:val="TableContents"/>
              <w:bidi w:val="0"/>
              <w:spacing w:before="0" w:after="283"/>
              <w:jc w:val="left"/>
              <w:rPr>
                <w:sz w:val="20"/>
              </w:rPr>
            </w:pPr>
            <w:r>
              <w:rPr>
                <w:sz w:val="20"/>
              </w:rPr>
              <w:t>10.25</w:t>
            </w:r>
          </w:p>
        </w:tc>
        <w:tc>
          <w:tcPr>
            <w:tcW w:w="90" w:type="dxa"/>
            <w:tcBorders/>
            <w:shd w:fill="CCEEFF" w:val="clear"/>
            <w:vAlign w:val="center"/>
          </w:tcPr>
          <w:p>
            <w:pPr>
              <w:pStyle w:val="TableContents"/>
              <w:bidi w:val="0"/>
              <w:spacing w:before="0" w:after="283"/>
              <w:jc w:val="left"/>
              <w:rPr/>
            </w:pPr>
            <w:r>
              <w:rPr/>
              <w:t> </w:t>
            </w:r>
          </w:p>
        </w:tc>
        <w:tc>
          <w:tcPr>
            <w:tcW w:w="9585" w:type="dxa"/>
            <w:tcBorders/>
            <w:shd w:fill="CCEEFF" w:val="clear"/>
            <w:vAlign w:val="center"/>
          </w:tcPr>
          <w:p>
            <w:pPr>
              <w:pStyle w:val="TableContents"/>
              <w:bidi w:val="0"/>
              <w:spacing w:before="0" w:after="283"/>
              <w:jc w:val="both"/>
              <w:rPr/>
            </w:pPr>
            <w:hyperlink r:id="rId48">
              <w:r>
                <w:rPr>
                  <w:rStyle w:val="InternetLink"/>
                  <w:sz w:val="20"/>
                </w:rPr>
                <w:t>Form of Note between the Company and JAK Opportunities VI LLC dated August 7, 2024 (incorporated by reference to Exhibit 10.25 of the Company’s registration statement on Form F-1 (File No. 333-281964), filed with the Securities and Exchange Commission on September 6, 2024</w:t>
              </w:r>
            </w:hyperlink>
          </w:p>
        </w:tc>
      </w:tr>
      <w:tr>
        <w:trPr/>
        <w:tc>
          <w:tcPr>
            <w:tcW w:w="530" w:type="dxa"/>
            <w:tcBorders/>
            <w:shd w:fill="FFFFFF" w:val="clear"/>
            <w:vAlign w:val="center"/>
          </w:tcPr>
          <w:p>
            <w:pPr>
              <w:pStyle w:val="TableContents"/>
              <w:bidi w:val="0"/>
              <w:spacing w:before="0" w:after="283"/>
              <w:jc w:val="left"/>
              <w:rPr>
                <w:sz w:val="20"/>
              </w:rPr>
            </w:pPr>
            <w:r>
              <w:rPr>
                <w:sz w:val="20"/>
              </w:rPr>
              <w:t>10.26</w:t>
            </w:r>
          </w:p>
        </w:tc>
        <w:tc>
          <w:tcPr>
            <w:tcW w:w="90" w:type="dxa"/>
            <w:tcBorders/>
            <w:shd w:fill="FFFFFF" w:val="clear"/>
            <w:vAlign w:val="center"/>
          </w:tcPr>
          <w:p>
            <w:pPr>
              <w:pStyle w:val="TableContents"/>
              <w:bidi w:val="0"/>
              <w:spacing w:before="0" w:after="283"/>
              <w:jc w:val="left"/>
              <w:rPr/>
            </w:pPr>
            <w:r>
              <w:rPr/>
              <w:t> </w:t>
            </w:r>
          </w:p>
        </w:tc>
        <w:tc>
          <w:tcPr>
            <w:tcW w:w="9585" w:type="dxa"/>
            <w:tcBorders/>
            <w:shd w:fill="FFFFFF" w:val="clear"/>
            <w:vAlign w:val="center"/>
          </w:tcPr>
          <w:p>
            <w:pPr>
              <w:pStyle w:val="TableContents"/>
              <w:bidi w:val="0"/>
              <w:spacing w:before="0" w:after="283"/>
              <w:jc w:val="both"/>
              <w:rPr/>
            </w:pPr>
            <w:hyperlink r:id="rId49">
              <w:r>
                <w:rPr>
                  <w:rStyle w:val="InternetLink"/>
                  <w:sz w:val="20"/>
                </w:rPr>
                <w:t>Form of Note between the Company and JAK Opportunities VI LLC dated August 28, 2024 (incorporated by reference to Exhibit 4.1 of the Company’s current report on Form 6-K filed with the SEC on August 30, 2024)</w:t>
              </w:r>
            </w:hyperlink>
            <w:r>
              <w:rPr/>
              <w:t> </w:t>
            </w:r>
          </w:p>
        </w:tc>
      </w:tr>
      <w:tr>
        <w:trPr/>
        <w:tc>
          <w:tcPr>
            <w:tcW w:w="530" w:type="dxa"/>
            <w:tcBorders/>
            <w:shd w:fill="CCEEFF" w:val="clear"/>
            <w:vAlign w:val="center"/>
          </w:tcPr>
          <w:p>
            <w:pPr>
              <w:pStyle w:val="TableContents"/>
              <w:bidi w:val="0"/>
              <w:spacing w:before="0" w:after="283"/>
              <w:jc w:val="left"/>
              <w:rPr>
                <w:sz w:val="20"/>
              </w:rPr>
            </w:pPr>
            <w:r>
              <w:rPr>
                <w:sz w:val="20"/>
              </w:rPr>
              <w:t>10.27</w:t>
            </w:r>
          </w:p>
        </w:tc>
        <w:tc>
          <w:tcPr>
            <w:tcW w:w="90" w:type="dxa"/>
            <w:tcBorders/>
            <w:shd w:fill="CCEEFF" w:val="clear"/>
            <w:vAlign w:val="center"/>
          </w:tcPr>
          <w:p>
            <w:pPr>
              <w:pStyle w:val="TableContents"/>
              <w:bidi w:val="0"/>
              <w:spacing w:before="0" w:after="283"/>
              <w:jc w:val="left"/>
              <w:rPr/>
            </w:pPr>
            <w:r>
              <w:rPr/>
              <w:t> </w:t>
            </w:r>
          </w:p>
        </w:tc>
        <w:tc>
          <w:tcPr>
            <w:tcW w:w="9585" w:type="dxa"/>
            <w:tcBorders/>
            <w:shd w:fill="CCEEFF" w:val="clear"/>
            <w:vAlign w:val="center"/>
          </w:tcPr>
          <w:p>
            <w:pPr>
              <w:pStyle w:val="TableContents"/>
              <w:bidi w:val="0"/>
              <w:spacing w:before="0" w:after="283"/>
              <w:jc w:val="both"/>
              <w:rPr/>
            </w:pPr>
            <w:hyperlink r:id="rId50">
              <w:r>
                <w:rPr>
                  <w:rStyle w:val="InternetLink"/>
                  <w:sz w:val="20"/>
                </w:rPr>
                <w:t>Common Stock Purchase Agreement between the Company and White Lion Capital, LLC dated November 21, 2024 (incorporated by reference to Exhibit 10.27 of the Company’s registration statement on Form F-1 (File No. 333-283421), filed with the Securities and Exchange Commission on November 22, 2024)</w:t>
              </w:r>
            </w:hyperlink>
          </w:p>
        </w:tc>
      </w:tr>
      <w:tr>
        <w:trPr/>
        <w:tc>
          <w:tcPr>
            <w:tcW w:w="530" w:type="dxa"/>
            <w:tcBorders/>
            <w:shd w:fill="FFFFFF" w:val="clear"/>
            <w:vAlign w:val="center"/>
          </w:tcPr>
          <w:p>
            <w:pPr>
              <w:pStyle w:val="TableContents"/>
              <w:bidi w:val="0"/>
              <w:spacing w:before="0" w:after="283"/>
              <w:jc w:val="left"/>
              <w:rPr>
                <w:sz w:val="20"/>
              </w:rPr>
            </w:pPr>
            <w:r>
              <w:rPr>
                <w:sz w:val="20"/>
              </w:rPr>
              <w:t>10.28</w:t>
            </w:r>
          </w:p>
        </w:tc>
        <w:tc>
          <w:tcPr>
            <w:tcW w:w="90" w:type="dxa"/>
            <w:tcBorders/>
            <w:shd w:fill="FFFFFF" w:val="clear"/>
            <w:vAlign w:val="center"/>
          </w:tcPr>
          <w:p>
            <w:pPr>
              <w:pStyle w:val="TableContents"/>
              <w:bidi w:val="0"/>
              <w:spacing w:before="0" w:after="283"/>
              <w:jc w:val="left"/>
              <w:rPr/>
            </w:pPr>
            <w:r>
              <w:rPr/>
              <w:t> </w:t>
            </w:r>
          </w:p>
        </w:tc>
        <w:tc>
          <w:tcPr>
            <w:tcW w:w="9585" w:type="dxa"/>
            <w:tcBorders/>
            <w:shd w:fill="FFFFFF" w:val="clear"/>
            <w:vAlign w:val="center"/>
          </w:tcPr>
          <w:p>
            <w:pPr>
              <w:pStyle w:val="TableContents"/>
              <w:bidi w:val="0"/>
              <w:spacing w:before="0" w:after="283"/>
              <w:jc w:val="both"/>
              <w:rPr/>
            </w:pPr>
            <w:hyperlink r:id="rId51">
              <w:r>
                <w:rPr>
                  <w:rStyle w:val="InternetLink"/>
                  <w:sz w:val="20"/>
                </w:rPr>
                <w:t>Registration Rights Agreement between the Company and White Lion Capital, LLC dated November 21, 2024 (incorporated by reference to Exhibit 10.28 of the Company’s registration statement on Form F-1 (File No. 333-283421), filed with the Securities and Exchange Commission on November 22, 2024)</w:t>
              </w:r>
            </w:hyperlink>
          </w:p>
        </w:tc>
      </w:tr>
      <w:tr>
        <w:trPr/>
        <w:tc>
          <w:tcPr>
            <w:tcW w:w="530" w:type="dxa"/>
            <w:tcBorders/>
            <w:shd w:fill="CCEEFF" w:val="clear"/>
            <w:vAlign w:val="center"/>
          </w:tcPr>
          <w:p>
            <w:pPr>
              <w:pStyle w:val="TableContents"/>
              <w:bidi w:val="0"/>
              <w:spacing w:before="0" w:after="283"/>
              <w:jc w:val="left"/>
              <w:rPr>
                <w:sz w:val="20"/>
              </w:rPr>
            </w:pPr>
            <w:r>
              <w:rPr>
                <w:sz w:val="20"/>
              </w:rPr>
              <w:t>10.29</w:t>
            </w:r>
          </w:p>
        </w:tc>
        <w:tc>
          <w:tcPr>
            <w:tcW w:w="90" w:type="dxa"/>
            <w:tcBorders/>
            <w:shd w:fill="CCEEFF" w:val="clear"/>
            <w:vAlign w:val="center"/>
          </w:tcPr>
          <w:p>
            <w:pPr>
              <w:pStyle w:val="TableContents"/>
              <w:bidi w:val="0"/>
              <w:spacing w:before="0" w:after="283"/>
              <w:jc w:val="left"/>
              <w:rPr/>
            </w:pPr>
            <w:r>
              <w:rPr/>
              <w:t> </w:t>
            </w:r>
          </w:p>
        </w:tc>
        <w:tc>
          <w:tcPr>
            <w:tcW w:w="9585" w:type="dxa"/>
            <w:tcBorders/>
            <w:shd w:fill="CCEEFF" w:val="clear"/>
            <w:vAlign w:val="center"/>
          </w:tcPr>
          <w:p>
            <w:pPr>
              <w:pStyle w:val="TableContents"/>
              <w:bidi w:val="0"/>
              <w:spacing w:before="0" w:after="283"/>
              <w:jc w:val="both"/>
              <w:rPr/>
            </w:pPr>
            <w:hyperlink r:id="rId52">
              <w:r>
                <w:rPr>
                  <w:rStyle w:val="InternetLink"/>
                  <w:sz w:val="20"/>
                </w:rPr>
                <w:t>Form of Note between the Company and JAK Opportunities VI LLC dated November 11, 2024 (incorporated by reference to Exhibit 4.1 of the Company’s current report on Form 6-K filed with the SEC on November 15, 2024)</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2"/>
        <w:gridCol w:w="90"/>
        <w:gridCol w:w="9543"/>
      </w:tblGrid>
      <w:tr>
        <w:trPr/>
        <w:tc>
          <w:tcPr>
            <w:tcW w:w="572" w:type="dxa"/>
            <w:tcBorders/>
            <w:shd w:fill="CCEEFF" w:val="clear"/>
            <w:vAlign w:val="center"/>
          </w:tcPr>
          <w:p>
            <w:pPr>
              <w:pStyle w:val="TableContents"/>
              <w:bidi w:val="0"/>
              <w:spacing w:before="0" w:after="283"/>
              <w:jc w:val="left"/>
              <w:rPr>
                <w:sz w:val="20"/>
              </w:rPr>
            </w:pPr>
            <w:r>
              <w:rPr>
                <w:sz w:val="20"/>
              </w:rPr>
              <w:t>10.30</w:t>
            </w:r>
          </w:p>
        </w:tc>
        <w:tc>
          <w:tcPr>
            <w:tcW w:w="90" w:type="dxa"/>
            <w:tcBorders/>
            <w:shd w:fill="CCEEFF" w:val="clear"/>
            <w:vAlign w:val="center"/>
          </w:tcPr>
          <w:p>
            <w:pPr>
              <w:pStyle w:val="TableContents"/>
              <w:bidi w:val="0"/>
              <w:spacing w:before="0" w:after="283"/>
              <w:jc w:val="left"/>
              <w:rPr/>
            </w:pPr>
            <w:r>
              <w:rPr/>
              <w:t> </w:t>
            </w:r>
          </w:p>
        </w:tc>
        <w:tc>
          <w:tcPr>
            <w:tcW w:w="9543" w:type="dxa"/>
            <w:tcBorders/>
            <w:shd w:fill="CCEEFF" w:val="clear"/>
            <w:vAlign w:val="center"/>
          </w:tcPr>
          <w:p>
            <w:pPr>
              <w:pStyle w:val="TableContents"/>
              <w:bidi w:val="0"/>
              <w:spacing w:before="0" w:after="283"/>
              <w:jc w:val="both"/>
              <w:rPr/>
            </w:pPr>
            <w:hyperlink r:id="rId53">
              <w:r>
                <w:rPr>
                  <w:rStyle w:val="InternetLink"/>
                  <w:sz w:val="20"/>
                </w:rPr>
                <w:t>Purchase Agreement between the Company and Genetics and IVF Institute, Inc. dated January 21, 2025 (incorporated by reference to Exhibit 10.30 of the Company’s registration statement on Form F-1 (File No. 333-285629, filed with the Securities and Exchange Commission on March 7, 2025)</w:t>
              </w:r>
            </w:hyperlink>
          </w:p>
        </w:tc>
      </w:tr>
      <w:tr>
        <w:trPr/>
        <w:tc>
          <w:tcPr>
            <w:tcW w:w="572" w:type="dxa"/>
            <w:tcBorders/>
            <w:shd w:fill="FFFFFF" w:val="clear"/>
            <w:vAlign w:val="center"/>
          </w:tcPr>
          <w:p>
            <w:pPr>
              <w:pStyle w:val="TableContents"/>
              <w:bidi w:val="0"/>
              <w:spacing w:before="0" w:after="283"/>
              <w:jc w:val="left"/>
              <w:rPr>
                <w:sz w:val="20"/>
              </w:rPr>
            </w:pPr>
            <w:r>
              <w:rPr>
                <w:sz w:val="20"/>
              </w:rPr>
              <w:t>10.31</w:t>
            </w:r>
          </w:p>
        </w:tc>
        <w:tc>
          <w:tcPr>
            <w:tcW w:w="90" w:type="dxa"/>
            <w:tcBorders/>
            <w:shd w:fill="FFFFFF" w:val="clear"/>
            <w:vAlign w:val="center"/>
          </w:tcPr>
          <w:p>
            <w:pPr>
              <w:pStyle w:val="TableContents"/>
              <w:bidi w:val="0"/>
              <w:spacing w:before="0" w:after="283"/>
              <w:jc w:val="left"/>
              <w:rPr/>
            </w:pPr>
            <w:r>
              <w:rPr/>
              <w:t> </w:t>
            </w:r>
          </w:p>
        </w:tc>
        <w:tc>
          <w:tcPr>
            <w:tcW w:w="9543" w:type="dxa"/>
            <w:tcBorders/>
            <w:shd w:fill="FFFFFF" w:val="clear"/>
            <w:vAlign w:val="center"/>
          </w:tcPr>
          <w:p>
            <w:pPr>
              <w:pStyle w:val="TableContents"/>
              <w:bidi w:val="0"/>
              <w:spacing w:before="0" w:after="283"/>
              <w:jc w:val="both"/>
              <w:rPr/>
            </w:pPr>
            <w:hyperlink r:id="rId54">
              <w:r>
                <w:rPr>
                  <w:rStyle w:val="InternetLink"/>
                  <w:sz w:val="20"/>
                </w:rPr>
                <w:t>Consulting Services Agreement between the Company and A SPAC (Holdings) Limited dated February 24, 2025 (incorporated by reference to Exhibit 10.31 of the Company’s registration statement on Form F-1 (File No. 333-285629, filed with the Securities and Exchange Commission on March 7, 2025)</w:t>
              </w:r>
            </w:hyperlink>
          </w:p>
        </w:tc>
      </w:tr>
      <w:tr>
        <w:trPr/>
        <w:tc>
          <w:tcPr>
            <w:tcW w:w="572" w:type="dxa"/>
            <w:tcBorders/>
            <w:shd w:fill="CCEEFF" w:val="clear"/>
            <w:vAlign w:val="center"/>
          </w:tcPr>
          <w:p>
            <w:pPr>
              <w:pStyle w:val="TableContents"/>
              <w:bidi w:val="0"/>
              <w:spacing w:before="0" w:after="283"/>
              <w:jc w:val="left"/>
              <w:rPr>
                <w:sz w:val="20"/>
              </w:rPr>
            </w:pPr>
            <w:r>
              <w:rPr>
                <w:sz w:val="20"/>
              </w:rPr>
              <w:t>10.32</w:t>
            </w:r>
          </w:p>
        </w:tc>
        <w:tc>
          <w:tcPr>
            <w:tcW w:w="90" w:type="dxa"/>
            <w:tcBorders/>
            <w:shd w:fill="CCEEFF" w:val="clear"/>
            <w:vAlign w:val="center"/>
          </w:tcPr>
          <w:p>
            <w:pPr>
              <w:pStyle w:val="TableContents"/>
              <w:bidi w:val="0"/>
              <w:spacing w:before="0" w:after="283"/>
              <w:jc w:val="left"/>
              <w:rPr/>
            </w:pPr>
            <w:r>
              <w:rPr/>
              <w:t> </w:t>
            </w:r>
          </w:p>
        </w:tc>
        <w:tc>
          <w:tcPr>
            <w:tcW w:w="9543" w:type="dxa"/>
            <w:tcBorders/>
            <w:shd w:fill="CCEEFF" w:val="clear"/>
            <w:vAlign w:val="center"/>
          </w:tcPr>
          <w:p>
            <w:pPr>
              <w:pStyle w:val="TableContents"/>
              <w:bidi w:val="0"/>
              <w:spacing w:before="0" w:after="283"/>
              <w:jc w:val="both"/>
              <w:rPr/>
            </w:pPr>
            <w:hyperlink r:id="rId55">
              <w:r>
                <w:rPr>
                  <w:rStyle w:val="InternetLink"/>
                  <w:sz w:val="20"/>
                </w:rPr>
                <w:t>Securities Purchase Agreement between the Company and certain buyers dated April 1, 2025 (incorporated by reference to Exhibit 4.1 of the Company’s current report on Form 6-K filed with the SEC on April 3, 2025)</w:t>
              </w:r>
            </w:hyperlink>
          </w:p>
        </w:tc>
      </w:tr>
      <w:tr>
        <w:trPr/>
        <w:tc>
          <w:tcPr>
            <w:tcW w:w="572" w:type="dxa"/>
            <w:tcBorders/>
            <w:shd w:fill="FFFFFF" w:val="clear"/>
            <w:vAlign w:val="center"/>
          </w:tcPr>
          <w:p>
            <w:pPr>
              <w:pStyle w:val="TableContents"/>
              <w:bidi w:val="0"/>
              <w:spacing w:before="0" w:after="283"/>
              <w:jc w:val="left"/>
              <w:rPr>
                <w:sz w:val="20"/>
              </w:rPr>
            </w:pPr>
            <w:r>
              <w:rPr>
                <w:sz w:val="20"/>
              </w:rPr>
              <w:t>10.33*</w:t>
            </w:r>
          </w:p>
        </w:tc>
        <w:tc>
          <w:tcPr>
            <w:tcW w:w="90" w:type="dxa"/>
            <w:tcBorders/>
            <w:shd w:fill="FFFFFF" w:val="clear"/>
            <w:vAlign w:val="center"/>
          </w:tcPr>
          <w:p>
            <w:pPr>
              <w:pStyle w:val="TableContents"/>
              <w:bidi w:val="0"/>
              <w:spacing w:before="0" w:after="283"/>
              <w:jc w:val="left"/>
              <w:rPr/>
            </w:pPr>
            <w:r>
              <w:rPr/>
              <w:t> </w:t>
            </w:r>
          </w:p>
        </w:tc>
        <w:tc>
          <w:tcPr>
            <w:tcW w:w="9543" w:type="dxa"/>
            <w:tcBorders/>
            <w:shd w:fill="FFFFFF" w:val="clear"/>
            <w:vAlign w:val="center"/>
          </w:tcPr>
          <w:p>
            <w:pPr>
              <w:pStyle w:val="TableContents"/>
              <w:bidi w:val="0"/>
              <w:spacing w:before="0" w:after="283"/>
              <w:jc w:val="both"/>
              <w:rPr/>
            </w:pPr>
            <w:hyperlink w:anchor="ea030132501ex10-33.htm">
              <w:r>
                <w:rPr>
                  <w:rStyle w:val="InternetLink"/>
                  <w:sz w:val="20"/>
                </w:rPr>
                <w:t>Securities Purchase Agreement between the Company and Vanquish Funding Group Inc. dated October 15, 2025</w:t>
              </w:r>
            </w:hyperlink>
          </w:p>
        </w:tc>
      </w:tr>
      <w:tr>
        <w:trPr/>
        <w:tc>
          <w:tcPr>
            <w:tcW w:w="572" w:type="dxa"/>
            <w:tcBorders/>
            <w:shd w:fill="CCEEFF" w:val="clear"/>
            <w:vAlign w:val="center"/>
          </w:tcPr>
          <w:p>
            <w:pPr>
              <w:pStyle w:val="TableContents"/>
              <w:bidi w:val="0"/>
              <w:spacing w:before="0" w:after="283"/>
              <w:jc w:val="left"/>
              <w:rPr/>
            </w:pPr>
            <w:r>
              <w:rPr>
                <w:sz w:val="20"/>
              </w:rPr>
              <w:t>10.34</w:t>
            </w:r>
            <w:r>
              <w:rPr/>
              <w:t>*</w:t>
            </w:r>
          </w:p>
        </w:tc>
        <w:tc>
          <w:tcPr>
            <w:tcW w:w="90" w:type="dxa"/>
            <w:tcBorders/>
            <w:shd w:fill="CCEEFF" w:val="clear"/>
            <w:vAlign w:val="center"/>
          </w:tcPr>
          <w:p>
            <w:pPr>
              <w:pStyle w:val="TableContents"/>
              <w:bidi w:val="0"/>
              <w:spacing w:before="0" w:after="283"/>
              <w:jc w:val="left"/>
              <w:rPr/>
            </w:pPr>
            <w:r>
              <w:rPr/>
              <w:t> </w:t>
            </w:r>
          </w:p>
        </w:tc>
        <w:tc>
          <w:tcPr>
            <w:tcW w:w="9543" w:type="dxa"/>
            <w:tcBorders/>
            <w:shd w:fill="CCEEFF" w:val="clear"/>
            <w:vAlign w:val="center"/>
          </w:tcPr>
          <w:p>
            <w:pPr>
              <w:pStyle w:val="TableContents"/>
              <w:bidi w:val="0"/>
              <w:spacing w:before="0" w:after="283"/>
              <w:jc w:val="both"/>
              <w:rPr/>
            </w:pPr>
            <w:hyperlink w:anchor="ea030132501ex10-34.htm">
              <w:r>
                <w:rPr>
                  <w:rStyle w:val="InternetLink"/>
                  <w:sz w:val="20"/>
                </w:rPr>
                <w:t>Securities Purchase Agreement between the Company and Vanquish Funding Group Inc. dated November 4, 2025</w:t>
              </w:r>
            </w:hyperlink>
          </w:p>
        </w:tc>
      </w:tr>
      <w:tr>
        <w:trPr/>
        <w:tc>
          <w:tcPr>
            <w:tcW w:w="572" w:type="dxa"/>
            <w:tcBorders/>
            <w:shd w:fill="FFFFFF" w:val="clear"/>
            <w:vAlign w:val="center"/>
          </w:tcPr>
          <w:p>
            <w:pPr>
              <w:pStyle w:val="TableContents"/>
              <w:bidi w:val="0"/>
              <w:spacing w:before="0" w:after="283"/>
              <w:jc w:val="left"/>
              <w:rPr/>
            </w:pPr>
            <w:r>
              <w:rPr>
                <w:sz w:val="20"/>
              </w:rPr>
              <w:t>10.35</w:t>
            </w:r>
            <w:r>
              <w:rPr/>
              <w:t>*</w:t>
            </w:r>
          </w:p>
        </w:tc>
        <w:tc>
          <w:tcPr>
            <w:tcW w:w="90" w:type="dxa"/>
            <w:tcBorders/>
            <w:shd w:fill="FFFFFF" w:val="clear"/>
            <w:vAlign w:val="center"/>
          </w:tcPr>
          <w:p>
            <w:pPr>
              <w:pStyle w:val="TableContents"/>
              <w:bidi w:val="0"/>
              <w:spacing w:before="0" w:after="283"/>
              <w:jc w:val="left"/>
              <w:rPr/>
            </w:pPr>
            <w:r>
              <w:rPr/>
              <w:t> </w:t>
            </w:r>
          </w:p>
        </w:tc>
        <w:tc>
          <w:tcPr>
            <w:tcW w:w="9543" w:type="dxa"/>
            <w:tcBorders/>
            <w:shd w:fill="FFFFFF" w:val="clear"/>
            <w:vAlign w:val="center"/>
          </w:tcPr>
          <w:p>
            <w:pPr>
              <w:pStyle w:val="TableContents"/>
              <w:bidi w:val="0"/>
              <w:spacing w:before="0" w:after="283"/>
              <w:jc w:val="both"/>
              <w:rPr/>
            </w:pPr>
            <w:hyperlink w:anchor="ea030132501ex10-35.htm">
              <w:r>
                <w:rPr>
                  <w:rStyle w:val="InternetLink"/>
                  <w:sz w:val="20"/>
                </w:rPr>
                <w:t>Securities Purchase Agreement between the Company and Vanquish Funding Group Inc. dated January 22, 2026</w:t>
              </w:r>
            </w:hyperlink>
          </w:p>
        </w:tc>
      </w:tr>
      <w:tr>
        <w:trPr/>
        <w:tc>
          <w:tcPr>
            <w:tcW w:w="572" w:type="dxa"/>
            <w:tcBorders/>
            <w:shd w:fill="CCEEFF" w:val="clear"/>
            <w:vAlign w:val="center"/>
          </w:tcPr>
          <w:p>
            <w:pPr>
              <w:pStyle w:val="TableContents"/>
              <w:bidi w:val="0"/>
              <w:spacing w:before="0" w:after="283"/>
              <w:jc w:val="left"/>
              <w:rPr/>
            </w:pPr>
            <w:r>
              <w:rPr>
                <w:sz w:val="20"/>
              </w:rPr>
              <w:t>10.36</w:t>
            </w:r>
            <w:r>
              <w:rPr/>
              <w:t>*</w:t>
            </w:r>
          </w:p>
        </w:tc>
        <w:tc>
          <w:tcPr>
            <w:tcW w:w="90" w:type="dxa"/>
            <w:tcBorders/>
            <w:shd w:fill="CCEEFF" w:val="clear"/>
            <w:vAlign w:val="center"/>
          </w:tcPr>
          <w:p>
            <w:pPr>
              <w:pStyle w:val="TableContents"/>
              <w:bidi w:val="0"/>
              <w:spacing w:before="0" w:after="283"/>
              <w:jc w:val="left"/>
              <w:rPr/>
            </w:pPr>
            <w:r>
              <w:rPr/>
              <w:t> </w:t>
            </w:r>
          </w:p>
        </w:tc>
        <w:tc>
          <w:tcPr>
            <w:tcW w:w="9543" w:type="dxa"/>
            <w:tcBorders/>
            <w:shd w:fill="CCEEFF" w:val="clear"/>
            <w:vAlign w:val="center"/>
          </w:tcPr>
          <w:p>
            <w:pPr>
              <w:pStyle w:val="TableContents"/>
              <w:bidi w:val="0"/>
              <w:spacing w:before="0" w:after="283"/>
              <w:jc w:val="both"/>
              <w:rPr/>
            </w:pPr>
            <w:hyperlink w:anchor="ea030132501ex10-36.htm">
              <w:r>
                <w:rPr>
                  <w:rStyle w:val="InternetLink"/>
                  <w:sz w:val="20"/>
                </w:rPr>
                <w:t>Securities Purchase Agreement between the Company and Labrys Fund II, L.P. dated November 12, 2025</w:t>
              </w:r>
            </w:hyperlink>
          </w:p>
        </w:tc>
      </w:tr>
      <w:tr>
        <w:trPr/>
        <w:tc>
          <w:tcPr>
            <w:tcW w:w="572" w:type="dxa"/>
            <w:tcBorders/>
            <w:shd w:fill="FFFFFF" w:val="clear"/>
            <w:vAlign w:val="center"/>
          </w:tcPr>
          <w:p>
            <w:pPr>
              <w:pStyle w:val="TableContents"/>
              <w:bidi w:val="0"/>
              <w:spacing w:before="0" w:after="283"/>
              <w:jc w:val="left"/>
              <w:rPr/>
            </w:pPr>
            <w:r>
              <w:rPr>
                <w:sz w:val="20"/>
              </w:rPr>
              <w:t>10.37</w:t>
            </w:r>
            <w:r>
              <w:rPr/>
              <w:t>*</w:t>
            </w:r>
          </w:p>
        </w:tc>
        <w:tc>
          <w:tcPr>
            <w:tcW w:w="90" w:type="dxa"/>
            <w:tcBorders/>
            <w:shd w:fill="FFFFFF" w:val="clear"/>
            <w:vAlign w:val="center"/>
          </w:tcPr>
          <w:p>
            <w:pPr>
              <w:pStyle w:val="TableContents"/>
              <w:bidi w:val="0"/>
              <w:spacing w:before="0" w:after="283"/>
              <w:jc w:val="left"/>
              <w:rPr/>
            </w:pPr>
            <w:r>
              <w:rPr/>
              <w:t> </w:t>
            </w:r>
          </w:p>
        </w:tc>
        <w:tc>
          <w:tcPr>
            <w:tcW w:w="9543" w:type="dxa"/>
            <w:tcBorders/>
            <w:shd w:fill="FFFFFF" w:val="clear"/>
            <w:vAlign w:val="center"/>
          </w:tcPr>
          <w:p>
            <w:pPr>
              <w:pStyle w:val="TableContents"/>
              <w:bidi w:val="0"/>
              <w:spacing w:before="0" w:after="283"/>
              <w:jc w:val="both"/>
              <w:rPr/>
            </w:pPr>
            <w:hyperlink w:anchor="ea030132501ex10-37.htm">
              <w:r>
                <w:rPr>
                  <w:rStyle w:val="InternetLink"/>
                  <w:sz w:val="20"/>
                </w:rPr>
                <w:t>Securities Purchase Agreement between the Company and Boot Capital LLC dated January 22, 2025</w:t>
              </w:r>
            </w:hyperlink>
          </w:p>
        </w:tc>
      </w:tr>
      <w:tr>
        <w:trPr/>
        <w:tc>
          <w:tcPr>
            <w:tcW w:w="572" w:type="dxa"/>
            <w:tcBorders/>
            <w:shd w:fill="CCEEFF" w:val="clear"/>
            <w:vAlign w:val="center"/>
          </w:tcPr>
          <w:p>
            <w:pPr>
              <w:pStyle w:val="TableContents"/>
              <w:bidi w:val="0"/>
              <w:spacing w:before="0" w:after="283"/>
              <w:jc w:val="left"/>
              <w:rPr/>
            </w:pPr>
            <w:r>
              <w:rPr>
                <w:sz w:val="20"/>
              </w:rPr>
              <w:t>10.38</w:t>
            </w:r>
            <w:r>
              <w:rPr/>
              <w:t>*</w:t>
            </w:r>
          </w:p>
        </w:tc>
        <w:tc>
          <w:tcPr>
            <w:tcW w:w="90" w:type="dxa"/>
            <w:tcBorders/>
            <w:shd w:fill="CCEEFF" w:val="clear"/>
            <w:vAlign w:val="center"/>
          </w:tcPr>
          <w:p>
            <w:pPr>
              <w:pStyle w:val="TableContents"/>
              <w:bidi w:val="0"/>
              <w:spacing w:before="0" w:after="283"/>
              <w:jc w:val="left"/>
              <w:rPr/>
            </w:pPr>
            <w:r>
              <w:rPr/>
              <w:t> </w:t>
            </w:r>
          </w:p>
        </w:tc>
        <w:tc>
          <w:tcPr>
            <w:tcW w:w="9543" w:type="dxa"/>
            <w:tcBorders/>
            <w:shd w:fill="CCEEFF" w:val="clear"/>
            <w:vAlign w:val="center"/>
          </w:tcPr>
          <w:p>
            <w:pPr>
              <w:pStyle w:val="TableContents"/>
              <w:bidi w:val="0"/>
              <w:spacing w:before="0" w:after="283"/>
              <w:jc w:val="both"/>
              <w:rPr/>
            </w:pPr>
            <w:hyperlink w:anchor="ea030132501ex10-38.htm">
              <w:r>
                <w:rPr>
                  <w:rStyle w:val="InternetLink"/>
                  <w:sz w:val="20"/>
                </w:rPr>
                <w:t>Form of Note between Company and Boot Capital LLC dated January 22, 2026</w:t>
              </w:r>
            </w:hyperlink>
          </w:p>
        </w:tc>
      </w:tr>
      <w:tr>
        <w:trPr/>
        <w:tc>
          <w:tcPr>
            <w:tcW w:w="572" w:type="dxa"/>
            <w:tcBorders/>
            <w:shd w:fill="FFFFFF" w:val="clear"/>
            <w:vAlign w:val="center"/>
          </w:tcPr>
          <w:p>
            <w:pPr>
              <w:pStyle w:val="TableContents"/>
              <w:bidi w:val="0"/>
              <w:spacing w:before="0" w:after="283"/>
              <w:jc w:val="left"/>
              <w:rPr>
                <w:sz w:val="20"/>
              </w:rPr>
            </w:pPr>
            <w:r>
              <w:rPr>
                <w:sz w:val="20"/>
              </w:rPr>
              <w:t>10.39</w:t>
            </w:r>
          </w:p>
        </w:tc>
        <w:tc>
          <w:tcPr>
            <w:tcW w:w="90" w:type="dxa"/>
            <w:tcBorders/>
            <w:shd w:fill="FFFFFF" w:val="clear"/>
            <w:vAlign w:val="center"/>
          </w:tcPr>
          <w:p>
            <w:pPr>
              <w:pStyle w:val="TableContents"/>
              <w:bidi w:val="0"/>
              <w:spacing w:before="0" w:after="283"/>
              <w:jc w:val="left"/>
              <w:rPr/>
            </w:pPr>
            <w:r>
              <w:rPr/>
              <w:t> </w:t>
            </w:r>
          </w:p>
        </w:tc>
        <w:tc>
          <w:tcPr>
            <w:tcW w:w="9543" w:type="dxa"/>
            <w:tcBorders/>
            <w:shd w:fill="FFFFFF" w:val="clear"/>
            <w:vAlign w:val="center"/>
          </w:tcPr>
          <w:p>
            <w:pPr>
              <w:pStyle w:val="TableContents"/>
              <w:bidi w:val="0"/>
              <w:spacing w:before="0" w:after="283"/>
              <w:jc w:val="both"/>
              <w:rPr/>
            </w:pPr>
            <w:hyperlink r:id="rId56">
              <w:r>
                <w:rPr>
                  <w:rStyle w:val="InternetLink"/>
                  <w:sz w:val="20"/>
                </w:rPr>
                <w:t>Securities Purchase Agreement between the Company and CFI Capital LLC, dated March 18, 2026</w:t>
              </w:r>
            </w:hyperlink>
          </w:p>
        </w:tc>
      </w:tr>
      <w:tr>
        <w:trPr/>
        <w:tc>
          <w:tcPr>
            <w:tcW w:w="572" w:type="dxa"/>
            <w:tcBorders/>
            <w:shd w:fill="CCEEFF" w:val="clear"/>
            <w:vAlign w:val="center"/>
          </w:tcPr>
          <w:p>
            <w:pPr>
              <w:pStyle w:val="TableContents"/>
              <w:bidi w:val="0"/>
              <w:spacing w:before="0" w:after="283"/>
              <w:jc w:val="left"/>
              <w:rPr>
                <w:sz w:val="20"/>
              </w:rPr>
            </w:pPr>
            <w:r>
              <w:rPr>
                <w:sz w:val="20"/>
              </w:rPr>
              <w:t>10.40</w:t>
            </w:r>
          </w:p>
        </w:tc>
        <w:tc>
          <w:tcPr>
            <w:tcW w:w="90" w:type="dxa"/>
            <w:tcBorders/>
            <w:shd w:fill="CCEEFF" w:val="clear"/>
            <w:vAlign w:val="center"/>
          </w:tcPr>
          <w:p>
            <w:pPr>
              <w:pStyle w:val="TableContents"/>
              <w:bidi w:val="0"/>
              <w:spacing w:before="0" w:after="283"/>
              <w:jc w:val="left"/>
              <w:rPr/>
            </w:pPr>
            <w:r>
              <w:rPr/>
              <w:t> </w:t>
            </w:r>
          </w:p>
        </w:tc>
        <w:tc>
          <w:tcPr>
            <w:tcW w:w="9543" w:type="dxa"/>
            <w:tcBorders/>
            <w:shd w:fill="CCEEFF" w:val="clear"/>
            <w:vAlign w:val="center"/>
          </w:tcPr>
          <w:p>
            <w:pPr>
              <w:pStyle w:val="TableContents"/>
              <w:bidi w:val="0"/>
              <w:spacing w:before="0" w:after="283"/>
              <w:jc w:val="both"/>
              <w:rPr/>
            </w:pPr>
            <w:hyperlink r:id="rId57">
              <w:r>
                <w:rPr>
                  <w:rStyle w:val="InternetLink"/>
                  <w:sz w:val="20"/>
                </w:rPr>
                <w:t>Form of Note between the Company and CFI Capital LLC, dated March 18, 2026</w:t>
              </w:r>
            </w:hyperlink>
          </w:p>
        </w:tc>
      </w:tr>
      <w:tr>
        <w:trPr/>
        <w:tc>
          <w:tcPr>
            <w:tcW w:w="572" w:type="dxa"/>
            <w:tcBorders/>
            <w:shd w:fill="FFFFFF" w:val="clear"/>
            <w:vAlign w:val="center"/>
          </w:tcPr>
          <w:p>
            <w:pPr>
              <w:pStyle w:val="TableContents"/>
              <w:bidi w:val="0"/>
              <w:spacing w:before="0" w:after="283"/>
              <w:jc w:val="left"/>
              <w:rPr>
                <w:sz w:val="20"/>
              </w:rPr>
            </w:pPr>
            <w:r>
              <w:rPr>
                <w:sz w:val="20"/>
              </w:rPr>
              <w:t>10.41</w:t>
            </w:r>
          </w:p>
        </w:tc>
        <w:tc>
          <w:tcPr>
            <w:tcW w:w="90" w:type="dxa"/>
            <w:tcBorders/>
            <w:shd w:fill="FFFFFF" w:val="clear"/>
            <w:vAlign w:val="center"/>
          </w:tcPr>
          <w:p>
            <w:pPr>
              <w:pStyle w:val="TableContents"/>
              <w:bidi w:val="0"/>
              <w:spacing w:before="0" w:after="283"/>
              <w:jc w:val="left"/>
              <w:rPr/>
            </w:pPr>
            <w:r>
              <w:rPr/>
              <w:t> </w:t>
            </w:r>
          </w:p>
        </w:tc>
        <w:tc>
          <w:tcPr>
            <w:tcW w:w="9543" w:type="dxa"/>
            <w:tcBorders/>
            <w:shd w:fill="FFFFFF" w:val="clear"/>
            <w:vAlign w:val="center"/>
          </w:tcPr>
          <w:p>
            <w:pPr>
              <w:pStyle w:val="TableContents"/>
              <w:bidi w:val="0"/>
              <w:spacing w:before="0" w:after="283"/>
              <w:jc w:val="both"/>
              <w:rPr/>
            </w:pPr>
            <w:hyperlink r:id="rId58">
              <w:r>
                <w:rPr>
                  <w:rStyle w:val="InternetLink"/>
                  <w:sz w:val="20"/>
                </w:rPr>
                <w:t>Securities Purchase Agreement between the Company and FirstFire Global Opportunities Fund LLC, dated March 25, 2026</w:t>
              </w:r>
            </w:hyperlink>
          </w:p>
        </w:tc>
      </w:tr>
      <w:tr>
        <w:trPr/>
        <w:tc>
          <w:tcPr>
            <w:tcW w:w="572" w:type="dxa"/>
            <w:tcBorders/>
            <w:shd w:fill="CCEEFF" w:val="clear"/>
            <w:vAlign w:val="center"/>
          </w:tcPr>
          <w:p>
            <w:pPr>
              <w:pStyle w:val="TableContents"/>
              <w:bidi w:val="0"/>
              <w:spacing w:before="0" w:after="283"/>
              <w:jc w:val="left"/>
              <w:rPr>
                <w:sz w:val="20"/>
              </w:rPr>
            </w:pPr>
            <w:r>
              <w:rPr>
                <w:sz w:val="20"/>
              </w:rPr>
              <w:t>10.42</w:t>
            </w:r>
          </w:p>
        </w:tc>
        <w:tc>
          <w:tcPr>
            <w:tcW w:w="90" w:type="dxa"/>
            <w:tcBorders/>
            <w:shd w:fill="CCEEFF" w:val="clear"/>
            <w:vAlign w:val="center"/>
          </w:tcPr>
          <w:p>
            <w:pPr>
              <w:pStyle w:val="TableContents"/>
              <w:bidi w:val="0"/>
              <w:spacing w:before="0" w:after="283"/>
              <w:jc w:val="left"/>
              <w:rPr/>
            </w:pPr>
            <w:r>
              <w:rPr/>
              <w:t> </w:t>
            </w:r>
          </w:p>
        </w:tc>
        <w:tc>
          <w:tcPr>
            <w:tcW w:w="9543" w:type="dxa"/>
            <w:tcBorders/>
            <w:shd w:fill="CCEEFF" w:val="clear"/>
            <w:vAlign w:val="center"/>
          </w:tcPr>
          <w:p>
            <w:pPr>
              <w:pStyle w:val="TableContents"/>
              <w:bidi w:val="0"/>
              <w:spacing w:before="0" w:after="283"/>
              <w:jc w:val="both"/>
              <w:rPr/>
            </w:pPr>
            <w:hyperlink r:id="rId59">
              <w:r>
                <w:rPr>
                  <w:rStyle w:val="InternetLink"/>
                  <w:sz w:val="20"/>
                </w:rPr>
                <w:t>Form of Note between the Company and FirstFire Global Opportunities Fund LLC, dated March 25, 2026</w:t>
              </w:r>
            </w:hyperlink>
          </w:p>
        </w:tc>
      </w:tr>
      <w:tr>
        <w:trPr/>
        <w:tc>
          <w:tcPr>
            <w:tcW w:w="572" w:type="dxa"/>
            <w:tcBorders/>
            <w:shd w:fill="FFFFFF" w:val="clear"/>
            <w:vAlign w:val="center"/>
          </w:tcPr>
          <w:p>
            <w:pPr>
              <w:pStyle w:val="TableContents"/>
              <w:bidi w:val="0"/>
              <w:spacing w:before="0" w:after="283"/>
              <w:jc w:val="left"/>
              <w:rPr>
                <w:sz w:val="20"/>
              </w:rPr>
            </w:pPr>
            <w:r>
              <w:rPr>
                <w:sz w:val="20"/>
              </w:rPr>
              <w:t>10.43*</w:t>
            </w:r>
          </w:p>
        </w:tc>
        <w:tc>
          <w:tcPr>
            <w:tcW w:w="90" w:type="dxa"/>
            <w:tcBorders/>
            <w:shd w:fill="FFFFFF" w:val="clear"/>
            <w:vAlign w:val="center"/>
          </w:tcPr>
          <w:p>
            <w:pPr>
              <w:pStyle w:val="TableContents"/>
              <w:bidi w:val="0"/>
              <w:spacing w:before="0" w:after="283"/>
              <w:jc w:val="left"/>
              <w:rPr/>
            </w:pPr>
            <w:r>
              <w:rPr/>
              <w:t> </w:t>
            </w:r>
          </w:p>
        </w:tc>
        <w:tc>
          <w:tcPr>
            <w:tcW w:w="9543" w:type="dxa"/>
            <w:tcBorders/>
            <w:shd w:fill="FFFFFF" w:val="clear"/>
            <w:vAlign w:val="center"/>
          </w:tcPr>
          <w:p>
            <w:pPr>
              <w:pStyle w:val="TableContents"/>
              <w:bidi w:val="0"/>
              <w:spacing w:before="0" w:after="283"/>
              <w:jc w:val="both"/>
              <w:rPr/>
            </w:pPr>
            <w:hyperlink w:anchor="ea030132501ex10-43.htm">
              <w:r>
                <w:rPr>
                  <w:rStyle w:val="InternetLink"/>
                  <w:sz w:val="20"/>
                </w:rPr>
                <w:t>Securities Purchase Agreement between the Company and Silvercrest Hybrid Capital LLC, dated March 30, 2026</w:t>
              </w:r>
            </w:hyperlink>
          </w:p>
        </w:tc>
      </w:tr>
      <w:tr>
        <w:trPr/>
        <w:tc>
          <w:tcPr>
            <w:tcW w:w="572" w:type="dxa"/>
            <w:tcBorders/>
            <w:shd w:fill="CCEEFF" w:val="clear"/>
            <w:vAlign w:val="center"/>
          </w:tcPr>
          <w:p>
            <w:pPr>
              <w:pStyle w:val="TableContents"/>
              <w:bidi w:val="0"/>
              <w:spacing w:before="0" w:after="283"/>
              <w:jc w:val="left"/>
              <w:rPr/>
            </w:pPr>
            <w:r>
              <w:rPr>
                <w:sz w:val="20"/>
              </w:rPr>
              <w:t>10.44</w:t>
            </w:r>
            <w:r>
              <w:rPr/>
              <w:t>*</w:t>
            </w:r>
          </w:p>
        </w:tc>
        <w:tc>
          <w:tcPr>
            <w:tcW w:w="90" w:type="dxa"/>
            <w:tcBorders/>
            <w:shd w:fill="CCEEFF" w:val="clear"/>
            <w:vAlign w:val="center"/>
          </w:tcPr>
          <w:p>
            <w:pPr>
              <w:pStyle w:val="TableContents"/>
              <w:bidi w:val="0"/>
              <w:spacing w:before="0" w:after="283"/>
              <w:jc w:val="left"/>
              <w:rPr/>
            </w:pPr>
            <w:r>
              <w:rPr/>
              <w:t> </w:t>
            </w:r>
          </w:p>
        </w:tc>
        <w:tc>
          <w:tcPr>
            <w:tcW w:w="9543" w:type="dxa"/>
            <w:tcBorders/>
            <w:shd w:fill="CCEEFF" w:val="clear"/>
            <w:vAlign w:val="center"/>
          </w:tcPr>
          <w:p>
            <w:pPr>
              <w:pStyle w:val="TableContents"/>
              <w:bidi w:val="0"/>
              <w:spacing w:before="0" w:after="283"/>
              <w:jc w:val="both"/>
              <w:rPr/>
            </w:pPr>
            <w:hyperlink w:anchor="ea030132501ex10-44.htm">
              <w:r>
                <w:rPr>
                  <w:rStyle w:val="InternetLink"/>
                  <w:sz w:val="20"/>
                </w:rPr>
                <w:t>Form of Note between the Company and Silvercrest Hybrid Capital LLC, dated March 30, 2026</w:t>
              </w:r>
            </w:hyperlink>
          </w:p>
        </w:tc>
      </w:tr>
      <w:tr>
        <w:trPr/>
        <w:tc>
          <w:tcPr>
            <w:tcW w:w="572" w:type="dxa"/>
            <w:tcBorders/>
            <w:shd w:fill="FFFFFF" w:val="clear"/>
            <w:vAlign w:val="center"/>
          </w:tcPr>
          <w:p>
            <w:pPr>
              <w:pStyle w:val="TableContents"/>
              <w:bidi w:val="0"/>
              <w:spacing w:before="0" w:after="283"/>
              <w:jc w:val="left"/>
              <w:rPr/>
            </w:pPr>
            <w:r>
              <w:rPr>
                <w:sz w:val="20"/>
              </w:rPr>
              <w:t>10.45</w:t>
            </w:r>
            <w:r>
              <w:rPr/>
              <w:t>*</w:t>
            </w:r>
          </w:p>
        </w:tc>
        <w:tc>
          <w:tcPr>
            <w:tcW w:w="90" w:type="dxa"/>
            <w:tcBorders/>
            <w:shd w:fill="FFFFFF" w:val="clear"/>
            <w:vAlign w:val="center"/>
          </w:tcPr>
          <w:p>
            <w:pPr>
              <w:pStyle w:val="TableContents"/>
              <w:bidi w:val="0"/>
              <w:spacing w:before="0" w:after="283"/>
              <w:jc w:val="left"/>
              <w:rPr/>
            </w:pPr>
            <w:r>
              <w:rPr/>
              <w:t> </w:t>
            </w:r>
          </w:p>
        </w:tc>
        <w:tc>
          <w:tcPr>
            <w:tcW w:w="9543" w:type="dxa"/>
            <w:tcBorders/>
            <w:shd w:fill="FFFFFF" w:val="clear"/>
            <w:vAlign w:val="center"/>
          </w:tcPr>
          <w:p>
            <w:pPr>
              <w:pStyle w:val="TableContents"/>
              <w:bidi w:val="0"/>
              <w:spacing w:before="0" w:after="283"/>
              <w:jc w:val="both"/>
              <w:rPr/>
            </w:pPr>
            <w:hyperlink w:anchor="ea030132501ex10-45.htm">
              <w:r>
                <w:rPr>
                  <w:rStyle w:val="InternetLink"/>
                  <w:sz w:val="20"/>
                </w:rPr>
                <w:t>Securities Purchase Agreement between the Company and Pacific Pier Capital II, LP, dated April 14, 2026</w:t>
              </w:r>
            </w:hyperlink>
          </w:p>
        </w:tc>
      </w:tr>
      <w:tr>
        <w:trPr/>
        <w:tc>
          <w:tcPr>
            <w:tcW w:w="572" w:type="dxa"/>
            <w:tcBorders/>
            <w:shd w:fill="CCEEFF" w:val="clear"/>
            <w:vAlign w:val="center"/>
          </w:tcPr>
          <w:p>
            <w:pPr>
              <w:pStyle w:val="TableContents"/>
              <w:bidi w:val="0"/>
              <w:spacing w:before="0" w:after="283"/>
              <w:jc w:val="left"/>
              <w:rPr/>
            </w:pPr>
            <w:r>
              <w:rPr>
                <w:sz w:val="20"/>
              </w:rPr>
              <w:t>10.46</w:t>
            </w:r>
            <w:r>
              <w:rPr/>
              <w:t>*</w:t>
            </w:r>
          </w:p>
        </w:tc>
        <w:tc>
          <w:tcPr>
            <w:tcW w:w="90" w:type="dxa"/>
            <w:tcBorders/>
            <w:shd w:fill="CCEEFF" w:val="clear"/>
            <w:vAlign w:val="center"/>
          </w:tcPr>
          <w:p>
            <w:pPr>
              <w:pStyle w:val="TableContents"/>
              <w:bidi w:val="0"/>
              <w:spacing w:before="0" w:after="283"/>
              <w:jc w:val="left"/>
              <w:rPr/>
            </w:pPr>
            <w:r>
              <w:rPr/>
              <w:t> </w:t>
            </w:r>
          </w:p>
        </w:tc>
        <w:tc>
          <w:tcPr>
            <w:tcW w:w="9543" w:type="dxa"/>
            <w:tcBorders/>
            <w:shd w:fill="CCEEFF" w:val="clear"/>
            <w:vAlign w:val="center"/>
          </w:tcPr>
          <w:p>
            <w:pPr>
              <w:pStyle w:val="TableContents"/>
              <w:bidi w:val="0"/>
              <w:spacing w:before="0" w:after="283"/>
              <w:jc w:val="both"/>
              <w:rPr/>
            </w:pPr>
            <w:hyperlink w:anchor="ea030132501ex10-46.htm">
              <w:r>
                <w:rPr>
                  <w:rStyle w:val="InternetLink"/>
                  <w:sz w:val="20"/>
                </w:rPr>
                <w:t>Form of Note between the Company and Pacific Pier Capital II, LP, dated April 14, 2026</w:t>
              </w:r>
            </w:hyperlink>
          </w:p>
        </w:tc>
      </w:tr>
      <w:tr>
        <w:trPr/>
        <w:tc>
          <w:tcPr>
            <w:tcW w:w="572" w:type="dxa"/>
            <w:tcBorders/>
            <w:shd w:fill="FFFFFF" w:val="clear"/>
            <w:vAlign w:val="center"/>
          </w:tcPr>
          <w:p>
            <w:pPr>
              <w:pStyle w:val="TableContents"/>
              <w:bidi w:val="0"/>
              <w:spacing w:before="0" w:after="283"/>
              <w:jc w:val="left"/>
              <w:rPr/>
            </w:pPr>
            <w:r>
              <w:rPr>
                <w:sz w:val="20"/>
              </w:rPr>
              <w:t>10.47</w:t>
            </w:r>
            <w:r>
              <w:rPr/>
              <w:t>*</w:t>
            </w:r>
          </w:p>
        </w:tc>
        <w:tc>
          <w:tcPr>
            <w:tcW w:w="90" w:type="dxa"/>
            <w:tcBorders/>
            <w:shd w:fill="FFFFFF" w:val="clear"/>
            <w:vAlign w:val="center"/>
          </w:tcPr>
          <w:p>
            <w:pPr>
              <w:pStyle w:val="TableContents"/>
              <w:bidi w:val="0"/>
              <w:spacing w:before="0" w:after="283"/>
              <w:jc w:val="left"/>
              <w:rPr/>
            </w:pPr>
            <w:r>
              <w:rPr/>
              <w:t> </w:t>
            </w:r>
          </w:p>
        </w:tc>
        <w:tc>
          <w:tcPr>
            <w:tcW w:w="9543" w:type="dxa"/>
            <w:tcBorders/>
            <w:shd w:fill="FFFFFF" w:val="clear"/>
            <w:vAlign w:val="center"/>
          </w:tcPr>
          <w:p>
            <w:pPr>
              <w:pStyle w:val="TableContents"/>
              <w:bidi w:val="0"/>
              <w:spacing w:before="0" w:after="283"/>
              <w:jc w:val="both"/>
              <w:rPr/>
            </w:pPr>
            <w:hyperlink w:anchor="ea030132501ex10-47.htm">
              <w:r>
                <w:rPr>
                  <w:rStyle w:val="InternetLink"/>
                  <w:sz w:val="20"/>
                </w:rPr>
                <w:t>Securities Purchase Agreement between the Company and Labrys Fund II, L.P., dated April 20, 2026</w:t>
              </w:r>
            </w:hyperlink>
          </w:p>
        </w:tc>
      </w:tr>
      <w:tr>
        <w:trPr/>
        <w:tc>
          <w:tcPr>
            <w:tcW w:w="572" w:type="dxa"/>
            <w:tcBorders/>
            <w:shd w:fill="CCEEFF" w:val="clear"/>
            <w:vAlign w:val="center"/>
          </w:tcPr>
          <w:p>
            <w:pPr>
              <w:pStyle w:val="TableContents"/>
              <w:bidi w:val="0"/>
              <w:spacing w:before="0" w:after="283"/>
              <w:jc w:val="left"/>
              <w:rPr/>
            </w:pPr>
            <w:r>
              <w:rPr>
                <w:sz w:val="20"/>
              </w:rPr>
              <w:t>10.48</w:t>
            </w:r>
            <w:r>
              <w:rPr/>
              <w:t>*</w:t>
            </w:r>
          </w:p>
        </w:tc>
        <w:tc>
          <w:tcPr>
            <w:tcW w:w="90" w:type="dxa"/>
            <w:tcBorders/>
            <w:shd w:fill="CCEEFF" w:val="clear"/>
            <w:vAlign w:val="center"/>
          </w:tcPr>
          <w:p>
            <w:pPr>
              <w:pStyle w:val="TableContents"/>
              <w:bidi w:val="0"/>
              <w:spacing w:before="0" w:after="283"/>
              <w:jc w:val="left"/>
              <w:rPr/>
            </w:pPr>
            <w:r>
              <w:rPr/>
              <w:t> </w:t>
            </w:r>
          </w:p>
        </w:tc>
        <w:tc>
          <w:tcPr>
            <w:tcW w:w="9543" w:type="dxa"/>
            <w:tcBorders/>
            <w:shd w:fill="CCEEFF" w:val="clear"/>
            <w:vAlign w:val="center"/>
          </w:tcPr>
          <w:p>
            <w:pPr>
              <w:pStyle w:val="TableContents"/>
              <w:bidi w:val="0"/>
              <w:spacing w:before="0" w:after="283"/>
              <w:jc w:val="both"/>
              <w:rPr/>
            </w:pPr>
            <w:hyperlink w:anchor="ea030132501ex10-48.htm">
              <w:r>
                <w:rPr>
                  <w:rStyle w:val="InternetLink"/>
                  <w:sz w:val="20"/>
                </w:rPr>
                <w:t>Form of Note between the Company and Labrys Fund II, L.P, dated April 20, 2026</w:t>
              </w:r>
            </w:hyperlink>
          </w:p>
        </w:tc>
      </w:tr>
      <w:tr>
        <w:trPr/>
        <w:tc>
          <w:tcPr>
            <w:tcW w:w="572" w:type="dxa"/>
            <w:tcBorders/>
            <w:shd w:fill="FFFFFF" w:val="clear"/>
            <w:vAlign w:val="center"/>
          </w:tcPr>
          <w:p>
            <w:pPr>
              <w:pStyle w:val="TableContents"/>
              <w:bidi w:val="0"/>
              <w:spacing w:before="0" w:after="283"/>
              <w:jc w:val="left"/>
              <w:rPr/>
            </w:pPr>
            <w:r>
              <w:rPr>
                <w:sz w:val="20"/>
              </w:rPr>
              <w:t>10.49</w:t>
            </w:r>
            <w:r>
              <w:rPr/>
              <w:t>*</w:t>
            </w:r>
          </w:p>
        </w:tc>
        <w:tc>
          <w:tcPr>
            <w:tcW w:w="90" w:type="dxa"/>
            <w:tcBorders/>
            <w:shd w:fill="FFFFFF" w:val="clear"/>
            <w:vAlign w:val="center"/>
          </w:tcPr>
          <w:p>
            <w:pPr>
              <w:pStyle w:val="TableContents"/>
              <w:bidi w:val="0"/>
              <w:spacing w:before="0" w:after="283"/>
              <w:jc w:val="left"/>
              <w:rPr/>
            </w:pPr>
            <w:r>
              <w:rPr/>
              <w:t> </w:t>
            </w:r>
          </w:p>
        </w:tc>
        <w:tc>
          <w:tcPr>
            <w:tcW w:w="9543" w:type="dxa"/>
            <w:tcBorders/>
            <w:shd w:fill="FFFFFF" w:val="clear"/>
            <w:vAlign w:val="center"/>
          </w:tcPr>
          <w:p>
            <w:pPr>
              <w:pStyle w:val="TableContents"/>
              <w:bidi w:val="0"/>
              <w:spacing w:before="0" w:after="283"/>
              <w:jc w:val="both"/>
              <w:rPr/>
            </w:pPr>
            <w:hyperlink w:anchor="ea030132501ex10-49.htm">
              <w:r>
                <w:rPr>
                  <w:rStyle w:val="InternetLink"/>
                  <w:sz w:val="20"/>
                </w:rPr>
                <w:t>Securities Purchase Agreement between the Company and White Lion Capital LLC, dated April 27, 2026</w:t>
              </w:r>
            </w:hyperlink>
          </w:p>
        </w:tc>
      </w:tr>
      <w:tr>
        <w:trPr/>
        <w:tc>
          <w:tcPr>
            <w:tcW w:w="572" w:type="dxa"/>
            <w:tcBorders/>
            <w:shd w:fill="CCEEFF" w:val="clear"/>
            <w:vAlign w:val="center"/>
          </w:tcPr>
          <w:p>
            <w:pPr>
              <w:pStyle w:val="TableContents"/>
              <w:bidi w:val="0"/>
              <w:spacing w:before="0" w:after="283"/>
              <w:jc w:val="left"/>
              <w:rPr/>
            </w:pPr>
            <w:r>
              <w:rPr>
                <w:sz w:val="20"/>
              </w:rPr>
              <w:t>10.50</w:t>
            </w:r>
            <w:r>
              <w:rPr/>
              <w:t>*</w:t>
            </w:r>
          </w:p>
        </w:tc>
        <w:tc>
          <w:tcPr>
            <w:tcW w:w="90" w:type="dxa"/>
            <w:tcBorders/>
            <w:shd w:fill="CCEEFF" w:val="clear"/>
            <w:vAlign w:val="center"/>
          </w:tcPr>
          <w:p>
            <w:pPr>
              <w:pStyle w:val="TableContents"/>
              <w:bidi w:val="0"/>
              <w:spacing w:before="0" w:after="283"/>
              <w:jc w:val="left"/>
              <w:rPr/>
            </w:pPr>
            <w:r>
              <w:rPr/>
              <w:t> </w:t>
            </w:r>
          </w:p>
        </w:tc>
        <w:tc>
          <w:tcPr>
            <w:tcW w:w="9543" w:type="dxa"/>
            <w:tcBorders/>
            <w:shd w:fill="CCEEFF" w:val="clear"/>
            <w:vAlign w:val="center"/>
          </w:tcPr>
          <w:p>
            <w:pPr>
              <w:pStyle w:val="TableContents"/>
              <w:bidi w:val="0"/>
              <w:spacing w:before="0" w:after="283"/>
              <w:jc w:val="both"/>
              <w:rPr/>
            </w:pPr>
            <w:hyperlink w:anchor="ea030132501ex10-50.htm">
              <w:r>
                <w:rPr>
                  <w:rStyle w:val="InternetLink"/>
                  <w:sz w:val="20"/>
                </w:rPr>
                <w:t>Form of Note between the Company and White Lion Capital LLC, dated April 27, 2026</w:t>
              </w:r>
            </w:hyperlink>
          </w:p>
        </w:tc>
      </w:tr>
      <w:tr>
        <w:trPr/>
        <w:tc>
          <w:tcPr>
            <w:tcW w:w="572" w:type="dxa"/>
            <w:tcBorders/>
            <w:shd w:fill="FFFFFF" w:val="clear"/>
            <w:vAlign w:val="center"/>
          </w:tcPr>
          <w:p>
            <w:pPr>
              <w:pStyle w:val="TableContents"/>
              <w:bidi w:val="0"/>
              <w:spacing w:before="0" w:after="283"/>
              <w:jc w:val="left"/>
              <w:rPr/>
            </w:pPr>
            <w:r>
              <w:rPr>
                <w:sz w:val="20"/>
              </w:rPr>
              <w:t>10.51</w:t>
            </w:r>
            <w:r>
              <w:rPr/>
              <w:t>*</w:t>
            </w:r>
          </w:p>
        </w:tc>
        <w:tc>
          <w:tcPr>
            <w:tcW w:w="90" w:type="dxa"/>
            <w:tcBorders/>
            <w:shd w:fill="FFFFFF" w:val="clear"/>
            <w:vAlign w:val="center"/>
          </w:tcPr>
          <w:p>
            <w:pPr>
              <w:pStyle w:val="TableContents"/>
              <w:bidi w:val="0"/>
              <w:spacing w:before="0" w:after="283"/>
              <w:jc w:val="left"/>
              <w:rPr/>
            </w:pPr>
            <w:r>
              <w:rPr/>
              <w:t> </w:t>
            </w:r>
          </w:p>
        </w:tc>
        <w:tc>
          <w:tcPr>
            <w:tcW w:w="9543" w:type="dxa"/>
            <w:tcBorders/>
            <w:shd w:fill="FFFFFF" w:val="clear"/>
            <w:vAlign w:val="center"/>
          </w:tcPr>
          <w:p>
            <w:pPr>
              <w:pStyle w:val="TableContents"/>
              <w:bidi w:val="0"/>
              <w:spacing w:before="0" w:after="283"/>
              <w:jc w:val="both"/>
              <w:rPr/>
            </w:pPr>
            <w:hyperlink w:anchor="ea030132501ex10-51.htm">
              <w:r>
                <w:rPr>
                  <w:rStyle w:val="InternetLink"/>
                  <w:sz w:val="20"/>
                </w:rPr>
                <w:t>Heads of Agreement between the Company and PredicXion Group Limited dated May 15, 2026</w:t>
              </w:r>
            </w:hyperlink>
          </w:p>
        </w:tc>
      </w:tr>
      <w:tr>
        <w:trPr/>
        <w:tc>
          <w:tcPr>
            <w:tcW w:w="572" w:type="dxa"/>
            <w:tcBorders/>
            <w:shd w:fill="CCEEFF" w:val="clear"/>
            <w:vAlign w:val="center"/>
          </w:tcPr>
          <w:p>
            <w:pPr>
              <w:pStyle w:val="TableContents"/>
              <w:bidi w:val="0"/>
              <w:spacing w:before="0" w:after="283"/>
              <w:jc w:val="left"/>
              <w:rPr>
                <w:sz w:val="20"/>
              </w:rPr>
            </w:pPr>
            <w:r>
              <w:rPr>
                <w:sz w:val="20"/>
              </w:rPr>
              <w:t>10.52</w:t>
            </w:r>
          </w:p>
        </w:tc>
        <w:tc>
          <w:tcPr>
            <w:tcW w:w="90" w:type="dxa"/>
            <w:tcBorders/>
            <w:shd w:fill="CCEEFF" w:val="clear"/>
            <w:vAlign w:val="center"/>
          </w:tcPr>
          <w:p>
            <w:pPr>
              <w:pStyle w:val="TableContents"/>
              <w:bidi w:val="0"/>
              <w:spacing w:before="0" w:after="283"/>
              <w:jc w:val="left"/>
              <w:rPr/>
            </w:pPr>
            <w:r>
              <w:rPr/>
              <w:t> </w:t>
            </w:r>
          </w:p>
        </w:tc>
        <w:tc>
          <w:tcPr>
            <w:tcW w:w="9543" w:type="dxa"/>
            <w:tcBorders/>
            <w:shd w:fill="CCEEFF" w:val="clear"/>
            <w:vAlign w:val="center"/>
          </w:tcPr>
          <w:p>
            <w:pPr>
              <w:pStyle w:val="TableContents"/>
              <w:bidi w:val="0"/>
              <w:spacing w:before="0" w:after="283"/>
              <w:jc w:val="both"/>
              <w:rPr/>
            </w:pPr>
            <w:hyperlink r:id="rId60">
              <w:r>
                <w:rPr>
                  <w:rStyle w:val="InternetLink"/>
                  <w:sz w:val="20"/>
                </w:rPr>
                <w:t>Share Purchase Agreement between the Company and PredicXion Group Limited dated May 28, 2026 (incorporated by reference to Exhibit 10.1 of the Company’s current report on Form 6-k furnished to the SEC on May 28, 2026)</w:t>
              </w:r>
            </w:hyperlink>
          </w:p>
        </w:tc>
      </w:tr>
      <w:tr>
        <w:trPr/>
        <w:tc>
          <w:tcPr>
            <w:tcW w:w="572" w:type="dxa"/>
            <w:tcBorders/>
            <w:shd w:fill="FFFFFF" w:val="clear"/>
            <w:vAlign w:val="center"/>
          </w:tcPr>
          <w:p>
            <w:pPr>
              <w:pStyle w:val="TableContents"/>
              <w:bidi w:val="0"/>
              <w:spacing w:before="0" w:after="283"/>
              <w:jc w:val="left"/>
              <w:rPr>
                <w:sz w:val="20"/>
              </w:rPr>
            </w:pPr>
            <w:r>
              <w:rPr>
                <w:sz w:val="20"/>
              </w:rPr>
              <w:t>10.53</w:t>
            </w:r>
          </w:p>
        </w:tc>
        <w:tc>
          <w:tcPr>
            <w:tcW w:w="90" w:type="dxa"/>
            <w:tcBorders/>
            <w:shd w:fill="FFFFFF" w:val="clear"/>
            <w:vAlign w:val="center"/>
          </w:tcPr>
          <w:p>
            <w:pPr>
              <w:pStyle w:val="TableContents"/>
              <w:bidi w:val="0"/>
              <w:spacing w:before="0" w:after="283"/>
              <w:jc w:val="left"/>
              <w:rPr/>
            </w:pPr>
            <w:r>
              <w:rPr/>
              <w:t> </w:t>
            </w:r>
          </w:p>
        </w:tc>
        <w:tc>
          <w:tcPr>
            <w:tcW w:w="9543" w:type="dxa"/>
            <w:tcBorders/>
            <w:shd w:fill="FFFFFF" w:val="clear"/>
            <w:vAlign w:val="center"/>
          </w:tcPr>
          <w:p>
            <w:pPr>
              <w:pStyle w:val="TableContents"/>
              <w:bidi w:val="0"/>
              <w:spacing w:before="0" w:after="283"/>
              <w:jc w:val="both"/>
              <w:rPr/>
            </w:pPr>
            <w:hyperlink r:id="rId61">
              <w:r>
                <w:rPr>
                  <w:rStyle w:val="InternetLink"/>
                  <w:sz w:val="20"/>
                </w:rPr>
                <w:t>Exclusive Agency Agreement between the Company and PredicXion Group Limited dated May 28, 2026 (incorporated by reference to Exhibit 10.2 of the Company’s current report on Form 6-k furnished to the SEC on May 28, 2026)</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
        <w:gridCol w:w="90"/>
        <w:gridCol w:w="9404"/>
      </w:tblGrid>
      <w:tr>
        <w:trPr/>
        <w:tc>
          <w:tcPr>
            <w:tcW w:w="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10.54</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both"/>
              <w:rPr/>
            </w:pPr>
            <w:hyperlink r:id="rId62">
              <w:r>
                <w:rPr>
                  <w:rStyle w:val="InternetLink"/>
                  <w:rFonts w:ascii="Times New Roman;Times;Serif" w:hAnsi="Times New Roman;Times;Serif"/>
                  <w:sz w:val="20"/>
                </w:rPr>
                <w:t>Share Purchase Agreement between the Company and PredicXion Group Limited dated June 2, 2026 (incorporated by reference to Exhibit 10.1 of the Company’s current report on Form 6-k furnished to the SEC on June 4, 2026)</w:t>
              </w:r>
            </w:hyperlink>
          </w:p>
        </w:tc>
      </w:tr>
      <w:tr>
        <w:trPr/>
        <w:tc>
          <w:tcPr>
            <w:tcW w:w="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10.55*</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both"/>
              <w:rPr/>
            </w:pPr>
            <w:hyperlink w:anchor="ea030132501ex10-55.htm">
              <w:r>
                <w:rPr>
                  <w:rStyle w:val="InternetLink"/>
                  <w:rFonts w:ascii="Times New Roman;Times;Serif" w:hAnsi="Times New Roman;Times;Serif"/>
                  <w:sz w:val="20"/>
                </w:rPr>
                <w:t>Securities Purchase Agreement between the Company and Vanquish Funding Group Inc. dated June 2, 2026</w:t>
              </w:r>
            </w:hyperlink>
          </w:p>
        </w:tc>
      </w:tr>
      <w:tr>
        <w:trPr/>
        <w:tc>
          <w:tcPr>
            <w:tcW w:w="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10.56*</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both"/>
              <w:rPr/>
            </w:pPr>
            <w:hyperlink w:anchor="ea030132501ex10-56.htm">
              <w:r>
                <w:rPr>
                  <w:rStyle w:val="InternetLink"/>
                  <w:rFonts w:ascii="Times New Roman;Times;Serif" w:hAnsi="Times New Roman;Times;Serif"/>
                  <w:sz w:val="20"/>
                </w:rPr>
                <w:t>Convertible Promissory Note between the Company and Vanquish Funding Group Inc., dated June 2, 2026</w:t>
              </w:r>
            </w:hyperlink>
          </w:p>
        </w:tc>
      </w:tr>
      <w:tr>
        <w:trPr/>
        <w:tc>
          <w:tcPr>
            <w:tcW w:w="711" w:type="dxa"/>
            <w:tcBorders/>
            <w:shd w:fill="FFFFFF" w:val="clear"/>
            <w:vAlign w:val="center"/>
          </w:tcPr>
          <w:p>
            <w:pPr>
              <w:pStyle w:val="TableContents"/>
              <w:bidi w:val="0"/>
              <w:spacing w:before="0" w:after="283"/>
              <w:jc w:val="left"/>
              <w:rPr/>
            </w:pPr>
            <w:r>
              <w:rPr>
                <w:rFonts w:ascii="Times New Roman;Times;Serif" w:hAnsi="Times New Roman;Times;Serif"/>
                <w:sz w:val="20"/>
              </w:rPr>
              <w:t>10.57</w:t>
            </w: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both"/>
              <w:rPr/>
            </w:pPr>
            <w:hyperlink w:anchor="ea030132501ex10-57.htm">
              <w:r>
                <w:rPr>
                  <w:rStyle w:val="InternetLink"/>
                  <w:rFonts w:ascii="Times New Roman;Times;Serif" w:hAnsi="Times New Roman;Times;Serif"/>
                  <w:sz w:val="20"/>
                </w:rPr>
                <w:t>Repurchase and Forbearance Agreement between the Company and JAK Opportunities VI LLC, dated June 15, 2026</w:t>
              </w:r>
            </w:hyperlink>
          </w:p>
        </w:tc>
      </w:tr>
      <w:tr>
        <w:trPr/>
        <w:tc>
          <w:tcPr>
            <w:tcW w:w="711" w:type="dxa"/>
            <w:tcBorders/>
            <w:shd w:fill="CCEEFF" w:val="clear"/>
            <w:vAlign w:val="center"/>
          </w:tcPr>
          <w:p>
            <w:pPr>
              <w:pStyle w:val="TableContents"/>
              <w:bidi w:val="0"/>
              <w:spacing w:before="0" w:after="283"/>
              <w:jc w:val="left"/>
              <w:rPr/>
            </w:pPr>
            <w:r>
              <w:rPr>
                <w:rFonts w:ascii="Times New Roman;Times;Serif" w:hAnsi="Times New Roman;Times;Serif"/>
                <w:sz w:val="20"/>
              </w:rPr>
              <w:t>10.58</w:t>
            </w: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both"/>
              <w:rPr/>
            </w:pPr>
            <w:hyperlink w:anchor="ea030132501ex10-58.htm">
              <w:r>
                <w:rPr>
                  <w:rStyle w:val="InternetLink"/>
                  <w:rFonts w:ascii="Times New Roman;Times;Serif" w:hAnsi="Times New Roman;Times;Serif"/>
                  <w:sz w:val="20"/>
                </w:rPr>
                <w:t>Securities Purchase Agreement between the Company and White Lion Capital LLC, dated May 26, 2026</w:t>
              </w:r>
            </w:hyperlink>
          </w:p>
        </w:tc>
      </w:tr>
      <w:tr>
        <w:trPr/>
        <w:tc>
          <w:tcPr>
            <w:tcW w:w="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10.59*</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both"/>
              <w:rPr/>
            </w:pPr>
            <w:hyperlink w:anchor="ea030132501ex10-59.htm">
              <w:r>
                <w:rPr>
                  <w:rStyle w:val="InternetLink"/>
                  <w:rFonts w:ascii="Times New Roman;Times;Serif" w:hAnsi="Times New Roman;Times;Serif"/>
                  <w:sz w:val="20"/>
                </w:rPr>
                <w:t>Form of Note between the Company and White Lion Capital LLC, dated May 26, 2026</w:t>
              </w:r>
            </w:hyperlink>
          </w:p>
        </w:tc>
      </w:tr>
      <w:tr>
        <w:trPr/>
        <w:tc>
          <w:tcPr>
            <w:tcW w:w="711" w:type="dxa"/>
            <w:tcBorders/>
            <w:shd w:fill="CCEEFF" w:val="clear"/>
            <w:vAlign w:val="center"/>
          </w:tcPr>
          <w:p>
            <w:pPr>
              <w:pStyle w:val="TableContents"/>
              <w:bidi w:val="0"/>
              <w:spacing w:before="0" w:after="283"/>
              <w:jc w:val="left"/>
              <w:rPr/>
            </w:pPr>
            <w:r>
              <w:rPr>
                <w:rFonts w:ascii="Times New Roman;Times;Serif" w:hAnsi="Times New Roman;Times;Serif"/>
                <w:sz w:val="20"/>
              </w:rPr>
              <w:t>10.60</w:t>
            </w: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both"/>
              <w:rPr/>
            </w:pPr>
            <w:hyperlink w:anchor="ea030132501ex10-60.htm">
              <w:r>
                <w:rPr>
                  <w:rStyle w:val="InternetLink"/>
                  <w:rFonts w:ascii="Times New Roman;Times;Serif" w:hAnsi="Times New Roman;Times;Serif"/>
                  <w:sz w:val="20"/>
                </w:rPr>
                <w:t>Securities Purchase Agreement between the Company and White Lion Capital LLC, dated June 8, 2026</w:t>
              </w:r>
            </w:hyperlink>
          </w:p>
        </w:tc>
      </w:tr>
      <w:tr>
        <w:trPr/>
        <w:tc>
          <w:tcPr>
            <w:tcW w:w="711" w:type="dxa"/>
            <w:tcBorders/>
            <w:shd w:fill="FFFFFF" w:val="clear"/>
            <w:vAlign w:val="center"/>
          </w:tcPr>
          <w:p>
            <w:pPr>
              <w:pStyle w:val="TableContents"/>
              <w:bidi w:val="0"/>
              <w:spacing w:before="0" w:after="283"/>
              <w:jc w:val="left"/>
              <w:rPr/>
            </w:pPr>
            <w:r>
              <w:rPr>
                <w:rFonts w:ascii="Times New Roman;Times;Serif" w:hAnsi="Times New Roman;Times;Serif"/>
                <w:sz w:val="20"/>
              </w:rPr>
              <w:t>10.61</w:t>
            </w: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both"/>
              <w:rPr/>
            </w:pPr>
            <w:hyperlink w:anchor="ea030132501ex10-61.htm">
              <w:r>
                <w:rPr>
                  <w:rStyle w:val="InternetLink"/>
                  <w:rFonts w:ascii="Times New Roman;Times;Serif" w:hAnsi="Times New Roman;Times;Serif"/>
                  <w:sz w:val="20"/>
                </w:rPr>
                <w:t>Form of Note between the Company and White Lion Capital LLC, dated June 8, 2026</w:t>
              </w:r>
            </w:hyperlink>
          </w:p>
        </w:tc>
      </w:tr>
      <w:tr>
        <w:trPr/>
        <w:tc>
          <w:tcPr>
            <w:tcW w:w="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10.62</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both"/>
              <w:rPr/>
            </w:pPr>
            <w:hyperlink r:id="rId63">
              <w:r>
                <w:rPr>
                  <w:rStyle w:val="InternetLink"/>
                  <w:rFonts w:ascii="Times New Roman;Times;Serif" w:hAnsi="Times New Roman;Times;Serif"/>
                  <w:sz w:val="20"/>
                </w:rPr>
                <w:t>Share Purchase Agreement between the Company and PredicXion Group Limited dated June 18, 2026 (incorporated by reference to Exhibit 10.1 of the Company’s current report on Form 6-k furnished to the SEC on June 18, 2026)</w:t>
              </w:r>
            </w:hyperlink>
          </w:p>
        </w:tc>
      </w:tr>
      <w:tr>
        <w:trPr/>
        <w:tc>
          <w:tcPr>
            <w:tcW w:w="711" w:type="dxa"/>
            <w:tcBorders/>
            <w:shd w:fill="FFFFFF" w:val="clear"/>
            <w:vAlign w:val="center"/>
          </w:tcPr>
          <w:p>
            <w:pPr>
              <w:pStyle w:val="TableContents"/>
              <w:bidi w:val="0"/>
              <w:spacing w:before="0" w:after="283"/>
              <w:jc w:val="left"/>
              <w:rPr/>
            </w:pPr>
            <w:r>
              <w:rPr>
                <w:rFonts w:ascii="Times New Roman;Times;Serif" w:hAnsi="Times New Roman;Times;Serif"/>
                <w:sz w:val="20"/>
              </w:rPr>
              <w:t>10.63</w:t>
            </w: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both"/>
              <w:rPr/>
            </w:pPr>
            <w:hyperlink w:anchor="ea030132501ex10-63.htm">
              <w:r>
                <w:rPr>
                  <w:rStyle w:val="InternetLink"/>
                  <w:rFonts w:ascii="Times New Roman;Times;Serif" w:hAnsi="Times New Roman;Times;Serif"/>
                  <w:sz w:val="20"/>
                </w:rPr>
                <w:t>Securities Purchase Agreement between the Company and White Lion Capital LLC, dated June 22, 2026</w:t>
              </w:r>
            </w:hyperlink>
          </w:p>
        </w:tc>
      </w:tr>
      <w:tr>
        <w:trPr/>
        <w:tc>
          <w:tcPr>
            <w:tcW w:w="711" w:type="dxa"/>
            <w:tcBorders/>
            <w:shd w:fill="CCEEFF" w:val="clear"/>
            <w:vAlign w:val="center"/>
          </w:tcPr>
          <w:p>
            <w:pPr>
              <w:pStyle w:val="TableContents"/>
              <w:bidi w:val="0"/>
              <w:spacing w:before="0" w:after="283"/>
              <w:jc w:val="left"/>
              <w:rPr/>
            </w:pPr>
            <w:r>
              <w:rPr>
                <w:rFonts w:ascii="Times New Roman;Times;Serif" w:hAnsi="Times New Roman;Times;Serif"/>
                <w:sz w:val="20"/>
              </w:rPr>
              <w:t>10.64</w:t>
            </w: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both"/>
              <w:rPr/>
            </w:pPr>
            <w:hyperlink w:anchor="ea030132501ex10-64.htm">
              <w:r>
                <w:rPr>
                  <w:rStyle w:val="InternetLink"/>
                  <w:rFonts w:ascii="Times New Roman;Times;Serif" w:hAnsi="Times New Roman;Times;Serif"/>
                  <w:sz w:val="20"/>
                </w:rPr>
                <w:t>Form of Note between the Company and White Lion Capital LLC, dated June 22, 2026</w:t>
              </w:r>
            </w:hyperlink>
          </w:p>
        </w:tc>
      </w:tr>
      <w:tr>
        <w:trPr/>
        <w:tc>
          <w:tcPr>
            <w:tcW w:w="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10.65*</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both"/>
              <w:rPr/>
            </w:pPr>
            <w:hyperlink w:anchor="ea030132501ex10-65.htm">
              <w:r>
                <w:rPr>
                  <w:rStyle w:val="InternetLink"/>
                  <w:rFonts w:ascii="Times New Roman;Times;Serif" w:hAnsi="Times New Roman;Times;Serif"/>
                  <w:sz w:val="20"/>
                </w:rPr>
                <w:t>Securities Purchase Agreement between the Company and Vanquish Funding Group Inc. dated August 10, 2026</w:t>
              </w:r>
            </w:hyperlink>
          </w:p>
        </w:tc>
      </w:tr>
      <w:tr>
        <w:trPr/>
        <w:tc>
          <w:tcPr>
            <w:tcW w:w="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10.66*</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both"/>
              <w:rPr/>
            </w:pPr>
            <w:hyperlink w:anchor="ea030132501ex10-66.htm">
              <w:r>
                <w:rPr>
                  <w:rStyle w:val="InternetLink"/>
                  <w:rFonts w:ascii="Times New Roman;Times;Serif" w:hAnsi="Times New Roman;Times;Serif"/>
                  <w:sz w:val="20"/>
                </w:rPr>
                <w:t>Convertible Promissory Note between the Company and Vanquish Funding Group Inc., dated August 10, 2026</w:t>
              </w:r>
            </w:hyperlink>
          </w:p>
        </w:tc>
      </w:tr>
      <w:tr>
        <w:trPr/>
        <w:tc>
          <w:tcPr>
            <w:tcW w:w="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10.67</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both"/>
              <w:rPr/>
            </w:pPr>
            <w:hyperlink r:id="rId64">
              <w:r>
                <w:rPr>
                  <w:rStyle w:val="InternetLink"/>
                  <w:rFonts w:ascii="Times New Roman;Times;Serif" w:hAnsi="Times New Roman;Times;Serif"/>
                  <w:sz w:val="20"/>
                </w:rPr>
                <w:t>Amendment and Exchange Agreement between the Company and an investor dated August 11, 2026 (incorporated by reference to Exhibit 10.1 of the Company’s current report on Form 6-K furnished to the SEC on August 17, 2026)</w:t>
              </w:r>
            </w:hyperlink>
          </w:p>
        </w:tc>
      </w:tr>
      <w:tr>
        <w:trPr/>
        <w:tc>
          <w:tcPr>
            <w:tcW w:w="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10.68</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both"/>
              <w:rPr/>
            </w:pPr>
            <w:hyperlink r:id="rId65">
              <w:r>
                <w:rPr>
                  <w:rStyle w:val="InternetLink"/>
                  <w:rFonts w:ascii="Times New Roman;Times;Serif" w:hAnsi="Times New Roman;Times;Serif"/>
                  <w:sz w:val="20"/>
                </w:rPr>
                <w:t>Form of Note between the Company and an investor dated August 14, 2026 (incorporated by reference to Exhibit 10.2 of the Company’s current report on Form 6-K furnished to the SEC on August 17, 2026)</w:t>
              </w:r>
            </w:hyperlink>
          </w:p>
        </w:tc>
      </w:tr>
      <w:tr>
        <w:trPr/>
        <w:tc>
          <w:tcPr>
            <w:tcW w:w="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10.69*</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both"/>
              <w:rPr/>
            </w:pPr>
            <w:hyperlink w:anchor="ea030132501ex10-69.htm">
              <w:r>
                <w:rPr>
                  <w:rStyle w:val="InternetLink"/>
                  <w:rFonts w:ascii="Times New Roman;Times;Serif" w:hAnsi="Times New Roman;Times;Serif"/>
                  <w:sz w:val="20"/>
                </w:rPr>
                <w:t>Securities Purchase Agreement between the Company and Hinterland Partners LLC, dated August 17, 2026</w:t>
              </w:r>
            </w:hyperlink>
          </w:p>
        </w:tc>
      </w:tr>
      <w:tr>
        <w:trPr/>
        <w:tc>
          <w:tcPr>
            <w:tcW w:w="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10.70*</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both"/>
              <w:rPr/>
            </w:pPr>
            <w:hyperlink w:anchor="ea030132501ex10-70.htm">
              <w:r>
                <w:rPr>
                  <w:rStyle w:val="InternetLink"/>
                  <w:rFonts w:ascii="Times New Roman;Times;Serif" w:hAnsi="Times New Roman;Times;Serif"/>
                  <w:sz w:val="20"/>
                </w:rPr>
                <w:t>Convertible Promissory Note between the Company and Hinterland Partners LLC, dated August 17, 2026</w:t>
              </w:r>
            </w:hyperlink>
          </w:p>
        </w:tc>
      </w:tr>
      <w:tr>
        <w:trPr/>
        <w:tc>
          <w:tcPr>
            <w:tcW w:w="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10.71*</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both"/>
              <w:rPr/>
            </w:pPr>
            <w:hyperlink w:anchor="ea030132501ex10-71.htm">
              <w:r>
                <w:rPr>
                  <w:rStyle w:val="InternetLink"/>
                  <w:rFonts w:ascii="Times New Roman;Times;Serif" w:hAnsi="Times New Roman;Times;Serif"/>
                  <w:sz w:val="20"/>
                </w:rPr>
                <w:t>Form of Lock-Up Agreement</w:t>
              </w:r>
            </w:hyperlink>
          </w:p>
        </w:tc>
      </w:tr>
      <w:tr>
        <w:trPr/>
        <w:tc>
          <w:tcPr>
            <w:tcW w:w="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both"/>
              <w:rPr/>
            </w:pPr>
            <w:hyperlink w:anchor="ea030132501ex21-1.htm">
              <w:r>
                <w:rPr>
                  <w:rStyle w:val="InternetLink"/>
                  <w:rFonts w:ascii="Times New Roman;Times;Serif" w:hAnsi="Times New Roman;Times;Serif"/>
                  <w:sz w:val="20"/>
                </w:rPr>
                <w:t>List of Subsidiaries</w:t>
              </w:r>
            </w:hyperlink>
          </w:p>
        </w:tc>
      </w:tr>
      <w:tr>
        <w:trPr/>
        <w:tc>
          <w:tcPr>
            <w:tcW w:w="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left"/>
              <w:rPr/>
            </w:pPr>
            <w:hyperlink w:anchor="ea030132501ex23-1.htm">
              <w:r>
                <w:rPr>
                  <w:rStyle w:val="InternetLink"/>
                  <w:rFonts w:ascii="Times New Roman;Times;Serif" w:hAnsi="Times New Roman;Times;Serif"/>
                  <w:sz w:val="20"/>
                </w:rPr>
                <w:t>Consent Letter from J&amp;S Associate PLT</w:t>
              </w:r>
            </w:hyperlink>
          </w:p>
        </w:tc>
      </w:tr>
      <w:tr>
        <w:trPr/>
        <w:tc>
          <w:tcPr>
            <w:tcW w:w="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 of Ogier (included in Exhibit 5.1)</w:t>
            </w:r>
          </w:p>
        </w:tc>
      </w:tr>
      <w:tr>
        <w:trPr/>
        <w:tc>
          <w:tcPr>
            <w:tcW w:w="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left"/>
              <w:rPr/>
            </w:pPr>
            <w:hyperlink w:anchor="poa">
              <w:r>
                <w:rPr>
                  <w:rStyle w:val="InternetLink"/>
                  <w:rFonts w:ascii="Times New Roman;Times;Serif" w:hAnsi="Times New Roman;Times;Serif"/>
                  <w:sz w:val="20"/>
                </w:rPr>
                <w:t>Power of Attorney</w:t>
              </w:r>
            </w:hyperlink>
          </w:p>
        </w:tc>
      </w:tr>
      <w:tr>
        <w:trPr/>
        <w:tc>
          <w:tcPr>
            <w:tcW w:w="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both"/>
              <w:rPr/>
            </w:pPr>
            <w:hyperlink r:id="rId66">
              <w:r>
                <w:rPr>
                  <w:rStyle w:val="InternetLink"/>
                  <w:rFonts w:ascii="Times New Roman;Times;Serif" w:hAnsi="Times New Roman;Times;Serif"/>
                  <w:sz w:val="20"/>
                </w:rPr>
                <w:t>Clawback Policy of the Company. (incorporated by reference to Exhibit 97.1 of the Company’s annual report on Form 20-F filed with the SEC on August 20, 2024)</w:t>
              </w:r>
            </w:hyperlink>
          </w:p>
        </w:tc>
      </w:tr>
      <w:tr>
        <w:trPr/>
        <w:tc>
          <w:tcPr>
            <w:tcW w:w="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FFFFFF" w:val="clear"/>
            <w:vAlign w:val="center"/>
          </w:tcPr>
          <w:p>
            <w:pPr>
              <w:pStyle w:val="TableContents"/>
              <w:bidi w:val="0"/>
              <w:spacing w:before="0" w:after="283"/>
              <w:jc w:val="left"/>
              <w:rPr/>
            </w:pPr>
            <w:r>
              <w:rPr/>
              <w:t> </w:t>
            </w:r>
          </w:p>
        </w:tc>
        <w:tc>
          <w:tcPr>
            <w:tcW w:w="94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r>
        <w:trPr/>
        <w:tc>
          <w:tcPr>
            <w:tcW w:w="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vAlign w:val="center"/>
          </w:tcPr>
          <w:p>
            <w:pPr>
              <w:pStyle w:val="TableContents"/>
              <w:bidi w:val="0"/>
              <w:spacing w:before="0" w:after="283"/>
              <w:jc w:val="left"/>
              <w:rPr/>
            </w:pPr>
            <w:r>
              <w:rPr/>
              <w:t> </w:t>
            </w:r>
          </w:p>
        </w:tc>
        <w:tc>
          <w:tcPr>
            <w:tcW w:w="9404" w:type="dxa"/>
            <w:tcBorders/>
            <w:shd w:fill="CCEEFF" w:val="clear"/>
            <w:vAlign w:val="center"/>
          </w:tcPr>
          <w:p>
            <w:pPr>
              <w:pStyle w:val="TableContents"/>
              <w:bidi w:val="0"/>
              <w:spacing w:before="0" w:after="283"/>
              <w:jc w:val="left"/>
              <w:rPr/>
            </w:pPr>
            <w:hyperlink w:anchor="ea030132501ex-fee.htm">
              <w:r>
                <w:rPr>
                  <w:rStyle w:val="InternetLink"/>
                  <w:rFonts w:ascii="Times New Roman;Times;Serif" w:hAnsi="Times New Roman;Times;Serif"/>
                  <w:sz w:val="20"/>
                </w:rPr>
                <w:t>Fee Table</w:t>
              </w:r>
            </w:hyperlink>
          </w:p>
        </w:tc>
      </w:tr>
    </w:tbl>
    <w:p>
      <w:pPr>
        <w:pStyle w:val="TextBody"/>
        <w:bidi w:val="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283"/>
              <w:jc w:val="left"/>
              <w:rPr>
                <w:sz w:val="20"/>
              </w:rPr>
            </w:pPr>
            <w:r>
              <w:rPr>
                <w:sz w:val="20"/>
              </w:rPr>
              <w:t>*</w:t>
            </w:r>
          </w:p>
        </w:tc>
        <w:tc>
          <w:tcPr>
            <w:tcW w:w="2270" w:type="dxa"/>
            <w:tcBorders/>
            <w:vAlign w:val="center"/>
          </w:tcPr>
          <w:p>
            <w:pPr>
              <w:pStyle w:val="TableContents"/>
              <w:bidi w:val="0"/>
              <w:spacing w:before="0" w:after="283"/>
              <w:jc w:val="left"/>
              <w:rPr>
                <w:sz w:val="20"/>
              </w:rPr>
            </w:pPr>
            <w:r>
              <w:rPr>
                <w:sz w:val="20"/>
              </w:rPr>
              <w:t>Filed herewith.</w:t>
            </w:r>
          </w:p>
        </w:tc>
      </w:tr>
      <w:tr>
        <w:trPr/>
        <w:tc>
          <w:tcPr>
            <w:tcW w:w="275" w:type="dxa"/>
            <w:tcBorders/>
            <w:vAlign w:val="center"/>
          </w:tcPr>
          <w:p>
            <w:pPr>
              <w:pStyle w:val="TableContents"/>
              <w:bidi w:val="0"/>
              <w:spacing w:before="0" w:after="283"/>
              <w:jc w:val="left"/>
              <w:rPr>
                <w:sz w:val="20"/>
              </w:rPr>
            </w:pPr>
            <w:r>
              <w:rPr>
                <w:sz w:val="20"/>
              </w:rPr>
              <w:t>**</w:t>
            </w:r>
          </w:p>
        </w:tc>
        <w:tc>
          <w:tcPr>
            <w:tcW w:w="2270" w:type="dxa"/>
            <w:tcBorders/>
            <w:vAlign w:val="center"/>
          </w:tcPr>
          <w:p>
            <w:pPr>
              <w:pStyle w:val="TableContents"/>
              <w:bidi w:val="0"/>
              <w:spacing w:before="0" w:after="283"/>
              <w:jc w:val="left"/>
              <w:rPr>
                <w:sz w:val="20"/>
              </w:rPr>
            </w:pPr>
            <w:r>
              <w:rPr>
                <w:sz w:val="20"/>
              </w:rPr>
              <w:t>To be filed by amendment.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75"/>
        <w:gridCol w:w="3935"/>
      </w:tblGrid>
      <w:tr>
        <w:trPr/>
        <w:tc>
          <w:tcPr>
            <w:tcW w:w="275" w:type="dxa"/>
            <w:tcBorders/>
            <w:vAlign w:val="center"/>
          </w:tcPr>
          <w:p>
            <w:pPr>
              <w:pStyle w:val="TableContents"/>
              <w:bidi w:val="0"/>
              <w:spacing w:before="0" w:after="283"/>
              <w:jc w:val="left"/>
              <w:rPr>
                <w:sz w:val="20"/>
              </w:rPr>
            </w:pPr>
            <w:r>
              <w:rPr>
                <w:sz w:val="20"/>
              </w:rPr>
              <w:t>(a)</w:t>
            </w:r>
          </w:p>
        </w:tc>
        <w:tc>
          <w:tcPr>
            <w:tcW w:w="3935" w:type="dxa"/>
            <w:tcBorders/>
            <w:vAlign w:val="center"/>
          </w:tcPr>
          <w:p>
            <w:pPr>
              <w:pStyle w:val="TableContents"/>
              <w:bidi w:val="0"/>
              <w:spacing w:before="0" w:after="283"/>
              <w:jc w:val="both"/>
              <w:rPr>
                <w:sz w:val="20"/>
              </w:rPr>
            </w:pPr>
            <w:r>
              <w:rPr>
                <w:sz w:val="20"/>
              </w:rPr>
              <w:t>The undersigned Registrant hereby undertakes: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both"/>
              <w:rPr>
                <w:sz w:val="20"/>
              </w:rPr>
            </w:pPr>
            <w:r>
              <w:rPr>
                <w:sz w:val="20"/>
              </w:rPr>
              <w:t>(1)</w:t>
            </w:r>
          </w:p>
        </w:tc>
        <w:tc>
          <w:tcPr>
            <w:tcW w:w="9917" w:type="dxa"/>
            <w:tcBorders/>
            <w:vAlign w:val="center"/>
          </w:tcPr>
          <w:p>
            <w:pPr>
              <w:pStyle w:val="TableContents"/>
              <w:bidi w:val="0"/>
              <w:spacing w:before="0" w:after="283"/>
              <w:jc w:val="both"/>
              <w:rPr>
                <w:sz w:val="20"/>
              </w:rPr>
            </w:pPr>
            <w:r>
              <w:rPr>
                <w:sz w:val="20"/>
              </w:rPr>
              <w:t>To file, during any period in which offers or sales are being made, a post-effective amendment to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105"/>
        <w:gridCol w:w="155"/>
        <w:gridCol w:w="6950"/>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i.</w:t>
            </w:r>
          </w:p>
        </w:tc>
        <w:tc>
          <w:tcPr>
            <w:tcW w:w="6950" w:type="dxa"/>
            <w:tcBorders/>
            <w:vAlign w:val="center"/>
          </w:tcPr>
          <w:p>
            <w:pPr>
              <w:pStyle w:val="TableContents"/>
              <w:bidi w:val="0"/>
              <w:spacing w:before="0" w:after="283"/>
              <w:jc w:val="both"/>
              <w:rPr>
                <w:sz w:val="20"/>
              </w:rPr>
            </w:pPr>
            <w:r>
              <w:rPr>
                <w:sz w:val="20"/>
              </w:rPr>
              <w:t>To include any prospectus required by section 10(a)(3) of the Securities Act of 1933;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15"/>
        <w:gridCol w:w="9885"/>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sz w:val="20"/>
              </w:rPr>
            </w:pPr>
            <w:r>
              <w:rPr>
                <w:sz w:val="20"/>
              </w:rPr>
              <w:t>ii.</w:t>
            </w:r>
          </w:p>
        </w:tc>
        <w:tc>
          <w:tcPr>
            <w:tcW w:w="9885" w:type="dxa"/>
            <w:tcBorders/>
            <w:vAlign w:val="center"/>
          </w:tcPr>
          <w:p>
            <w:pPr>
              <w:pStyle w:val="TableContents"/>
              <w:bidi w:val="0"/>
              <w:spacing w:before="0" w:after="283"/>
              <w:jc w:val="both"/>
              <w:rPr>
                <w:sz w:val="20"/>
              </w:rPr>
            </w:pPr>
            <w:r>
              <w:rPr>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spacing w:before="0" w:after="0"/>
        <w:ind w:left="56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75"/>
        <w:gridCol w:w="9825"/>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20"/>
              </w:rPr>
            </w:pPr>
            <w:r>
              <w:rPr>
                <w:sz w:val="20"/>
              </w:rPr>
              <w:t>iii.</w:t>
            </w:r>
          </w:p>
        </w:tc>
        <w:tc>
          <w:tcPr>
            <w:tcW w:w="9825" w:type="dxa"/>
            <w:tcBorders/>
            <w:vAlign w:val="center"/>
          </w:tcPr>
          <w:p>
            <w:pPr>
              <w:pStyle w:val="TableContents"/>
              <w:bidi w:val="0"/>
              <w:spacing w:before="0" w:after="283"/>
              <w:jc w:val="both"/>
              <w:rPr>
                <w:sz w:val="20"/>
              </w:rPr>
            </w:pPr>
            <w:r>
              <w:rPr>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sz w:val="20"/>
              </w:rPr>
            </w:pPr>
            <w:r>
              <w:rPr>
                <w:sz w:val="20"/>
              </w:rPr>
              <w:t>(2)</w:t>
            </w:r>
          </w:p>
        </w:tc>
        <w:tc>
          <w:tcPr>
            <w:tcW w:w="9954" w:type="dxa"/>
            <w:tcBorders/>
            <w:vAlign w:val="center"/>
          </w:tcPr>
          <w:p>
            <w:pPr>
              <w:pStyle w:val="TableContents"/>
              <w:bidi w:val="0"/>
              <w:spacing w:before="0" w:after="283"/>
              <w:jc w:val="both"/>
              <w:rPr>
                <w:sz w:val="20"/>
              </w:rPr>
            </w:pPr>
            <w:r>
              <w:rPr>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both"/>
              <w:rPr>
                <w:sz w:val="20"/>
              </w:rPr>
            </w:pPr>
            <w:r>
              <w:rPr>
                <w:sz w:val="20"/>
              </w:rPr>
              <w:t>(3)</w:t>
            </w:r>
          </w:p>
        </w:tc>
        <w:tc>
          <w:tcPr>
            <w:tcW w:w="9932" w:type="dxa"/>
            <w:tcBorders/>
            <w:vAlign w:val="center"/>
          </w:tcPr>
          <w:p>
            <w:pPr>
              <w:pStyle w:val="TableContents"/>
              <w:bidi w:val="0"/>
              <w:spacing w:before="0" w:after="283"/>
              <w:jc w:val="both"/>
              <w:rPr>
                <w:sz w:val="20"/>
              </w:rPr>
            </w:pPr>
            <w:r>
              <w:rPr>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both"/>
              <w:rPr>
                <w:sz w:val="20"/>
              </w:rPr>
            </w:pPr>
            <w:r>
              <w:rPr>
                <w:sz w:val="20"/>
              </w:rPr>
              <w:t>(4)</w:t>
            </w:r>
          </w:p>
        </w:tc>
        <w:tc>
          <w:tcPr>
            <w:tcW w:w="9970" w:type="dxa"/>
            <w:tcBorders/>
            <w:vAlign w:val="center"/>
          </w:tcPr>
          <w:p>
            <w:pPr>
              <w:pStyle w:val="TableContents"/>
              <w:bidi w:val="0"/>
              <w:spacing w:before="0" w:after="283"/>
              <w:jc w:val="both"/>
              <w:rPr>
                <w:sz w:val="20"/>
              </w:rPr>
            </w:pPr>
            <w:r>
              <w:rPr>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both"/>
              <w:rPr>
                <w:sz w:val="20"/>
              </w:rPr>
            </w:pPr>
            <w:r>
              <w:rPr>
                <w:sz w:val="20"/>
              </w:rPr>
              <w:t>(5)</w:t>
            </w:r>
          </w:p>
        </w:tc>
        <w:tc>
          <w:tcPr>
            <w:tcW w:w="9929" w:type="dxa"/>
            <w:tcBorders/>
            <w:vAlign w:val="center"/>
          </w:tcPr>
          <w:p>
            <w:pPr>
              <w:pStyle w:val="TableContents"/>
              <w:bidi w:val="0"/>
              <w:spacing w:before="0" w:after="283"/>
              <w:jc w:val="both"/>
              <w:rPr>
                <w:sz w:val="20"/>
              </w:rPr>
            </w:pPr>
            <w:r>
              <w:rPr>
                <w:sz w:val="20"/>
              </w:rPr>
              <w:t>That, for the purpose of determining liability of the Registrant under the Securities Act of 1933 to any purchaser in the initial distribution of the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26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22"/>
        <w:gridCol w:w="9878"/>
      </w:tblGrid>
      <w:tr>
        <w:trPr/>
        <w:tc>
          <w:tcPr>
            <w:tcW w:w="10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sz w:val="20"/>
              </w:rPr>
            </w:pPr>
            <w:r>
              <w:rPr>
                <w:sz w:val="20"/>
              </w:rPr>
              <w:t>(i)</w:t>
            </w:r>
          </w:p>
        </w:tc>
        <w:tc>
          <w:tcPr>
            <w:tcW w:w="9878" w:type="dxa"/>
            <w:tcBorders/>
            <w:vAlign w:val="center"/>
          </w:tcPr>
          <w:p>
            <w:pPr>
              <w:pStyle w:val="TableContents"/>
              <w:bidi w:val="0"/>
              <w:spacing w:before="0" w:after="283"/>
              <w:jc w:val="both"/>
              <w:rPr>
                <w:sz w:val="20"/>
              </w:rPr>
            </w:pPr>
            <w:r>
              <w:rPr>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74"/>
        <w:gridCol w:w="9826"/>
      </w:tblGrid>
      <w:tr>
        <w:trPr/>
        <w:tc>
          <w:tcPr>
            <w:tcW w:w="10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sz w:val="20"/>
              </w:rPr>
            </w:pPr>
            <w:r>
              <w:rPr>
                <w:sz w:val="20"/>
              </w:rPr>
              <w:t>(ii)</w:t>
            </w:r>
          </w:p>
        </w:tc>
        <w:tc>
          <w:tcPr>
            <w:tcW w:w="9826" w:type="dxa"/>
            <w:tcBorders/>
            <w:vAlign w:val="center"/>
          </w:tcPr>
          <w:p>
            <w:pPr>
              <w:pStyle w:val="TableContents"/>
              <w:bidi w:val="0"/>
              <w:spacing w:before="0" w:after="283"/>
              <w:jc w:val="both"/>
              <w:rPr>
                <w:sz w:val="20"/>
              </w:rPr>
            </w:pPr>
            <w:r>
              <w:rPr>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22"/>
        <w:gridCol w:w="9778"/>
      </w:tblGrid>
      <w:tr>
        <w:trPr/>
        <w:tc>
          <w:tcPr>
            <w:tcW w:w="10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sz w:val="20"/>
              </w:rPr>
            </w:pPr>
            <w:r>
              <w:rPr>
                <w:sz w:val="20"/>
              </w:rPr>
              <w:t>(iii)</w:t>
            </w:r>
          </w:p>
        </w:tc>
        <w:tc>
          <w:tcPr>
            <w:tcW w:w="9778" w:type="dxa"/>
            <w:tcBorders/>
            <w:vAlign w:val="center"/>
          </w:tcPr>
          <w:p>
            <w:pPr>
              <w:pStyle w:val="TableContents"/>
              <w:bidi w:val="0"/>
              <w:spacing w:before="0" w:after="283"/>
              <w:jc w:val="both"/>
              <w:rPr>
                <w:sz w:val="20"/>
              </w:rPr>
            </w:pPr>
            <w:r>
              <w:rPr>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105"/>
        <w:gridCol w:w="335"/>
        <w:gridCol w:w="8975"/>
      </w:tblGrid>
      <w:tr>
        <w:trPr/>
        <w:tc>
          <w:tcPr>
            <w:tcW w:w="1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20"/>
              </w:rPr>
            </w:pPr>
            <w:r>
              <w:rPr>
                <w:sz w:val="20"/>
              </w:rPr>
              <w:t>(iv)</w:t>
            </w:r>
          </w:p>
        </w:tc>
        <w:tc>
          <w:tcPr>
            <w:tcW w:w="8975" w:type="dxa"/>
            <w:tcBorders/>
            <w:vAlign w:val="center"/>
          </w:tcPr>
          <w:p>
            <w:pPr>
              <w:pStyle w:val="TableContents"/>
              <w:bidi w:val="0"/>
              <w:spacing w:before="0" w:after="283"/>
              <w:jc w:val="both"/>
              <w:rPr>
                <w:sz w:val="20"/>
              </w:rPr>
            </w:pPr>
            <w:r>
              <w:rPr>
                <w:sz w:val="20"/>
              </w:rPr>
              <w:t>Any other communication that is an offer in the offering made by the undersigned Registrant to the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both"/>
              <w:rPr>
                <w:sz w:val="20"/>
              </w:rPr>
            </w:pPr>
            <w:r>
              <w:rPr>
                <w:sz w:val="20"/>
              </w:rPr>
              <w:t>(b)</w:t>
            </w:r>
          </w:p>
        </w:tc>
        <w:tc>
          <w:tcPr>
            <w:tcW w:w="9970" w:type="dxa"/>
            <w:tcBorders/>
            <w:vAlign w:val="center"/>
          </w:tcPr>
          <w:p>
            <w:pPr>
              <w:pStyle w:val="TableContents"/>
              <w:bidi w:val="0"/>
              <w:spacing w:before="0" w:after="283"/>
              <w:jc w:val="both"/>
              <w:rPr>
                <w:sz w:val="20"/>
              </w:rPr>
            </w:pPr>
            <w:r>
              <w:rPr>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tc>
      </w:tr>
    </w:tbl>
    <w:p>
      <w:pPr>
        <w:pStyle w:val="TextBody"/>
        <w:bidi w:val="0"/>
        <w:spacing w:before="0" w:after="0"/>
        <w:ind w:left="268"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275"/>
        <w:gridCol w:w="4295"/>
      </w:tblGrid>
      <w:tr>
        <w:trPr/>
        <w:tc>
          <w:tcPr>
            <w:tcW w:w="275" w:type="dxa"/>
            <w:tcBorders/>
            <w:vAlign w:val="center"/>
          </w:tcPr>
          <w:p>
            <w:pPr>
              <w:pStyle w:val="TableContents"/>
              <w:bidi w:val="0"/>
              <w:spacing w:before="0" w:after="283"/>
              <w:jc w:val="both"/>
              <w:rPr>
                <w:sz w:val="20"/>
              </w:rPr>
            </w:pPr>
            <w:r>
              <w:rPr>
                <w:sz w:val="20"/>
              </w:rPr>
              <w:t>(c)</w:t>
            </w:r>
          </w:p>
        </w:tc>
        <w:tc>
          <w:tcPr>
            <w:tcW w:w="4295" w:type="dxa"/>
            <w:tcBorders/>
            <w:vAlign w:val="center"/>
          </w:tcPr>
          <w:p>
            <w:pPr>
              <w:pStyle w:val="TableContents"/>
              <w:bidi w:val="0"/>
              <w:spacing w:before="0" w:after="283"/>
              <w:jc w:val="both"/>
              <w:rPr>
                <w:sz w:val="20"/>
              </w:rPr>
            </w:pPr>
            <w:r>
              <w:rPr>
                <w:sz w:val="20"/>
              </w:rPr>
              <w:t>The undersigned Registrant hereby undertakes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55"/>
        <w:gridCol w:w="99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i.</w:t>
            </w:r>
          </w:p>
        </w:tc>
        <w:tc>
          <w:tcPr>
            <w:tcW w:w="9945" w:type="dxa"/>
            <w:tcBorders/>
            <w:vAlign w:val="center"/>
          </w:tcPr>
          <w:p>
            <w:pPr>
              <w:pStyle w:val="TableContents"/>
              <w:bidi w:val="0"/>
              <w:spacing w:before="0" w:after="283"/>
              <w:jc w:val="both"/>
              <w:rPr>
                <w:sz w:val="20"/>
              </w:rPr>
            </w:pPr>
            <w:r>
              <w:rPr>
                <w:sz w:val="20"/>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15"/>
        <w:gridCol w:w="9885"/>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sz w:val="20"/>
              </w:rPr>
            </w:pPr>
            <w:r>
              <w:rPr>
                <w:sz w:val="20"/>
              </w:rPr>
              <w:t>ii.</w:t>
            </w:r>
          </w:p>
        </w:tc>
        <w:tc>
          <w:tcPr>
            <w:tcW w:w="9885" w:type="dxa"/>
            <w:tcBorders/>
            <w:vAlign w:val="center"/>
          </w:tcPr>
          <w:p>
            <w:pPr>
              <w:pStyle w:val="TableContents"/>
              <w:bidi w:val="0"/>
              <w:spacing w:before="0" w:after="283"/>
              <w:jc w:val="both"/>
              <w:rPr>
                <w:sz w:val="20"/>
              </w:rPr>
            </w:pPr>
            <w:r>
              <w:rPr>
                <w:sz w:val="20"/>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i/>
                <w:sz w:val="20"/>
              </w:rPr>
              <w:t>bona fide</w:t>
            </w:r>
            <w:r>
              <w:rPr>
                <w:sz w:val="20"/>
              </w:rPr>
              <w:t xml:space="preserve"> offering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firstLine="5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F-1 and has duly caused this registration statement on Form F-1 to be signed on its behalf by the undersigned, thereunto duly authorized, on August 20, 2026.</w:t>
      </w:r>
    </w:p>
    <w:p>
      <w:pPr>
        <w:pStyle w:val="TextBody"/>
        <w:bidi w:val="0"/>
        <w:spacing w:before="0" w:after="0"/>
        <w:ind w:left="0" w:right="0" w:hanging="0"/>
        <w:jc w:val="left"/>
        <w:rPr>
          <w:caps w:val="false"/>
          <w:smallCaps w:val="false"/>
        </w:rPr>
      </w:pPr>
      <w:r>
        <w:rPr>
          <w:caps w:val="false"/>
          <w:smallCaps w:val="false"/>
        </w:rPr>
        <w:t> </w:t>
      </w:r>
    </w:p>
    <w:tbl>
      <w:tblPr>
        <w:tblW w:w="3064" w:type="dxa"/>
        <w:jc w:val="left"/>
        <w:tblInd w:w="0" w:type="dxa"/>
        <w:tblLayout w:type="fixed"/>
        <w:tblCellMar>
          <w:top w:w="0" w:type="dxa"/>
          <w:left w:w="0" w:type="dxa"/>
          <w:bottom w:w="0" w:type="dxa"/>
          <w:right w:w="0" w:type="dxa"/>
        </w:tblCellMar>
      </w:tblPr>
      <w:tblGrid>
        <w:gridCol w:w="379"/>
        <w:gridCol w:w="2550"/>
        <w:gridCol w:w="135"/>
      </w:tblGrid>
      <w:tr>
        <w:trPr/>
        <w:tc>
          <w:tcPr>
            <w:tcW w:w="2929" w:type="dxa"/>
            <w:gridSpan w:val="2"/>
            <w:tcBorders/>
            <w:vAlign w:val="center"/>
          </w:tcPr>
          <w:p>
            <w:pPr>
              <w:pStyle w:val="TableContents"/>
              <w:bidi w:val="0"/>
              <w:spacing w:before="0" w:after="283"/>
              <w:jc w:val="left"/>
              <w:rPr>
                <w:b/>
                <w:sz w:val="20"/>
              </w:rPr>
            </w:pPr>
            <w:r>
              <w:rPr>
                <w:b/>
                <w:sz w:val="20"/>
              </w:rPr>
              <w:t>NEWGENIVF GROUP LIMITED</w:t>
            </w:r>
          </w:p>
        </w:tc>
        <w:tc>
          <w:tcPr>
            <w:tcW w:w="135" w:type="dxa"/>
            <w:tcBorders/>
            <w:vAlign w:val="center"/>
          </w:tcPr>
          <w:p>
            <w:pPr>
              <w:pStyle w:val="TableContents"/>
              <w:bidi w:val="0"/>
              <w:spacing w:before="0" w:after="283"/>
              <w:jc w:val="left"/>
              <w:rPr/>
            </w:pPr>
            <w:r>
              <w:rPr/>
              <w:t> </w:t>
            </w:r>
          </w:p>
        </w:tc>
      </w:tr>
      <w:tr>
        <w:trPr/>
        <w:tc>
          <w:tcPr>
            <w:tcW w:w="379" w:type="dxa"/>
            <w:tcBorders/>
            <w:vAlign w:val="center"/>
          </w:tcPr>
          <w:p>
            <w:pPr>
              <w:pStyle w:val="TableContents"/>
              <w:bidi w:val="0"/>
              <w:spacing w:before="0" w:after="283"/>
              <w:jc w:val="left"/>
              <w:rPr/>
            </w:pPr>
            <w:r>
              <w:rPr/>
              <w:t> </w:t>
            </w:r>
          </w:p>
        </w:tc>
        <w:tc>
          <w:tcPr>
            <w:tcW w:w="25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79" w:type="dxa"/>
            <w:tcBorders/>
            <w:vAlign w:val="center"/>
          </w:tcPr>
          <w:p>
            <w:pPr>
              <w:pStyle w:val="TableContents"/>
              <w:bidi w:val="0"/>
              <w:spacing w:before="0" w:after="283"/>
              <w:jc w:val="left"/>
              <w:rPr>
                <w:sz w:val="20"/>
              </w:rPr>
            </w:pPr>
            <w:r>
              <w:rPr>
                <w:sz w:val="20"/>
              </w:rPr>
              <w:t>By:</w:t>
            </w:r>
          </w:p>
        </w:tc>
        <w:tc>
          <w:tcPr>
            <w:tcW w:w="2550"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135" w:type="dxa"/>
            <w:tcBorders/>
            <w:vAlign w:val="center"/>
          </w:tcPr>
          <w:p>
            <w:pPr>
              <w:pStyle w:val="TableContents"/>
              <w:bidi w:val="0"/>
              <w:spacing w:before="0" w:after="283"/>
              <w:jc w:val="left"/>
              <w:rPr/>
            </w:pPr>
            <w:r>
              <w:rPr/>
              <w:t> </w:t>
            </w:r>
          </w:p>
        </w:tc>
      </w:tr>
      <w:tr>
        <w:trPr/>
        <w:tc>
          <w:tcPr>
            <w:tcW w:w="379" w:type="dxa"/>
            <w:tcBorders/>
            <w:vAlign w:val="center"/>
          </w:tcPr>
          <w:p>
            <w:pPr>
              <w:pStyle w:val="TableContents"/>
              <w:bidi w:val="0"/>
              <w:spacing w:before="0" w:after="283"/>
              <w:jc w:val="left"/>
              <w:rPr/>
            </w:pPr>
            <w:r>
              <w:rPr/>
              <w:t> </w:t>
            </w:r>
          </w:p>
        </w:tc>
        <w:tc>
          <w:tcPr>
            <w:tcW w:w="2550" w:type="dxa"/>
            <w:tcBorders/>
            <w:vAlign w:val="center"/>
          </w:tcPr>
          <w:p>
            <w:pPr>
              <w:pStyle w:val="TableContents"/>
              <w:bidi w:val="0"/>
              <w:spacing w:before="0" w:after="283"/>
              <w:jc w:val="left"/>
              <w:rPr>
                <w:sz w:val="20"/>
              </w:rPr>
            </w:pPr>
            <w:r>
              <w:rPr>
                <w:sz w:val="20"/>
              </w:rPr>
              <w:t>Wing Fung Alfred Siu</w:t>
            </w:r>
          </w:p>
        </w:tc>
        <w:tc>
          <w:tcPr>
            <w:tcW w:w="135" w:type="dxa"/>
            <w:tcBorders/>
            <w:vAlign w:val="center"/>
          </w:tcPr>
          <w:p>
            <w:pPr>
              <w:pStyle w:val="TableContents"/>
              <w:bidi w:val="0"/>
              <w:spacing w:before="0" w:after="283"/>
              <w:jc w:val="left"/>
              <w:rPr/>
            </w:pPr>
            <w:r>
              <w:rPr/>
              <w:t> </w:t>
            </w:r>
          </w:p>
        </w:tc>
      </w:tr>
      <w:tr>
        <w:trPr/>
        <w:tc>
          <w:tcPr>
            <w:tcW w:w="379" w:type="dxa"/>
            <w:tcBorders/>
            <w:vAlign w:val="center"/>
          </w:tcPr>
          <w:p>
            <w:pPr>
              <w:pStyle w:val="TableContents"/>
              <w:bidi w:val="0"/>
              <w:spacing w:before="0" w:after="283"/>
              <w:jc w:val="left"/>
              <w:rPr/>
            </w:pPr>
            <w:r>
              <w:rPr/>
              <w:t> </w:t>
            </w:r>
          </w:p>
        </w:tc>
        <w:tc>
          <w:tcPr>
            <w:tcW w:w="2550" w:type="dxa"/>
            <w:tcBorders/>
            <w:vAlign w:val="center"/>
          </w:tcPr>
          <w:p>
            <w:pPr>
              <w:pStyle w:val="TableContents"/>
              <w:bidi w:val="0"/>
              <w:spacing w:before="0" w:after="283"/>
              <w:jc w:val="left"/>
              <w:rPr>
                <w:sz w:val="20"/>
              </w:rPr>
            </w:pPr>
            <w:r>
              <w:rPr>
                <w:sz w:val="20"/>
              </w:rPr>
              <w:t>Chief Executive Officer</w:t>
            </w:r>
          </w:p>
        </w:tc>
        <w:tc>
          <w:tcPr>
            <w:tcW w:w="13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30" w:name="poa"/>
      <w:bookmarkEnd w:id="30"/>
      <w:r>
        <w:rPr>
          <w:rFonts w:ascii="Times New Roman;Times;Serif" w:hAnsi="Times New Roman;Times;Serif"/>
          <w:b/>
          <w:i w:val="false"/>
          <w:caps w:val="false"/>
          <w:smallCaps w:val="false"/>
          <w:sz w:val="20"/>
        </w:rPr>
        <w:t>POWER OF ATTORNEY</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8" w:right="0" w:firstLine="5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constitutes and appoints Wing Fung Alfred Siu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firstLine="5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on Form F-1 has been signed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7410" w:type="dxa"/>
        <w:jc w:val="left"/>
        <w:tblInd w:w="0" w:type="dxa"/>
        <w:tblLayout w:type="fixed"/>
        <w:tblCellMar>
          <w:top w:w="0" w:type="dxa"/>
          <w:left w:w="0" w:type="dxa"/>
          <w:bottom w:w="28" w:type="dxa"/>
          <w:right w:w="0" w:type="dxa"/>
        </w:tblCellMar>
      </w:tblPr>
      <w:tblGrid>
        <w:gridCol w:w="2720"/>
        <w:gridCol w:w="90"/>
        <w:gridCol w:w="3065"/>
        <w:gridCol w:w="90"/>
        <w:gridCol w:w="1445"/>
      </w:tblGrid>
      <w:tr>
        <w:trPr/>
        <w:tc>
          <w:tcPr>
            <w:tcW w:w="27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90" w:type="dxa"/>
            <w:tcBorders/>
            <w:tcMar>
              <w:bottom w:w="0" w:type="dxa"/>
            </w:tcMar>
            <w:vAlign w:val="center"/>
          </w:tcPr>
          <w:p>
            <w:pPr>
              <w:pStyle w:val="TableContents"/>
              <w:bidi w:val="0"/>
              <w:spacing w:before="0" w:after="283"/>
              <w:jc w:val="left"/>
              <w:rPr/>
            </w:pPr>
            <w:r>
              <w:rPr/>
              <w:t> </w:t>
            </w:r>
          </w:p>
        </w:tc>
        <w:tc>
          <w:tcPr>
            <w:tcW w:w="30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90" w:type="dxa"/>
            <w:tcBorders/>
            <w:tcMar>
              <w:bottom w:w="0" w:type="dxa"/>
            </w:tcMar>
            <w:vAlign w:val="center"/>
          </w:tcPr>
          <w:p>
            <w:pPr>
              <w:pStyle w:val="TableContents"/>
              <w:bidi w:val="0"/>
              <w:spacing w:before="0" w:after="283"/>
              <w:jc w:val="left"/>
              <w:rPr/>
            </w:pPr>
            <w:r>
              <w:rPr/>
              <w:t> </w:t>
            </w:r>
          </w:p>
        </w:tc>
        <w:tc>
          <w:tcPr>
            <w:tcW w:w="14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7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Wing Fung Alfred Siu</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Hei Yue Tina Fong</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Chief Marketing Officer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Hei Yue Tina Fong</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Hok Man Jefferson Au</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Hok Man Jefferson Au</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Florianna Ann Chi Wan Chan</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720" w:type="dxa"/>
            <w:tcBorders>
              <w:top w:val="single" w:sz="12" w:space="0" w:color="000000"/>
            </w:tcBorders>
            <w:tcMar>
              <w:top w:w="28"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Florianna Ann Chi Wan Chan</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Tam Chun Wa</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Tam Chun Wa</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Lee Sze Mun</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Lee Sze Mun</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bottom w:val="single" w:sz="12"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Kong Yiu Cheung</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Lam Chun Tung Patrick</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Lam Chun Tung Patrick</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Lau Tsz Hin Vincent</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 Tsz Hin Vincent</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r>
        <w:trPr/>
        <w:tc>
          <w:tcPr>
            <w:tcW w:w="272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Ho Fai Chung</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 Fai Chung</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America of NewGenIvf Group Limited, has signed this registration statement in on August 20, 2026.</w:t>
      </w:r>
    </w:p>
    <w:p>
      <w:pPr>
        <w:pStyle w:val="TextBody"/>
        <w:bidi w:val="0"/>
        <w:spacing w:before="0" w:after="0"/>
        <w:ind w:left="0" w:right="0" w:firstLine="72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05"/>
        <w:gridCol w:w="620"/>
        <w:gridCol w:w="4580"/>
      </w:tblGrid>
      <w:tr>
        <w:trPr/>
        <w:tc>
          <w:tcPr>
            <w:tcW w:w="105" w:type="dxa"/>
            <w:tcBorders/>
            <w:vAlign w:val="center"/>
          </w:tcPr>
          <w:p>
            <w:pPr>
              <w:pStyle w:val="TableContents"/>
              <w:bidi w:val="0"/>
              <w:spacing w:before="0" w:after="283"/>
              <w:jc w:val="both"/>
              <w:rPr/>
            </w:pPr>
            <w:r>
              <w:rPr/>
              <w:t> </w:t>
            </w:r>
          </w:p>
        </w:tc>
        <w:tc>
          <w:tcPr>
            <w:tcW w:w="5200" w:type="dxa"/>
            <w:gridSpan w:val="2"/>
            <w:tcBorders/>
            <w:vAlign w:val="center"/>
          </w:tcPr>
          <w:p>
            <w:pPr>
              <w:pStyle w:val="TableContents"/>
              <w:bidi w:val="0"/>
              <w:spacing w:before="0" w:after="283"/>
              <w:jc w:val="both"/>
              <w:rPr>
                <w:b/>
                <w:sz w:val="20"/>
              </w:rPr>
            </w:pPr>
            <w:r>
              <w:rPr>
                <w:b/>
                <w:sz w:val="20"/>
              </w:rPr>
              <w:t>COGENCY GLOBAL INC.</w:t>
            </w:r>
          </w:p>
        </w:tc>
      </w:tr>
      <w:tr>
        <w:trPr/>
        <w:tc>
          <w:tcPr>
            <w:tcW w:w="105" w:type="dxa"/>
            <w:tcBorders/>
            <w:vAlign w:val="center"/>
          </w:tcPr>
          <w:p>
            <w:pPr>
              <w:pStyle w:val="TableContents"/>
              <w:bidi w:val="0"/>
              <w:spacing w:before="0" w:after="283"/>
              <w:jc w:val="left"/>
              <w:rPr/>
            </w:pPr>
            <w:r>
              <w:rPr/>
              <w:t> </w:t>
            </w:r>
          </w:p>
        </w:tc>
        <w:tc>
          <w:tcPr>
            <w:tcW w:w="5200" w:type="dxa"/>
            <w:gridSpan w:val="2"/>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By:</w:t>
            </w:r>
          </w:p>
        </w:tc>
        <w:tc>
          <w:tcPr>
            <w:tcW w:w="458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Colleen A. De Vries</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Name: </w:t>
            </w:r>
          </w:p>
        </w:tc>
        <w:tc>
          <w:tcPr>
            <w:tcW w:w="4580" w:type="dxa"/>
            <w:tcBorders/>
            <w:vAlign w:val="center"/>
          </w:tcPr>
          <w:p>
            <w:pPr>
              <w:pStyle w:val="TableContents"/>
              <w:bidi w:val="0"/>
              <w:spacing w:before="0" w:after="283"/>
              <w:jc w:val="left"/>
              <w:rPr>
                <w:sz w:val="20"/>
              </w:rPr>
            </w:pPr>
            <w:r>
              <w:rPr>
                <w:sz w:val="20"/>
              </w:rPr>
              <w:t>Colleen A. De Vries</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Title:</w:t>
            </w:r>
          </w:p>
        </w:tc>
        <w:tc>
          <w:tcPr>
            <w:tcW w:w="4580" w:type="dxa"/>
            <w:tcBorders/>
            <w:vAlign w:val="center"/>
          </w:tcPr>
          <w:p>
            <w:pPr>
              <w:pStyle w:val="TableContents"/>
              <w:bidi w:val="0"/>
              <w:spacing w:before="0" w:after="283"/>
              <w:jc w:val="left"/>
              <w:rPr>
                <w:sz w:val="20"/>
              </w:rPr>
            </w:pPr>
            <w:r>
              <w:rPr>
                <w:sz w:val="20"/>
              </w:rPr>
              <w:t>Senior Vice President on behalf of Cogency Global Inc.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30132501ex1-1.htm"/>
      <w:bookmarkStart w:id="32" w:name="ksea030132501ex11"/>
      <w:bookmarkEnd w:id="31"/>
      <w:bookmarkEnd w:id="32"/>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14600" cy="981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67"/>
                    <a:stretch>
                      <a:fillRect/>
                    </a:stretch>
                  </pic:blipFill>
                  <pic:spPr bwMode="auto">
                    <a:xfrm>
                      <a:off x="0" y="0"/>
                      <a:ext cx="2514600" cy="9810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PERSONAL AND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Wing Fung Alfred Siu, 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 Khlong Toei Nuea Sub-district, Watthana District, Bangkok 10110, Thailand</w:t>
      </w:r>
    </w:p>
    <w:p>
      <w:pPr>
        <w:pStyle w:val="TextBody"/>
        <w:bidi w:val="0"/>
        <w:spacing w:before="0" w:after="0"/>
        <w:ind w:left="720" w:right="0" w:hanging="72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305"/>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w:t>
            </w:r>
          </w:p>
        </w:tc>
        <w:tc>
          <w:tcPr>
            <w:tcW w:w="587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NIVF | Best Efforts Secondary Offering | Placement Agent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Siu: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placement agent agreement is to outline our agreement pursuant to which Aegis Capital Corp. (“</w:t>
      </w:r>
      <w:r>
        <w:rPr>
          <w:rFonts w:ascii="Times New Roman;Times;Serif" w:hAnsi="Times New Roman;Times;Serif"/>
          <w:b/>
          <w:i w:val="false"/>
          <w:caps w:val="false"/>
          <w:smallCaps w:val="false"/>
          <w:sz w:val="20"/>
          <w:u w:val="single"/>
        </w:rPr>
        <w:t>Aegis</w:t>
      </w:r>
      <w:r>
        <w:rPr>
          <w:rFonts w:ascii="Times New Roman;Times;Serif" w:hAnsi="Times New Roman;Times;Serif"/>
          <w:b w:val="false"/>
          <w:i w:val="false"/>
          <w:caps w:val="false"/>
          <w:smallCaps w:val="false"/>
          <w:sz w:val="20"/>
        </w:rPr>
        <w:t>”) will act as the placement agent on a “best efforts” basis in connection with the proposed Best Efforts Secondary Offering (the “</w:t>
      </w:r>
      <w:r>
        <w:rPr>
          <w:rFonts w:ascii="Times New Roman;Times;Serif" w:hAnsi="Times New Roman;Times;Serif"/>
          <w:b/>
          <w:i w:val="false"/>
          <w:caps w:val="false"/>
          <w:smallCaps w:val="false"/>
          <w:sz w:val="20"/>
          <w:u w:val="single"/>
        </w:rPr>
        <w:t>Placement</w:t>
      </w:r>
      <w:r>
        <w:rPr>
          <w:rFonts w:ascii="Times New Roman;Times;Serif" w:hAnsi="Times New Roman;Times;Serif"/>
          <w:b w:val="false"/>
          <w:i w:val="false"/>
          <w:caps w:val="false"/>
          <w:smallCaps w:val="false"/>
          <w:sz w:val="20"/>
        </w:rPr>
        <w:t>”) by NewGenIvf Group Limited (collectively, with its subsidiaries and affiliates,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of its Class A Ordinary Shares (the “</w:t>
      </w:r>
      <w:r>
        <w:rPr>
          <w:rFonts w:ascii="Times New Roman;Times;Serif" w:hAnsi="Times New Roman;Times;Serif"/>
          <w:b/>
          <w:i w:val="false"/>
          <w:caps w:val="false"/>
          <w:smallCaps w:val="false"/>
          <w:sz w:val="20"/>
          <w:u w:val="single"/>
        </w:rPr>
        <w:t>Securities</w:t>
      </w:r>
      <w:r>
        <w:rPr>
          <w:rFonts w:ascii="Times New Roman;Times;Serif" w:hAnsi="Times New Roman;Times;Serif"/>
          <w:b w:val="false"/>
          <w:i w:val="false"/>
          <w:caps w:val="false"/>
          <w:smallCaps w:val="false"/>
          <w:sz w:val="20"/>
        </w:rPr>
        <w:t>”). This placement agent agreement sets forth certain conditions and assumptions upon which the Placement is premised. The Company expressly acknowledges and agrees that Aegis’s obligations hereunder are on a reasonable “best efforts” basis only and that the execution of this Agreement does not constitute a commitment by Aegis to purchase the Securities and does not ensure the successful placement of the Securities or any portion thereof or the success of Aegis with respect to securing any other financing on behalf of the Company. The Company confirms that entry into this placement agent agreement and completion of the Placement with Aegis will not breach or otherwise violate the Company’s obligations to any other party or require any payments to such other party. For the sake of clarity, such obligations may include but not be limited to obligations under an engagement letter, placement agency agreement, underwriting agreement, advisory agreement, right of first refusal, tail fee obligation or other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agreement are as follows: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Engagement</w:t>
            </w:r>
            <w:r>
              <w:rPr>
                <w:rFonts w:ascii="Times New Roman;Times;Serif" w:hAnsi="Times New Roman;Times;Serif"/>
                <w:sz w:val="20"/>
              </w:rPr>
              <w:t>. The Company hereby engages Aegis, for the period beginning on the date hereof and ending four (4) months thereafter or upon the completion of the Placement, whichever is sooner (the “</w:t>
            </w:r>
            <w:r>
              <w:rPr>
                <w:rFonts w:ascii="Times New Roman;Times;Serif" w:hAnsi="Times New Roman;Times;Serif"/>
                <w:b/>
                <w:sz w:val="20"/>
                <w:u w:val="single"/>
              </w:rPr>
              <w:t>Engagement Period</w:t>
            </w:r>
            <w:r>
              <w:rPr>
                <w:rFonts w:ascii="Times New Roman;Times;Serif" w:hAnsi="Times New Roman;Times;Serif"/>
                <w:sz w:val="20"/>
              </w:rPr>
              <w:t>”), to act as the Company’s exclusive investment bank in connection with the proposed Placement. During the Engagement Period or until the consummation of the Placement, and as long as Aegis is proceeding in good faith with preparations for the Placement, the Company agrees not to solicit, negotiate with or enter into any agreement with any other source of financing (whether equity, debt or otherwise), any underwriter, potential underwriter, placement agent, financial advisor, investment banking firm or any other person or entity in connection with an offering of the Company’s debt or equity securities or any other financing by the Company. Aegis will use its reasonable “best efforts” to solicit offers to purchase the Securities from the Company on the terms, and subject to the conditions, set forth in the Prospectus (as defined below). Aegis shall use commercially reasonable efforts to assist the Company in obtaining performance by each Purchaser (as defined below) whose offer to purchase Securities has been solicited by Aegis, but Aegis shall not, except as otherwise provided in this Agreement, be obligated to disclose the identity of any potential purchaser or have any liability to the Company in the event any such purchase is not consummated for any reason. The Company acknowledges that under no circumstances will Aegis be obligated to underwrite or purchase any Securities for its own account and, in soliciting purchases of the Securities, Aegis shall act solely as an agent of the Company. The services provided pursuant to this placement agent agreement shall be on an “agency” basis and not on a “principal” basis.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7"/>
        <w:gridCol w:w="10041"/>
      </w:tblGrid>
      <w:tr>
        <w:trPr/>
        <w:tc>
          <w:tcPr>
            <w:tcW w:w="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The Placement</w:t>
            </w:r>
            <w:r>
              <w:rPr>
                <w:rFonts w:ascii="Times New Roman;Times;Serif" w:hAnsi="Times New Roman;Times;Serif"/>
                <w:sz w:val="20"/>
              </w:rPr>
              <w:t>. The Placement is expected to consist of a sale of approximately $10.0 million of the Company’s Securities. Aegis will act as placement agent for the Placement subject to, among other matters referred to herein and additional customary conditions, completion of Aegis’s due diligence examination of the Company and its affiliates, submission by the Company of a notice with the Nasdaq Capital Market (“</w:t>
            </w:r>
            <w:r>
              <w:rPr>
                <w:rFonts w:ascii="Times New Roman;Times;Serif" w:hAnsi="Times New Roman;Times;Serif"/>
                <w:b/>
                <w:sz w:val="20"/>
                <w:u w:val="single"/>
              </w:rPr>
              <w:t>Exchange</w:t>
            </w:r>
            <w:r>
              <w:rPr>
                <w:rFonts w:ascii="Times New Roman;Times;Serif" w:hAnsi="Times New Roman;Times;Serif"/>
                <w:sz w:val="20"/>
              </w:rPr>
              <w:t>”) with respect to the Company’s additional listing of the securities sold in the Offering, and the execution of this Agreement in connection with the Placement. The actual size of the Placement, the precise number of Securities to be offered by the Company and the offering price will be the subject of continuing negotiations between the Company and the investors thereto. In connection with the Placement, the Company (i) will meet with Aegis and its representatives to discuss such due diligence matters and to provide such documents as Aegis may require; (ii) will not file with the Commission any document regarding the Placement without the prior approval of Aegis and its counsel; (iii) will deliver to Aegis and the investors in the Placement such legal and accounting opinions and letters (including, without limitation, accounting comfort letters, legal opinions, negative assurance letters, good standing certificates and officers’ and secretary certificates) as Aegis may require, all in form and substance acceptable to Aegis and (iv) will ensure that Aegis is a third party beneficiary of all representations, warranties, covenants, closing conditions and deliverables in connection with the Placement.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1345 Avenue of the Americas ● New York, New York ● 10105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813-1010 ● Fax (212) 813-1047 ● Member FINRA, SIPC</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68"/>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38"/>
        <w:gridCol w:w="9914"/>
      </w:tblGrid>
      <w:tr>
        <w:trPr/>
        <w:tc>
          <w:tcPr>
            <w:tcW w:w="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Placement Compensation</w:t>
            </w:r>
            <w:r>
              <w:rPr>
                <w:rFonts w:ascii="Times New Roman;Times;Serif" w:hAnsi="Times New Roman;Times;Serif"/>
                <w:sz w:val="20"/>
              </w:rPr>
              <w:t>. The placement commission will be 8.0% for the Placement.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7"/>
        <w:gridCol w:w="10041"/>
      </w:tblGrid>
      <w:tr>
        <w:trPr/>
        <w:tc>
          <w:tcPr>
            <w:tcW w:w="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Registration Statement</w:t>
            </w:r>
            <w:r>
              <w:rPr>
                <w:rFonts w:ascii="Times New Roman;Times;Serif" w:hAnsi="Times New Roman;Times;Serif"/>
                <w:sz w:val="20"/>
              </w:rPr>
              <w:t>. To the extent the Company decides to proceed with the Placement, the Company will, as soon as practicable, prepare and file with the Securities and Exchange Commission (the “</w:t>
            </w:r>
            <w:r>
              <w:rPr>
                <w:rFonts w:ascii="Times New Roman;Times;Serif" w:hAnsi="Times New Roman;Times;Serif"/>
                <w:b/>
                <w:sz w:val="20"/>
                <w:u w:val="single"/>
              </w:rPr>
              <w:t>Commission</w:t>
            </w:r>
            <w:r>
              <w:rPr>
                <w:rFonts w:ascii="Times New Roman;Times;Serif" w:hAnsi="Times New Roman;Times;Serif"/>
                <w:sz w:val="20"/>
              </w:rPr>
              <w:t>”) a Registration Statement on Form F-1 (the “</w:t>
            </w:r>
            <w:r>
              <w:rPr>
                <w:rFonts w:ascii="Times New Roman;Times;Serif" w:hAnsi="Times New Roman;Times;Serif"/>
                <w:b/>
                <w:sz w:val="20"/>
                <w:u w:val="single"/>
              </w:rPr>
              <w:t>Registration Statement</w:t>
            </w:r>
            <w:r>
              <w:rPr>
                <w:rFonts w:ascii="Times New Roman;Times;Serif" w:hAnsi="Times New Roman;Times;Serif"/>
                <w:sz w:val="20"/>
              </w:rPr>
              <w:t>”) under the Securities Act of 1933, as amended (the “</w:t>
            </w:r>
            <w:r>
              <w:rPr>
                <w:rFonts w:ascii="Times New Roman;Times;Serif" w:hAnsi="Times New Roman;Times;Serif"/>
                <w:b/>
                <w:sz w:val="20"/>
                <w:u w:val="single"/>
              </w:rPr>
              <w:t>Securities Act</w:t>
            </w:r>
            <w:r>
              <w:rPr>
                <w:rFonts w:ascii="Times New Roman;Times;Serif" w:hAnsi="Times New Roman;Times;Serif"/>
                <w:sz w:val="20"/>
              </w:rPr>
              <w:t>”) and a prospectus included therein (the “</w:t>
            </w:r>
            <w:r>
              <w:rPr>
                <w:rFonts w:ascii="Times New Roman;Times;Serif" w:hAnsi="Times New Roman;Times;Serif"/>
                <w:b/>
                <w:sz w:val="20"/>
                <w:u w:val="single"/>
              </w:rPr>
              <w:t>Prospectus</w:t>
            </w:r>
            <w:r>
              <w:rPr>
                <w:rFonts w:ascii="Times New Roman;Times;Serif" w:hAnsi="Times New Roman;Times;Serif"/>
                <w:sz w:val="20"/>
              </w:rPr>
              <w:t>”) covering the Securities to be offered and sold in the Placement. The Registration Statement (including the Prospectus therein), and all amendments and supplements thereto, will be in form reasonably satisfactory to Aegis and counsel to Aegis. Other than any information provided by Aegis in writing specifically for inclusion in the Registration Statement or the Prospectus, the Company will be solely responsible for the contents of its Registration Statement and Prospectus and any and all other written or oral communications provided by or on behalf of the Company to any actual or prospective investor of the Securities, and the Company represents and warrants that such materials and such other communications will not, as of the date of the offer or sale of the Securities, contain any untrue statement of a material fact or omit to state a material fact required to be stated therein or necessary in order to make the statements therein, in light of the circumstances under which they were made, not misleading. If at any time prior to the completion of the offer and sale of the Securities an event occurs that would cause the Registration Statement or Prospectus (as supplemented or amended) to contain an untrue statement of a material fact or to omit to state a material fact necessary in order to make the statements therein, in light of the circumstances under which they were made, not misleading, the Company will notify Aegis immediately of such event and Aegis will suspend solicitations of the prospective purchasers of the Securities until such time as the Company shall prepare a supplement or amendment to the Registration Statement or Prospectus that corrects such statement or omission.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5"/>
        <w:gridCol w:w="10033"/>
      </w:tblGrid>
      <w:tr>
        <w:trPr/>
        <w:tc>
          <w:tcPr>
            <w:tcW w:w="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Lock-Ups</w:t>
            </w:r>
            <w:r>
              <w:rPr>
                <w:rFonts w:ascii="Times New Roman;Times;Serif" w:hAnsi="Times New Roman;Times;Serif"/>
                <w:sz w:val="20"/>
              </w:rPr>
              <w:t>. In connection with the Placement, the Company’s directors, executive officers, employees will enter into customary “lock-up” agreements in favor of the Placement Agent for a period of sixty (60) days after the Closing of the Placement (the “</w:t>
            </w:r>
            <w:r>
              <w:rPr>
                <w:rFonts w:ascii="Times New Roman;Times;Serif" w:hAnsi="Times New Roman;Times;Serif"/>
                <w:b/>
                <w:sz w:val="20"/>
                <w:u w:val="single"/>
              </w:rPr>
              <w:t>Lock-Up Period</w:t>
            </w:r>
            <w:r>
              <w:rPr>
                <w:rFonts w:ascii="Times New Roman;Times;Serif" w:hAnsi="Times New Roman;Times;Serif"/>
                <w:sz w:val="20"/>
              </w:rPr>
              <w:t>”); provided, however, that any sales by parties to the lock-ups shall be subject to the lock-up agreements and provided further, that none of such ordinary shares shall be saleable in the public market until the expiration of the Lock-Up Period.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6"/>
        <w:gridCol w:w="10042"/>
      </w:tblGrid>
      <w:tr>
        <w:trPr/>
        <w:tc>
          <w:tcPr>
            <w:tcW w:w="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Company Standstill</w:t>
            </w:r>
            <w:r>
              <w:rPr>
                <w:rFonts w:ascii="Times New Roman;Times;Serif" w:hAnsi="Times New Roman;Times;Serif"/>
                <w:sz w:val="20"/>
              </w:rPr>
              <w:t>. In connection with the Placement, without the prior written consent of the Aegis, the Company will not, for a period of sixty (60) days after the Closing of the Placement (the “</w:t>
            </w:r>
            <w:r>
              <w:rPr>
                <w:rFonts w:ascii="Times New Roman;Times;Serif" w:hAnsi="Times New Roman;Times;Serif"/>
                <w:b/>
                <w:sz w:val="20"/>
                <w:u w:val="single"/>
              </w:rPr>
              <w:t>Standstill Period</w:t>
            </w:r>
            <w:r>
              <w:rPr>
                <w:rFonts w:ascii="Times New Roman;Times;Serif" w:hAnsi="Times New Roman;Times;Serif"/>
                <w:sz w:val="20"/>
              </w:rPr>
              <w:t>”), (a) offer, sell, issue, or otherwise transfer or dispose of, directly or indirectly, any equity of the Company or any securities convertible into or exercisable or exchangeable for equity of the Company; (b) file or caused to be filed any registration statement with the Commission relating to the offering of any equity of the Company or any securities convertible into or exercisable or exchangeable for equity of the Company; or (c) enter into any agreement or announce the intention to effect any of the actions described in subsections (a) or (b) hereof (all of such matters, the “</w:t>
            </w:r>
            <w:r>
              <w:rPr>
                <w:rFonts w:ascii="Times New Roman;Times;Serif" w:hAnsi="Times New Roman;Times;Serif"/>
                <w:b/>
                <w:sz w:val="20"/>
                <w:u w:val="single"/>
              </w:rPr>
              <w:t>Standstill Restrictions</w:t>
            </w:r>
            <w:r>
              <w:rPr>
                <w:rFonts w:ascii="Times New Roman;Times;Serif" w:hAnsi="Times New Roman;Times;Serif"/>
                <w:sz w:val="20"/>
              </w:rPr>
              <w:t>”). So long as none of such equity securities shall be saleable in the public market until the expiration of the Standstill Period, the following matters shall not be prohibited by the Standstill Restrictions: (i) the adoption of an equity incentive plan and the grant of awards or equity pursuant to any equity incentive plan, and the filing of a registration statement on Form S-8; (ii) securities issued pursuant to agreements, options, restricted share units or convertible securities existing as of the date hereof provided the terms are not modified; and (iii) securities issued pursuant to acquisitions or strategic transactions (whether by merger, consolidation, purchase of equity, purchase of assets, reorganization or otherwise)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Standstill Period, and provided that any such issuance shall only be to a person or entity (or to the equityholders of an entity)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In no event should any equity transaction during the Standstill Period result in the sale of equity at an offering price to the public less than that of the Placement referred herein.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69"/>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7"/>
        <w:gridCol w:w="10041"/>
      </w:tblGrid>
      <w:tr>
        <w:trPr/>
        <w:tc>
          <w:tcPr>
            <w:tcW w:w="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Expenses</w:t>
            </w:r>
            <w:r>
              <w:rPr>
                <w:rFonts w:ascii="Times New Roman;Times;Serif" w:hAnsi="Times New Roman;Times;Serif"/>
                <w:sz w:val="20"/>
              </w:rPr>
              <w:t>. The Company will be responsible for and will pay all expenses relating to the Placement, including, without limitation, (a) all filing fees and expenses relating to the registration of the Securities with the Commission; (b) all FINRA Public Offering filing fees; (c) all fees and expenses relating to the listing of the Company’s equity or equity-linked securities on an Exchange; (d) all fees, expenses and disbursements relating to the registration or qualification of the Securities under the “blue sky” securities laws of such states and other jurisdictions as Aegis may reasonably designate (including, without limitation, all filing and registration fees, and the reasonable fees and disbursements of the Company’s “blue sky” counsel, which will be Aegis’s counsel) unless such filings are not required in connection with the Company’s proposed Exchange listing; (e) any fees for counsel to lead investors in the Placement; (f) all fees, expenses and disbursements relating to the registration, qualification or exemption of the Securities under the securities laws of such foreign jurisdictions as Aegis may reasonably designate; (g) the costs of all mailing and printing of the Placement documents; (h) transfer and/or stamp taxes, if any, payable upon the transfer of Securities from the Company to Aegis; (i) the fees and expenses of the Company’s accountants; and (j) $100,000 for reasonable legal fees and disbursements for Aegis’s counsel. Upon execution of this placement agent agreement, the Company shall deliver, per Aegis’s instructions, an amount of $25,000 (by check or wire transfer of immediately available funds) as an advance to be applied towards reasonable out-of-pocket expenses Aegis anticipates to incur (the “</w:t>
            </w:r>
            <w:r>
              <w:rPr>
                <w:rFonts w:ascii="Times New Roman;Times;Serif" w:hAnsi="Times New Roman;Times;Serif"/>
                <w:b/>
                <w:sz w:val="20"/>
                <w:u w:val="single"/>
              </w:rPr>
              <w:t>Advance</w:t>
            </w:r>
            <w:r>
              <w:rPr>
                <w:rFonts w:ascii="Times New Roman;Times;Serif" w:hAnsi="Times New Roman;Times;Serif"/>
                <w:sz w:val="20"/>
              </w:rPr>
              <w:t>”). However, if the Placement is terminated, Aegis shall return any portion of the Advance not used to pay its accountable out-of-pocket expenses actually incurred.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7"/>
        <w:gridCol w:w="10041"/>
      </w:tblGrid>
      <w:tr>
        <w:trPr/>
        <w:tc>
          <w:tcPr>
            <w:tcW w:w="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Right of First Refusal</w:t>
            </w:r>
            <w:r>
              <w:rPr>
                <w:rFonts w:ascii="Times New Roman;Times;Serif" w:hAnsi="Times New Roman;Times;Serif"/>
                <w:sz w:val="20"/>
              </w:rPr>
              <w:t>. If, for the period beginning on the Closing of the Placement and ending twelve (12) months after the commencement of sales in the Placement, the Company or any of its subsidiaries (a) decides to finance or refinance any indebtedness, Aegis (or any affiliate designated by Aegis) shall have the right to act as sole book-runner, sole manager, sole placement agent or sole agent with respect to such financing or refinancing; or (b) decides to raise funds by means of a public offering (including at-the-market facility) or a private placement or any other capital raising financing of equity, equity-linked or debt securities, Aegis (or any affiliate designated by Aegis) shall have the right to act as sole book-running manager, sole underwriter or sole placement agent for such financing. If Aegis or one of its affiliates decides to accept any such engagement, the agreement governing such engagement (each, a “</w:t>
            </w:r>
            <w:r>
              <w:rPr>
                <w:rFonts w:ascii="Times New Roman;Times;Serif" w:hAnsi="Times New Roman;Times;Serif"/>
                <w:b/>
                <w:sz w:val="20"/>
                <w:u w:val="single"/>
              </w:rPr>
              <w:t>Subsequent Transaction Agreement</w:t>
            </w:r>
            <w:r>
              <w:rPr>
                <w:rFonts w:ascii="Times New Roman;Times;Serif" w:hAnsi="Times New Roman;Times;Serif"/>
                <w:sz w:val="20"/>
              </w:rPr>
              <w:t>”) will contain, among other things, provisions for customary fees for transactions of similar size and nature, but in no event will the fees be less than those outlined herein, and the provisions of this placement agent agreement, including indemnification, that are appropriate to such a transaction. Notwithstanding the foregoing, the decision to accept the Company’s engagement under this Section ‎8 shall be made by Aegis or one of its affiliates, by a written notice to the Company, within ten (10) Business Days of the receipt of the Company’s notification of its financing needs, including a detailed term sheet. Aegis’s determination of whether in any case to exercise its right of first refusal will be strictly limited to the terms on such term sheet, and any waiver of such right of first refusal shall apply only to such specific terms. If Aegis waives its right of first refusal, any deviation from such terms (including without limitation after the launch of a subsequent transaction) shall void the waiver and require the Company to seek a new waiver from the right of first refusal on the terms set forth in this Section ‎8.</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1"/>
        <w:gridCol w:w="10037"/>
      </w:tblGrid>
      <w:tr>
        <w:trPr/>
        <w:tc>
          <w:tcPr>
            <w:tcW w:w="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Tail Financing</w:t>
            </w:r>
            <w:r>
              <w:rPr>
                <w:rFonts w:ascii="Times New Roman;Times;Serif" w:hAnsi="Times New Roman;Times;Serif"/>
                <w:sz w:val="20"/>
              </w:rPr>
              <w:t>. Aegis shall be entitled to compensation under Section ‎3 herein, calculated in the manner set forth therein, with respect to any public or private offering or other financing or capital raising transaction of any kind (“</w:t>
            </w:r>
            <w:r>
              <w:rPr>
                <w:rFonts w:ascii="Times New Roman;Times;Serif" w:hAnsi="Times New Roman;Times;Serif"/>
                <w:b/>
                <w:sz w:val="20"/>
                <w:u w:val="single"/>
              </w:rPr>
              <w:t>Tail Financing</w:t>
            </w:r>
            <w:r>
              <w:rPr>
                <w:rFonts w:ascii="Times New Roman;Times;Serif" w:hAnsi="Times New Roman;Times;Serif"/>
                <w:sz w:val="20"/>
              </w:rPr>
              <w:t>”) to the extent that such financing or capital is provided to the Company by investors Aegis has introduced to and/or contacted on behalf of the Company through an in-person, electronic or telephonic communication or investors that Aegis had “wall-crossed” in connection with this Placement (or any entity under common management or having a common investment advisor), if such Tail Financing is consummated at any time within six (6) months after the Closing, expiration or termination of this placement agent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Closing; Closing Deliverables</w:t>
            </w:r>
            <w:r>
              <w:rPr>
                <w:rFonts w:ascii="Times New Roman;Times;Serif" w:hAnsi="Times New Roman;Times;Serif"/>
                <w:sz w:val="20"/>
              </w:rPr>
              <w:t>. Unless otherwise directed by the Placement Agent, settlement of the Securities shall occur via “Delivery Versus Payment” (“</w:t>
            </w:r>
            <w:r>
              <w:rPr>
                <w:rFonts w:ascii="Times New Roman;Times;Serif" w:hAnsi="Times New Roman;Times;Serif"/>
                <w:b/>
                <w:sz w:val="20"/>
                <w:u w:val="single"/>
              </w:rPr>
              <w:t>DVP</w:t>
            </w:r>
            <w:r>
              <w:rPr>
                <w:rFonts w:ascii="Times New Roman;Times;Serif" w:hAnsi="Times New Roman;Times;Serif"/>
                <w:sz w:val="20"/>
              </w:rPr>
              <w:t>”) (i.e., on the Closing Date, the Company shall cause the Depositary to issue the Securities directly to the clearing firm designated by the Placement Agent; upon receipt of such Securities, the Placement Agent shall promptly electronically deliver such Securities to the applicable Purchaser, and payment therefor shall be made by the Placement Agent (or its clearing firm) by wire transfer to the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70"/>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i w:val="false"/>
          <w:caps w:val="false"/>
          <w:smallCaps w:val="false"/>
          <w:sz w:val="20"/>
          <w:u w:val="single"/>
        </w:rPr>
        <w:t>Company Deliveries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On the date hereof, the Company shall deliver each of the following:</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10.1.1.1 This Agreement duly executed by the Company.</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 A cold comfort letter from the Company’s auditor, addressed to the Placement Agent in form and substance reasonably satisfactory in all material respects.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10.1.1.3 A certificate executed by the Chief Financial Officer of the Company in customary form reasonably satisfactory to the Placement Agent and its counsel.</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10.1.1.4 The Lock-Up Agreements duly executed by the parties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On or prior to the Closing Date, the Company shall deliver each the following:</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10.1.2.1 Legal opinions of Han Kun Law Offices LLP and Ogier, addressed to the Placement Agent and the Purchasers, in form and substance reasonably acceptable to the Placement Agent and Purchasers.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10.1.2.2 A negative assurance letter from Han Kun Law Offices LLP, addressed to the Placement Agent and dated the Closing Date, in a form reasonably satisfactory to the Placement Agent.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10.1.2.3 A copy of the irrevocable instructions to the Transfer Agent instructing the Transfer Agent to deliver, on an expedited basis, a certificate (or at the request of the Purchaser, book entry statement) evidencing a number of Shares equal to such Purchaser’s Subscription Amount divided by the Per Share Purchase Price, registered in the name of such Purchaser.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10.1.2.4 For each Purchaser of Pre-Funded Warrants pursuant to Section ‎11, a Pre-Funded Warrant registered in the name of such Purchaser to purchase up to a number of Ordinary Shares equal to the portion of such Purchaser’s Subscription Amount applicable to Pre-Funded Warrants divided by the Per Share Purchase Price, with an exercise price equal to $0.00001, subject to adjustment as provided therein.</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10.1.2.5 The Company shall have provided each Purchaser with the Company’s wire instructions, on Company letterhead and executed by the Chief Executive Officer or Chief Financial Officer.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10.1.2.6 The Company shall have provided Aegis the signed flow of funds executed by the Chief Executive Officer or Chief Financial Officer.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10.1.2.7 A duly executed and delivered Officers’ Certificate, in customary form reasonably satisfactory to the Placement Agent and its counsel.</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10.1.2.8 A cold comfort letter from the Company’s auditor, addressed to the Placement Agent in form and substance reasonably satisfactory in all material respects.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10.1.2.9 The Prospectus and Prospectus Supplement (which may be delivered in accordance with Rule 172 under the Securities Act).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71"/>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Representations and Warranties of the Company</w:t>
            </w:r>
            <w:r>
              <w:rPr>
                <w:rFonts w:ascii="Times New Roman;Times;Serif" w:hAnsi="Times New Roman;Times;Serif"/>
                <w:sz w:val="20"/>
              </w:rPr>
              <w:t>. The Company hereby makes the following representations and warranties: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on Schedule ‎12.1. The Company owns, directly or indirectly, all of the share capital or other equity interests of each Subsidiary free and clear of any Liens, and all of the issued and outstanding shares of share capital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“Material Adverse Effect”; provided, however, that “Material Adverse Effect” shall not include any event, occurrence, fact, condition or change, directly or indirectly, arising out of or attributable to: (i) general economic or political conditions, (ii) conditions generally affecting the industry in which the Company or any Subsidiary operates, (iii) any changes in financial or securities markets in general, (iv) acts of war (whether or not declared), armed hostilities or terrorism, or the escalation or worsening thereof, (v) any pandemic, epidemics or human health crises (including COVID-19), (vi) any changes in applicable laws or accounting rules (including GAAP), (vii) the announcement, pendency or completion of the transactions contemplated by the Transaction Documents, or (viii) any action required or permitted by the Transaction Documents or any action taken (or omitted to be taken) with the written consent of or at the written request of Purchaser) and no Proceeding has been instituted in any such jurisdiction revoking, limiting or curtailing or seeking to revoke, limit or curtail such power and authority or qualification.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legal,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72"/>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 of this Agreement, (ii) the filing with the Commission of the Prospectus in accordance with Rule 424(b), (iii) the notice and/or application(s) to each applicable Trading Market for the issuance and sale of the Securities and the listing of the Shares and Warrant Shares for trading thereon in the time and manner required thereby and such other filings as are required to be made under applicable state securities laws (the “</w:t>
      </w:r>
      <w:r>
        <w:rPr>
          <w:rFonts w:ascii="Times New Roman;Times;Serif" w:hAnsi="Times New Roman;Times;Serif"/>
          <w:b/>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val="false"/>
          <w:caps w:val="false"/>
          <w:smallCaps w:val="false"/>
          <w:sz w:val="20"/>
          <w:u w:val="single"/>
        </w:rPr>
        <w:t>Issuance of the Securities; Registration</w:t>
      </w:r>
      <w:r>
        <w:rPr>
          <w:rFonts w:ascii="Times New Roman;Times;Serif" w:hAnsi="Times New Roman;Times;Serif"/>
          <w:b w:val="false"/>
          <w:i w:val="false"/>
          <w:caps w:val="false"/>
          <w:smallCaps w:val="false"/>
          <w:sz w:val="20"/>
        </w:rPr>
        <w:t>. The Securities are duly authorized and, when issued and paid for in accordance with the applicable Transaction Documents, will be duly and validly issued, fully paid and nonassessable (which means that no further sums are required to be paid by the holders thereof in connection with the issue thereof), free and clear of all Liens imposed by the Company other than restrictions on transfer provided for in the Transaction Documents and applicable law. The Warrant Shares, when issued in accordance with the terms of the Transaction Documents, will be validly issued, fully paid and nonassessable (which means that no further sums are required to be paid by the holders thereof in connection with the issue thereof), free and clear of all Liens imposed by the Company other than restrictions on transfer provided for in the Transaction Documents and applicable law. The Company has reserved from its duly authorized share capital the maximum number of Ordinary Shares issuable pursuant to this Agreement and the Warrants. The Company has prepared and filed the Registration Statement in conformity with the requirements of the Securities Act, which became effective on [●],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light of the circumstances under which they were made, not misleading. The Company was at the time of the filing of the Registration Statement eligible to use Form F-1. The Company is eligible to use Form F-1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as of the date hereof is as set forth on Schedule ‎12.7, which Schedule ‎12.7 shall also include the number of Ordinary Shares owned beneficially, and of record, by Affiliates of the Company as of the date hereof. Other than as stated in Schedule ‎12.7, the Company has not issued any share capital since its most recently filed periodic report under the Exchange Act, other than pursuant to the exercise of employee stock options under the Company’s stock option plans, the issuance of Ordinary Shares to employees pursuant to the Company’s employee stock purchase plans. No Person has any right of first refusal, preemptive right, right of participation, or any similar right to participate in the transactions contemplated by the Transaction Documents. Except as set forth in Schedule ‎12.7, or pursuant to this Agreement,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share capital of any Subsidiary, or contracts, commitments, understandings or arrangements by which the Company or any Subsidiary is or may become bound to issue additional Ordinary Shares or Ordinary Share Equivalents or share capital of any Subsidiary. The issuance and sale of the Securities will not obligate the Company or any Subsidiary to issue Ordinary Shares or other securities to any Person (other than the Purchasers). Except as set forth in Schedule ‎12.7,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Schedule ‎12.7,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share capital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the Board of Directors or others is required for the issuance and sale of the Securities. There are no shareholders’ agreements, voting agreements or other similar agreements with respect to the Company’s share capital to which the Company is a party or, to the knowledge of the Company, between or among any of the Company’s shareholders.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73"/>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is not currently an issuer subject to Rule 144(i) under the Securities Act. The Company has filed Form 10 information at least one year prior to the date hereof.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except as set forth on Schedule ‎12.9,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share capital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11.10. </w:t>
      </w:r>
      <w:r>
        <w:rPr>
          <w:rFonts w:ascii="Times New Roman;Times;Serif" w:hAnsi="Times New Roman;Times;Serif"/>
          <w:b/>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Schedule ‎12.10,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i w:val="false"/>
          <w:caps w:val="false"/>
          <w:smallCaps w:val="false"/>
          <w:sz w:val="20"/>
          <w:u w:val="single"/>
        </w:rPr>
        <w:t>Action</w:t>
      </w:r>
      <w:r>
        <w:rPr>
          <w:rFonts w:ascii="Times New Roman;Times;Serif" w:hAnsi="Times New Roman;Times;Serif"/>
          <w:b w:val="false"/>
          <w:i w:val="false"/>
          <w:caps w:val="false"/>
          <w:smallCaps w:val="false"/>
          <w:sz w:val="20"/>
        </w:rPr>
        <w:t>”). None of the Actions set forth on Schedule ‎12.10, (i) adversely affects or challenges the legality, validity or enforceability of any of the Transaction Documents or (ii) would,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except in the ordinary course of business that would not have a Material Adverse Effect.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74"/>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t>
      </w:r>
      <w:r>
        <w:rPr>
          <w:rFonts w:ascii="Times New Roman;Times;Serif" w:hAnsi="Times New Roman;Times;Serif"/>
          <w:b/>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11.12. </w:t>
      </w:r>
      <w:r>
        <w:rPr>
          <w:rFonts w:ascii="Times New Roman;Times;Serif" w:hAnsi="Times New Roman;Times;Serif"/>
          <w:b/>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11.14. </w:t>
      </w:r>
      <w:r>
        <w:rPr>
          <w:rFonts w:ascii="Times New Roman;Times;Serif" w:hAnsi="Times New Roman;Times;Serif"/>
          <w:b/>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75"/>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11.15. </w:t>
      </w:r>
      <w:r>
        <w:rPr>
          <w:rFonts w:ascii="Times New Roman;Times;Serif" w:hAnsi="Times New Roman;Times;Serif"/>
          <w:b/>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or have valid and marketable rights to lease or otherwise use, all real property and all personal property that is material to the business of the Company and the Subsidiaries, in each case free and clear of all Liens, except for (i) Liens that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Neither the Company nor any of its Subsidiaries has received any written notice of any claim of any sort that has been asserted by anyone adverse to the rights of the Company or its Subsidiaries under any of the leases or subleases or licenses or with respect to the properties mentioned above, or affecting or questioning the rights of the Company or any Subsidiary to the continued possession or use of the leased or subleased or licensed premises or the properties mentioned above, other than such claims which would not, individually or in the aggregate, reasonably be expected to have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written notice that any of, the Intellectual Property Rights has expired, terminated or been abandoned, or is expected to expire or terminate or be abandoned, within two (2) years after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amount deemed prudent by the Company.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11.18. </w:t>
      </w:r>
      <w:r>
        <w:rPr>
          <w:rFonts w:ascii="Times New Roman;Times;Serif" w:hAnsi="Times New Roman;Times;Serif"/>
          <w:b/>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on Schedule ‎12.18, during the past three fiscal years and the subsequent interim period through the date of this Agreement,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76"/>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11.19. </w:t>
      </w:r>
      <w:r>
        <w:rPr>
          <w:rFonts w:ascii="Times New Roman;Times;Serif" w:hAnsi="Times New Roman;Times;Serif"/>
          <w:b/>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Except as set forth on Schedule ‎12.19,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11.20. </w:t>
      </w:r>
      <w:r>
        <w:rPr>
          <w:rFonts w:ascii="Times New Roman;Times;Serif" w:hAnsi="Times New Roman;Times;Serif"/>
          <w:b/>
          <w:i w:val="false"/>
          <w:caps w:val="false"/>
          <w:smallCaps w:val="false"/>
          <w:sz w:val="20"/>
          <w:u w:val="single"/>
        </w:rPr>
        <w:t>Certain Fees</w:t>
      </w:r>
      <w:r>
        <w:rPr>
          <w:rFonts w:ascii="Times New Roman;Times;Serif" w:hAnsi="Times New Roman;Times;Serif"/>
          <w:b w:val="false"/>
          <w:i w:val="false"/>
          <w:caps w:val="false"/>
          <w:smallCaps w:val="false"/>
          <w:sz w:val="20"/>
        </w:rPr>
        <w:t>. Except for the fees and expenses of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11.21. </w:t>
      </w:r>
      <w:r>
        <w:rPr>
          <w:rFonts w:ascii="Times New Roman;Times;Serif" w:hAnsi="Times New Roman;Times;Serif"/>
          <w:b/>
          <w:i w:val="false"/>
          <w:caps w:val="false"/>
          <w:smallCaps w:val="false"/>
          <w:sz w:val="20"/>
          <w:u w:val="single"/>
        </w:rPr>
        <w:t>Payments Within Twelve (12) Months</w:t>
      </w:r>
      <w:r>
        <w:rPr>
          <w:rFonts w:ascii="Times New Roman;Times;Serif" w:hAnsi="Times New Roman;Times;Serif"/>
          <w:b w:val="false"/>
          <w:i w:val="false"/>
          <w:caps w:val="false"/>
          <w:smallCaps w:val="false"/>
          <w:sz w:val="20"/>
        </w:rPr>
        <w:t>.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date hereof, other than the payment to the Placement Agent as provided hereunder in connection with the Placement.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11.22. </w:t>
      </w:r>
      <w:r>
        <w:rPr>
          <w:rFonts w:ascii="Times New Roman;Times;Serif" w:hAnsi="Times New Roman;Times;Serif"/>
          <w:b/>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11.23. </w:t>
      </w:r>
      <w:r>
        <w:rPr>
          <w:rFonts w:ascii="Times New Roman;Times;Serif" w:hAnsi="Times New Roman;Times;Serif"/>
          <w:b/>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disclosed on Schedule ‎12.23, no Person has any right to cause the Company or any Subsidiary to effect the registration under the Securities Act of any securities of the Company or any Subsidiary.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11.24. </w:t>
      </w:r>
      <w:r>
        <w:rPr>
          <w:rFonts w:ascii="Times New Roman;Times;Serif" w:hAnsi="Times New Roman;Times;Serif"/>
          <w:b/>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The Company has not, in the 12 months preceding the date hereof, received notice from any Trading Market on which the Ordinary Shares are or have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Ordinary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77"/>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11.25. </w:t>
      </w:r>
      <w:r>
        <w:rPr>
          <w:rFonts w:ascii="Times New Roman;Times;Serif" w:hAnsi="Times New Roman;Times;Serif"/>
          <w:b/>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11.26. </w:t>
      </w:r>
      <w:r>
        <w:rPr>
          <w:rFonts w:ascii="Times New Roman;Times;Serif" w:hAnsi="Times New Roman;Times;Serif"/>
          <w:b/>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11.27. </w:t>
      </w:r>
      <w:r>
        <w:rPr>
          <w:rFonts w:ascii="Times New Roman;Times;Serif" w:hAnsi="Times New Roman;Times;Serif"/>
          <w:b/>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shareholders approval provisions of any Trading Market on which any of the securities of the Company are listed or designated.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 None of the net proceeds of the Placement will be paid by the Company to any participating FINRA member or its affiliates, except as specifically authorized 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11.29. </w:t>
      </w:r>
      <w:r>
        <w:rPr>
          <w:rFonts w:ascii="Times New Roman;Times;Serif" w:hAnsi="Times New Roman;Times;Serif"/>
          <w:b/>
          <w:i w:val="false"/>
          <w:caps w:val="false"/>
          <w:smallCaps w:val="false"/>
          <w:sz w:val="20"/>
          <w:u w:val="single"/>
        </w:rPr>
        <w:t>FINRA Affiliation</w:t>
      </w:r>
      <w:r>
        <w:rPr>
          <w:rFonts w:ascii="Times New Roman;Times;Serif" w:hAnsi="Times New Roman;Times;Serif"/>
          <w:b w:val="false"/>
          <w:i w:val="false"/>
          <w:caps w:val="false"/>
          <w:smallCaps w:val="false"/>
          <w:sz w:val="20"/>
        </w:rPr>
        <w:t>. There is no (i) officer or director of the Company, (ii) to the Company’s knowledge, beneficial owner of 10% or more of any class of the Company’s securities or (iii) to the Company’s knowledge, beneficial owner of the Company’s unregistered equity securities which were acquired during the 180-Calendar Day period immediately preceding the filing or submission of the Registration Statement that is an affiliate or associated person of a FINRA member participating in the Placement (as determined in accordance with the rules and regulations of FINRA).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11.30. </w:t>
      </w:r>
      <w:r>
        <w:rPr>
          <w:rFonts w:ascii="Times New Roman;Times;Serif" w:hAnsi="Times New Roman;Times;Serif"/>
          <w:b/>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after the Closing Date. Schedule ‎12.30 sets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78"/>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11.31. </w:t>
      </w:r>
      <w:r>
        <w:rPr>
          <w:rFonts w:ascii="Times New Roman;Times;Serif" w:hAnsi="Times New Roman;Times;Serif"/>
          <w:b/>
          <w:i w:val="false"/>
          <w:caps w:val="false"/>
          <w:smallCaps w:val="false"/>
          <w:sz w:val="20"/>
          <w:u w:val="single"/>
        </w:rPr>
        <w:t>Tax Status</w:t>
      </w:r>
      <w:r>
        <w:rPr>
          <w:rFonts w:ascii="Times New Roman;Times;Serif" w:hAnsi="Times New Roman;Times;Serif"/>
          <w:b w:val="false"/>
          <w:i w:val="false"/>
          <w:caps w:val="false"/>
          <w:smallCaps w:val="false"/>
          <w:sz w:val="20"/>
        </w:rPr>
        <w:t>. Except as disclosed in Schedule ‎12.31, the Company and its Subsidiaries each (i) has made or filed all material United States federal, state and local income and all foreign income and franchise tax returns, reports and declarations required by any jurisdiction to which it is subject, (ii) has paid all material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11.32. </w:t>
      </w:r>
      <w:r>
        <w:rPr>
          <w:rFonts w:ascii="Times New Roman;Times;Serif" w:hAnsi="Times New Roman;Times;Serif"/>
          <w:b/>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as amended.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w:t>
        <w:tab/>
      </w:r>
      <w:r>
        <w:rPr>
          <w:rFonts w:ascii="Times New Roman;Times;Serif" w:hAnsi="Times New Roman;Times;Serif"/>
          <w:b/>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accounting firm is J&amp;S Associate PLT, B-11-14, Megan Avenue II</w:t>
        <w:tab/>
        <w:t>, 12, Jalan Yap Kwan Seng, 50450, Kuala Lumpur, Malaysia. To the knowledge and belief of the Company, such accounting firm (i) is a registered public accounting firm as required by the Exchange Act and (ii) shall express its opinion with respect to the financial statements to be included in the Company’s Annual Report for the now current fiscal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11.34. </w:t>
      </w:r>
      <w:r>
        <w:rPr>
          <w:rFonts w:ascii="Times New Roman;Times;Serif" w:hAnsi="Times New Roman;Times;Serif"/>
          <w:b/>
          <w:i w:val="false"/>
          <w:caps w:val="false"/>
          <w:smallCaps w:val="false"/>
          <w:sz w:val="20"/>
          <w:u w:val="single"/>
        </w:rPr>
        <w:t>No Disagreements with Accountants and Lawyers</w:t>
      </w:r>
      <w:r>
        <w:rPr>
          <w:rFonts w:ascii="Times New Roman;Times;Serif" w:hAnsi="Times New Roman;Times;Serif"/>
          <w:b w:val="false"/>
          <w:i w:val="false"/>
          <w:caps w:val="false"/>
          <w:smallCaps w:val="false"/>
          <w:sz w:val="20"/>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11.35. </w:t>
      </w:r>
      <w:r>
        <w:rPr>
          <w:rFonts w:ascii="Times New Roman;Times;Serif" w:hAnsi="Times New Roman;Times;Serif"/>
          <w:b/>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11.36. </w:t>
      </w:r>
      <w:r>
        <w:rPr>
          <w:rFonts w:ascii="Times New Roman;Times;Serif" w:hAnsi="Times New Roman;Times;Serif"/>
          <w:b/>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Anything in this Agreement or elsewhere herein to the contrary notwithstanding,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79"/>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11.37. </w:t>
      </w:r>
      <w:r>
        <w:rPr>
          <w:rFonts w:ascii="Times New Roman;Times;Serif" w:hAnsi="Times New Roman;Times;Serif"/>
          <w:b/>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11.38. </w:t>
      </w:r>
      <w:r>
        <w:rPr>
          <w:rFonts w:ascii="Times New Roman;Times;Serif" w:hAnsi="Times New Roman;Times;Serif"/>
          <w:b/>
          <w:i w:val="false"/>
          <w:caps w:val="false"/>
          <w:smallCaps w:val="false"/>
          <w:sz w:val="20"/>
          <w:u w:val="single"/>
        </w:rPr>
        <w:t>Officers’ Certificate</w:t>
      </w:r>
      <w:r>
        <w:rPr>
          <w:rFonts w:ascii="Times New Roman;Times;Serif" w:hAnsi="Times New Roman;Times;Serif"/>
          <w:b w:val="false"/>
          <w:i w:val="false"/>
          <w:caps w:val="false"/>
          <w:smallCaps w:val="false"/>
          <w:sz w:val="20"/>
        </w:rPr>
        <w:t>. Any certificate signed by any duly authorized officer of the Company and delivered to the Purchasers shall be deemed a representation and warranty by the Company to the Purchasers as to the matters covered thereby.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11.39. </w:t>
      </w:r>
      <w:r>
        <w:rPr>
          <w:rFonts w:ascii="Times New Roman;Times;Serif" w:hAnsi="Times New Roman;Times;Serif"/>
          <w:b/>
          <w:i w:val="false"/>
          <w:caps w:val="false"/>
          <w:smallCaps w:val="false"/>
          <w:sz w:val="20"/>
          <w:u w:val="single"/>
        </w:rPr>
        <w:t>D&amp;O Questionnaires</w:t>
      </w:r>
      <w:r>
        <w:rPr>
          <w:rFonts w:ascii="Times New Roman;Times;Serif" w:hAnsi="Times New Roman;Times;Serif"/>
          <w:b w:val="false"/>
          <w:i w:val="false"/>
          <w:caps w:val="false"/>
          <w:smallCaps w:val="false"/>
          <w:sz w:val="20"/>
        </w:rPr>
        <w:t>. To the Company’s knowledge, all information contained in the questionnaires most recently completed by each of the Company’s directors and officers and beneficial owner of 5% or more of the Ordinary Shares or Ordinary Share Equivalents is true and correct in all respects and the Company has not become aware of any information which would cause the information disclosed in such questionnaires become inaccurate and incorrect.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11.40. </w:t>
      </w:r>
      <w:r>
        <w:rPr>
          <w:rFonts w:ascii="Times New Roman;Times;Serif" w:hAnsi="Times New Roman;Times;Serif"/>
          <w:b/>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if any, was granted (i) in accordance with the terms of the Company’s stock option plan and (ii) with an exercise price at least equal to the fair market value of the Ordinary Shares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11.41. </w:t>
      </w:r>
      <w:r>
        <w:rPr>
          <w:rFonts w:ascii="Times New Roman;Times;Serif" w:hAnsi="Times New Roman;Times;Serif"/>
          <w:b/>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11.42. </w:t>
      </w:r>
      <w:r>
        <w:rPr>
          <w:rFonts w:ascii="Times New Roman;Times;Serif" w:hAnsi="Times New Roman;Times;Serif"/>
          <w:b/>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11.43. </w:t>
      </w:r>
      <w:r>
        <w:rPr>
          <w:rFonts w:ascii="Times New Roman;Times;Serif" w:hAnsi="Times New Roman;Times;Serif"/>
          <w:b/>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11.44. </w:t>
      </w:r>
      <w:r>
        <w:rPr>
          <w:rFonts w:ascii="Times New Roman;Times;Serif" w:hAnsi="Times New Roman;Times;Serif"/>
          <w:b/>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11.45. </w:t>
      </w:r>
      <w:r>
        <w:rPr>
          <w:rFonts w:ascii="Times New Roman;Times;Serif" w:hAnsi="Times New Roman;Times;Serif"/>
          <w:b/>
          <w:i w:val="false"/>
          <w:caps w:val="false"/>
          <w:smallCaps w:val="false"/>
          <w:sz w:val="20"/>
          <w:u w:val="single"/>
        </w:rPr>
        <w:t>No Disqualification Events</w:t>
      </w:r>
      <w:r>
        <w:rPr>
          <w:rFonts w:ascii="Times New Roman;Times;Serif" w:hAnsi="Times New Roman;Times;Serif"/>
          <w:b w:val="false"/>
          <w:i w:val="false"/>
          <w:caps w:val="false"/>
          <w:smallCaps w:val="false"/>
          <w:sz w:val="20"/>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Serif" w:hAnsi="Times New Roman;Times;Serif"/>
          <w:b/>
          <w:i w:val="false"/>
          <w:caps w:val="false"/>
          <w:smallCaps w:val="false"/>
          <w:sz w:val="20"/>
          <w:u w:val="single"/>
        </w:rPr>
        <w:t>Issuer Covered Person</w:t>
      </w:r>
      <w:r>
        <w:rPr>
          <w:rFonts w:ascii="Times New Roman;Times;Serif" w:hAnsi="Times New Roman;Times;Serif"/>
          <w:b w:val="false"/>
          <w:i w:val="false"/>
          <w:caps w:val="false"/>
          <w:smallCaps w:val="false"/>
          <w:sz w:val="20"/>
        </w:rPr>
        <w:t>” and, together, “</w:t>
      </w:r>
      <w:r>
        <w:rPr>
          <w:rFonts w:ascii="Times New Roman;Times;Serif" w:hAnsi="Times New Roman;Times;Serif"/>
          <w:b/>
          <w:i w:val="false"/>
          <w:caps w:val="false"/>
          <w:smallCaps w:val="false"/>
          <w:sz w:val="20"/>
          <w:u w:val="single"/>
        </w:rPr>
        <w:t>Issuer Covered Persons</w:t>
      </w:r>
      <w:r>
        <w:rPr>
          <w:rFonts w:ascii="Times New Roman;Times;Serif" w:hAnsi="Times New Roman;Times;Serif"/>
          <w:b w:val="false"/>
          <w:i w:val="false"/>
          <w:caps w:val="false"/>
          <w:smallCaps w:val="false"/>
          <w:sz w:val="20"/>
        </w:rPr>
        <w:t>”) is subject to any of the “Bad Actor” disqualifications described in Rule 506(d)(1)(i) to (viii) under the Securities Act (a “</w:t>
      </w:r>
      <w:r>
        <w:rPr>
          <w:rFonts w:ascii="Times New Roman;Times;Serif" w:hAnsi="Times New Roman;Times;Serif"/>
          <w:b/>
          <w:i w:val="false"/>
          <w:caps w:val="false"/>
          <w:smallCaps w:val="false"/>
          <w:sz w:val="20"/>
          <w:u w:val="single"/>
        </w:rPr>
        <w:t>Disqualification Event</w:t>
      </w:r>
      <w:r>
        <w:rPr>
          <w:rFonts w:ascii="Times New Roman;Times;Serif" w:hAnsi="Times New Roman;Times;Serif"/>
          <w:b w:val="false"/>
          <w:i w:val="false"/>
          <w:caps w:val="false"/>
          <w:smallCaps w:val="false"/>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80"/>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11.46. </w:t>
      </w:r>
      <w:r>
        <w:rPr>
          <w:rFonts w:ascii="Times New Roman;Times;Serif" w:hAnsi="Times New Roman;Times;Serif"/>
          <w:b/>
          <w:i w:val="false"/>
          <w:caps w:val="false"/>
          <w:smallCaps w:val="false"/>
          <w:sz w:val="20"/>
          <w:u w:val="single"/>
        </w:rPr>
        <w:t>Other Covered Persons</w:t>
      </w:r>
      <w:r>
        <w:rPr>
          <w:rFonts w:ascii="Times New Roman;Times;Serif" w:hAnsi="Times New Roman;Times;Serif"/>
          <w:b w:val="false"/>
          <w:i w:val="false"/>
          <w:caps w:val="false"/>
          <w:smallCaps w:val="false"/>
          <w:sz w:val="20"/>
        </w:rPr>
        <w:t>. Other than the Placement Agent,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11.47. </w:t>
      </w:r>
      <w:r>
        <w:rPr>
          <w:rFonts w:ascii="Times New Roman;Times;Serif" w:hAnsi="Times New Roman;Times;Serif"/>
          <w:b/>
          <w:i w:val="false"/>
          <w:caps w:val="false"/>
          <w:smallCaps w:val="false"/>
          <w:sz w:val="20"/>
          <w:u w:val="single"/>
        </w:rPr>
        <w:t>Notice of Disqualification Events</w:t>
      </w:r>
      <w:r>
        <w:rPr>
          <w:rFonts w:ascii="Times New Roman;Times;Serif" w:hAnsi="Times New Roman;Times;Serif"/>
          <w:b w:val="false"/>
          <w:i w:val="false"/>
          <w:caps w:val="false"/>
          <w:smallCaps w:val="false"/>
          <w:sz w:val="20"/>
        </w:rPr>
        <w:t>. The Company will notify the Purchasers and the Placement Agent in writing, prior to the Closing Date of (i) any Disqualification Event relating to any Issuer Covered Person and (ii) any event that would, with the passage of time, become a Disqualification Event relating to any Issuer Covered Person.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11.48. </w:t>
      </w:r>
      <w:r>
        <w:rPr>
          <w:rFonts w:ascii="Times New Roman;Times;Serif" w:hAnsi="Times New Roman;Times;Serif"/>
          <w:b/>
          <w:i w:val="false"/>
          <w:caps w:val="false"/>
          <w:smallCaps w:val="false"/>
          <w:sz w:val="20"/>
          <w:u w:val="single"/>
        </w:rPr>
        <w:t>Cybersecurity</w:t>
      </w:r>
      <w:r>
        <w:rPr>
          <w:rFonts w:ascii="Times New Roman;Times;Serif" w:hAnsi="Times New Roman;Times;Serif"/>
          <w:b w:val="false"/>
          <w:i w:val="false"/>
          <w:caps w:val="false"/>
          <w:smallCaps w:val="false"/>
          <w:sz w:val="20"/>
        </w:rPr>
        <w:t>. (i) (a)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i w:val="false"/>
          <w:caps w:val="false"/>
          <w:smallCaps w:val="false"/>
          <w:sz w:val="20"/>
          <w:u w:val="single"/>
        </w:rPr>
        <w:t>IT Systems and Data</w:t>
      </w:r>
      <w:r>
        <w:rPr>
          <w:rFonts w:ascii="Times New Roman;Times;Serif" w:hAnsi="Times New Roman;Times;Serif"/>
          <w:b w:val="false"/>
          <w:i w:val="false"/>
          <w:caps w:val="false"/>
          <w:smallCaps w:val="false"/>
          <w:sz w:val="20"/>
        </w:rPr>
        <w:t>”) and (b)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in the case of clauses (i) and (ii) herein,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Conditions of the Obligations of the Placement Agent</w:t>
            </w:r>
            <w:r>
              <w:rPr>
                <w:rFonts w:ascii="Times New Roman;Times;Serif" w:hAnsi="Times New Roman;Times;Serif"/>
                <w:sz w:val="20"/>
              </w:rPr>
              <w:t>. The obligations of the Placement Agent hereunder shall be subject to the accuracy of the representations and warranties on the part of the Company set forth in Section ‎12 hereof, in each case as of the date hereof and as of the Closing Date as though then made, to the timely performance by each of the Company of its covenants and other obligations hereunder on and as of such dates, and to each of the following additional conditions: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i w:val="false"/>
          <w:caps w:val="false"/>
          <w:smallCaps w:val="false"/>
          <w:sz w:val="20"/>
          <w:u w:val="single"/>
        </w:rPr>
        <w:t>Regulatory Matters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12.1.1. </w:t>
      </w:r>
      <w:r>
        <w:rPr>
          <w:rFonts w:ascii="Times New Roman;Times;Serif" w:hAnsi="Times New Roman;Times;Serif"/>
          <w:b/>
          <w:i w:val="false"/>
          <w:caps w:val="false"/>
          <w:smallCaps w:val="false"/>
          <w:sz w:val="20"/>
          <w:u w:val="single"/>
        </w:rPr>
        <w:t>Effectiveness of Registration Statement; Rule 424 Information</w:t>
      </w:r>
      <w:r>
        <w:rPr>
          <w:rFonts w:ascii="Times New Roman;Times;Serif" w:hAnsi="Times New Roman;Times;Serif"/>
          <w:b w:val="false"/>
          <w:i w:val="false"/>
          <w:caps w:val="false"/>
          <w:smallCaps w:val="false"/>
          <w:sz w:val="20"/>
        </w:rPr>
        <w:t>. The Registration Statement is effective on the date of this Agreement, and, on the Closing Date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 All filings with the Commission required by Rule 424 under the Securities Act to have been filed by the Closing Date shall have been made within the applicable time period prescribed for such filing by Rule 424.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12.1.2. </w:t>
      </w:r>
      <w:r>
        <w:rPr>
          <w:rFonts w:ascii="Times New Roman;Times;Serif" w:hAnsi="Times New Roman;Times;Serif"/>
          <w:b/>
          <w:i w:val="false"/>
          <w:caps w:val="false"/>
          <w:smallCaps w:val="false"/>
          <w:sz w:val="20"/>
          <w:u w:val="single"/>
        </w:rPr>
        <w:t>FINRA Clearance</w:t>
      </w:r>
      <w:r>
        <w:rPr>
          <w:rFonts w:ascii="Times New Roman;Times;Serif" w:hAnsi="Times New Roman;Times;Serif"/>
          <w:b w:val="false"/>
          <w:i w:val="false"/>
          <w:caps w:val="false"/>
          <w:smallCaps w:val="false"/>
          <w:sz w:val="20"/>
        </w:rPr>
        <w:t>. On or before the Closing Date, the Placement Agent shall have received clearance from FINRA as to the amount of compensation allowable or payable to the Placement Agent as described in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12.1.3. </w:t>
      </w:r>
      <w:r>
        <w:rPr>
          <w:rFonts w:ascii="Times New Roman;Times;Serif" w:hAnsi="Times New Roman;Times;Serif"/>
          <w:b/>
          <w:i w:val="false"/>
          <w:caps w:val="false"/>
          <w:smallCaps w:val="false"/>
          <w:sz w:val="20"/>
          <w:u w:val="single"/>
        </w:rPr>
        <w:t>Listing of Additional Shares</w:t>
      </w:r>
      <w:r>
        <w:rPr>
          <w:rFonts w:ascii="Times New Roman;Times;Serif" w:hAnsi="Times New Roman;Times;Serif"/>
          <w:b w:val="false"/>
          <w:i w:val="false"/>
          <w:caps w:val="false"/>
          <w:smallCaps w:val="false"/>
          <w:sz w:val="20"/>
        </w:rPr>
        <w:t>. On or before the Closing Date, the Company shall have filed a notice with the Exchange with respect to the Company’s additional listing of the securities sold in the Placement.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i w:val="false"/>
          <w:caps w:val="false"/>
          <w:smallCaps w:val="false"/>
          <w:sz w:val="20"/>
          <w:u w:val="single"/>
        </w:rPr>
        <w:t>Closing Deliverables</w:t>
      </w:r>
      <w:r>
        <w:rPr>
          <w:rFonts w:ascii="Times New Roman;Times;Serif" w:hAnsi="Times New Roman;Times;Serif"/>
          <w:b w:val="false"/>
          <w:i w:val="false"/>
          <w:caps w:val="false"/>
          <w:smallCaps w:val="false"/>
          <w:sz w:val="20"/>
        </w:rPr>
        <w:t>. The Company shall have delivered all closing deliverables to the Placement Agent as set forth in Section ‎11.1 as of the time required and in form reasonably satisfactory to the Placement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12.2.1. </w:t>
      </w:r>
      <w:r>
        <w:rPr>
          <w:rFonts w:ascii="Times New Roman;Times;Serif" w:hAnsi="Times New Roman;Times;Serif"/>
          <w:b/>
          <w:i w:val="false"/>
          <w:caps w:val="false"/>
          <w:smallCaps w:val="false"/>
          <w:sz w:val="20"/>
          <w:u w:val="single"/>
        </w:rPr>
        <w:t>No Material Changes</w:t>
      </w:r>
      <w:r>
        <w:rPr>
          <w:rFonts w:ascii="Times New Roman;Times;Serif" w:hAnsi="Times New Roman;Times;Serif"/>
          <w:b w:val="false"/>
          <w:i w:val="false"/>
          <w:caps w:val="false"/>
          <w:smallCaps w:val="false"/>
          <w:sz w:val="20"/>
        </w:rPr>
        <w:t>. Prior to and on the Closing Date: (i) there shall have been no Material Adverse Effect or development involving a prospective Material Adverse Effect in the condition or prospects or the business activities, financial or otherwise, of the Company from the latest dates as of which such condition is set forth in the Registration Statement, the Disclosure Package and the Prospectus; (ii) no action, suit or proceeding, at law or in equity, shall have been pending or threatened against the Company or any affiliates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and the Prospectus; (iii) no stop order shall have been issued under the Securities Act and no proceedings therefor shall have been initiated or threatened by the Commission; and (iv) the Registration Statement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81"/>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12.2.2. </w:t>
      </w:r>
      <w:r>
        <w:rPr>
          <w:rFonts w:ascii="Times New Roman;Times;Serif" w:hAnsi="Times New Roman;Times;Serif"/>
          <w:b/>
          <w:i w:val="false"/>
          <w:caps w:val="false"/>
          <w:smallCaps w:val="false"/>
          <w:sz w:val="20"/>
          <w:u w:val="single"/>
        </w:rPr>
        <w:t>Additional Documents</w:t>
      </w:r>
      <w:r>
        <w:rPr>
          <w:rFonts w:ascii="Times New Roman;Times;Serif" w:hAnsi="Times New Roman;Times;Serif"/>
          <w:b w:val="false"/>
          <w:i w:val="false"/>
          <w:caps w:val="false"/>
          <w:smallCaps w:val="false"/>
          <w:sz w:val="20"/>
        </w:rPr>
        <w:t>. At the Closing Date, Placement Agent’s counsel shall have been furnished with such documents and opinions as they may require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Placement Agent and Placement Agent’s counsel.</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Prior Agreement</w:t>
            </w:r>
            <w:r>
              <w:rPr>
                <w:rFonts w:ascii="Times New Roman;Times;Serif" w:hAnsi="Times New Roman;Times;Serif"/>
                <w:sz w:val="20"/>
              </w:rPr>
              <w:t>. By entering into this Agreement, the parties agree that that certain letter of engagement, dated July 28, 2026, entered into between the same parties hereof, shall automatically terminate and cease to have any effect whatsoever and shall be superseded in its entirety by this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Definitions</w:t>
            </w:r>
            <w:r>
              <w:rPr>
                <w:rFonts w:ascii="Times New Roman;Times;Serif" w:hAnsi="Times New Roman;Times;Serif"/>
                <w:sz w:val="20"/>
              </w:rPr>
              <w:t>. In addition to the terms defined elsewhere in this Agreement, for all purposes of this Agreement, the following terms have the meanings: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w:t>
      </w:r>
      <w:r>
        <w:rPr>
          <w:rFonts w:ascii="Times New Roman;Times;Serif" w:hAnsi="Times New Roman;Times;Serif"/>
          <w:b/>
          <w:i w:val="false"/>
          <w:caps w:val="false"/>
          <w:smallCaps w:val="false"/>
          <w:sz w:val="20"/>
          <w:u w:val="single"/>
        </w:rPr>
        <w:t>BHCA</w:t>
      </w:r>
      <w:r>
        <w:rPr>
          <w:rFonts w:ascii="Times New Roman;Times;Serif" w:hAnsi="Times New Roman;Times;Serif"/>
          <w:b w:val="false"/>
          <w:i w:val="false"/>
          <w:caps w:val="false"/>
          <w:smallCaps w:val="false"/>
          <w:sz w:val="20"/>
        </w:rPr>
        <w:t>” shall have the meaning ascribed to such term in Section ‎12.43.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w:t>
      </w:r>
      <w:r>
        <w:rPr>
          <w:rFonts w:ascii="Times New Roman;Times;Serif" w:hAnsi="Times New Roman;Times;Serif"/>
          <w:b/>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 Calendar Day other than a Saturday, Sunday or any other Calendar Day which is a federal legal holiday in the United States or any Calendar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w:t>
      </w:r>
      <w:r>
        <w:rPr>
          <w:rFonts w:ascii="Times New Roman;Times;Serif" w:hAnsi="Times New Roman;Times;Serif"/>
          <w:b/>
          <w:i w:val="false"/>
          <w:caps w:val="false"/>
          <w:smallCaps w:val="false"/>
          <w:sz w:val="20"/>
          <w:u w:val="single"/>
        </w:rPr>
        <w:t>Calendar Day</w:t>
      </w:r>
      <w:r>
        <w:rPr>
          <w:rFonts w:ascii="Times New Roman;Times;Serif" w:hAnsi="Times New Roman;Times;Serif"/>
          <w:b w:val="false"/>
          <w:i w:val="false"/>
          <w:caps w:val="false"/>
          <w:smallCaps w:val="false"/>
          <w:sz w:val="20"/>
        </w:rPr>
        <w:t>” means each and every day of the week (Sunday, Monday, Tuesday, Wednesday, Thursday, Friday and Saturday).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 “</w:t>
      </w:r>
      <w:r>
        <w:rPr>
          <w:rFonts w:ascii="Times New Roman;Times;Serif" w:hAnsi="Times New Roman;Times;Serif"/>
          <w:b/>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(2nd) Trading Day following the date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 “</w:t>
      </w:r>
      <w:r>
        <w:rPr>
          <w:rFonts w:ascii="Times New Roman;Times;Serif" w:hAnsi="Times New Roman;Times;Serif"/>
          <w:b/>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 “</w:t>
      </w:r>
      <w:r>
        <w:rPr>
          <w:rFonts w:ascii="Times New Roman;Times;Serif" w:hAnsi="Times New Roman;Times;Serif"/>
          <w:b/>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 “</w:t>
      </w:r>
      <w:r>
        <w:rPr>
          <w:rFonts w:ascii="Times New Roman;Times;Serif" w:hAnsi="Times New Roman;Times;Serif"/>
          <w:b/>
          <w:i w:val="false"/>
          <w:caps w:val="false"/>
          <w:smallCaps w:val="false"/>
          <w:sz w:val="20"/>
          <w:u w:val="single"/>
        </w:rPr>
        <w:t>Ordinary Share</w:t>
      </w:r>
      <w:r>
        <w:rPr>
          <w:rFonts w:ascii="Times New Roman;Times;Serif" w:hAnsi="Times New Roman;Times;Serif"/>
          <w:b w:val="false"/>
          <w:i w:val="false"/>
          <w:caps w:val="false"/>
          <w:smallCaps w:val="false"/>
          <w:sz w:val="20"/>
        </w:rPr>
        <w:t>” means the ordinary shares of the Company, without par value per share, and any other class of securities into which such securities may hereafter be reclassified or changed.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 “</w:t>
      </w:r>
      <w:r>
        <w:rPr>
          <w:rFonts w:ascii="Times New Roman;Times;Serif" w:hAnsi="Times New Roman;Times;Serif"/>
          <w:b/>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including, without limitation, any debt, preferred shares, right, option, warrant or other instrument that is at any time convertible into or exercisable or exchangeable for, or otherwise entitles the holder thereof to receive, Ordinary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 “</w:t>
      </w:r>
      <w:r>
        <w:rPr>
          <w:rFonts w:ascii="Times New Roman;Times;Serif" w:hAnsi="Times New Roman;Times;Serif"/>
          <w:b/>
          <w:i w:val="false"/>
          <w:caps w:val="false"/>
          <w:smallCaps w:val="false"/>
          <w:sz w:val="20"/>
          <w:u w:val="single"/>
        </w:rPr>
        <w:t>Per Share Purchase Price</w:t>
      </w:r>
      <w:r>
        <w:rPr>
          <w:rFonts w:ascii="Times New Roman;Times;Serif" w:hAnsi="Times New Roman;Times;Serif"/>
          <w:b w:val="false"/>
          <w:i w:val="false"/>
          <w:caps w:val="false"/>
          <w:smallCaps w:val="false"/>
          <w:sz w:val="20"/>
        </w:rPr>
        <w:t>” equals $[●] (less $0.00001 exercise price for each Pre-Funded Warrant), subject to adjustment for reverse and forward share splits, share dividends, share combinations and other similar transactions of the Ordinary Shares that occur after the date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 “</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 “</w:t>
      </w:r>
      <w:r>
        <w:rPr>
          <w:rFonts w:ascii="Times New Roman;Times;Serif" w:hAnsi="Times New Roman;Times;Serif"/>
          <w:b/>
          <w:i w:val="false"/>
          <w:caps w:val="false"/>
          <w:smallCaps w:val="false"/>
          <w:sz w:val="20"/>
          <w:u w:val="single"/>
        </w:rPr>
        <w:t>Placement Agent</w:t>
      </w:r>
      <w:r>
        <w:rPr>
          <w:rFonts w:ascii="Times New Roman;Times;Serif" w:hAnsi="Times New Roman;Times;Serif"/>
          <w:b w:val="false"/>
          <w:i w:val="false"/>
          <w:caps w:val="false"/>
          <w:smallCaps w:val="false"/>
          <w:sz w:val="20"/>
        </w:rPr>
        <w:t>” means Aegis Capital Corp.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82"/>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 “</w:t>
      </w:r>
      <w:r>
        <w:rPr>
          <w:rFonts w:ascii="Times New Roman;Times;Serif" w:hAnsi="Times New Roman;Times;Serif"/>
          <w:b/>
          <w:i w:val="false"/>
          <w:caps w:val="false"/>
          <w:smallCaps w:val="false"/>
          <w:sz w:val="20"/>
          <w:u w:val="single"/>
        </w:rPr>
        <w:t>Pre-Funded Warrants</w:t>
      </w:r>
      <w:r>
        <w:rPr>
          <w:rFonts w:ascii="Times New Roman;Times;Serif" w:hAnsi="Times New Roman;Times;Serif"/>
          <w:b w:val="false"/>
          <w:i w:val="false"/>
          <w:caps w:val="false"/>
          <w:smallCaps w:val="false"/>
          <w:sz w:val="20"/>
        </w:rPr>
        <w:t xml:space="preserve">” means the pre-funded Ordinary Share purchase warrants, in the form of </w:t>
      </w:r>
      <w:r>
        <w:rPr>
          <w:rFonts w:ascii="Times New Roman;Times;Serif" w:hAnsi="Times New Roman;Times;Serif"/>
          <w:b/>
          <w:i w:val="false"/>
          <w:caps w:val="false"/>
          <w:smallCaps w:val="false"/>
          <w:sz w:val="20"/>
          <w:u w:val="single"/>
        </w:rPr>
        <w:t>Exhibit ‎15.27.1</w:t>
      </w:r>
      <w:r>
        <w:rPr>
          <w:rFonts w:ascii="Times New Roman;Times;Serif" w:hAnsi="Times New Roman;Times;Serif"/>
          <w:b w:val="false"/>
          <w:i w:val="false"/>
          <w:caps w:val="false"/>
          <w:smallCaps w:val="false"/>
          <w:sz w:val="20"/>
        </w:rPr>
        <w:t xml:space="preserve"> attached hereto delivered to the Purchasers at the Closing in accordance with Section ‎11.1.2.4 hereof, which Pre-Funded Warrants shall be exercisable immediately and shall expire when exercised in full.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 “</w:t>
      </w:r>
      <w:r>
        <w:rPr>
          <w:rFonts w:ascii="Times New Roman;Times;Serif" w:hAnsi="Times New Roman;Times;Serif"/>
          <w:b/>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 “</w:t>
      </w:r>
      <w:r>
        <w:rPr>
          <w:rFonts w:ascii="Times New Roman;Times;Serif" w:hAnsi="Times New Roman;Times;Serif"/>
          <w:b/>
          <w:i w:val="false"/>
          <w:caps w:val="false"/>
          <w:smallCaps w:val="false"/>
          <w:sz w:val="20"/>
          <w:u w:val="single"/>
        </w:rPr>
        <w:t>Purchaser</w:t>
      </w:r>
      <w:r>
        <w:rPr>
          <w:rFonts w:ascii="Times New Roman;Times;Serif" w:hAnsi="Times New Roman;Times;Serif"/>
          <w:b w:val="false"/>
          <w:i w:val="false"/>
          <w:caps w:val="false"/>
          <w:smallCaps w:val="false"/>
          <w:sz w:val="20"/>
        </w:rPr>
        <w:t>” means each purchaser of Securities in the Placement.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 “</w:t>
      </w:r>
      <w:r>
        <w:rPr>
          <w:rFonts w:ascii="Times New Roman;Times;Serif" w:hAnsi="Times New Roman;Times;Serif"/>
          <w:b/>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Shares and Warrants purchased hereunder in United States dollars and in immediately available funds.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14.20. “</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as set forth in the SEC Reports and shall, where applicable, also include any direct or indirect subsidiary of the Company formed or acquired after the date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 Calendar Day on which the principal Trading Market is open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 “</w:t>
      </w:r>
      <w:r>
        <w:rPr>
          <w:rFonts w:ascii="Times New Roman;Times;Serif" w:hAnsi="Times New Roman;Times;Serif"/>
          <w:b/>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Shares are listed or quoted for trading on the date in question: the NYSE American, the Nasdaq Capital Market, the Nasdaq Global Market, the Nasdaq Global Select Market, the New York Stock Exchange, the OTCQB, OTCQX, Pink Open Market (or any successors to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 “</w:t>
      </w:r>
      <w:r>
        <w:rPr>
          <w:rFonts w:ascii="Times New Roman;Times;Serif" w:hAnsi="Times New Roman;Times;Serif"/>
          <w:b/>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Securities, the Lock-Up Agreement and all exhibits and schedules thereto and hereto and any other documents or agreements executed in connection with the transactions contemplated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 “</w:t>
      </w:r>
      <w:r>
        <w:rPr>
          <w:rFonts w:ascii="Times New Roman;Times;Serif" w:hAnsi="Times New Roman;Times;Serif"/>
          <w:b/>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the current transfer agent of the Company, with a mailing address of 1 State Street, 30th Floor, New York, NY 10004 and an email address of [●], and any successor transfer agent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 “</w:t>
      </w:r>
      <w:r>
        <w:rPr>
          <w:rFonts w:ascii="Times New Roman;Times;Serif" w:hAnsi="Times New Roman;Times;Serif"/>
          <w:b/>
          <w:i w:val="false"/>
          <w:caps w:val="false"/>
          <w:smallCaps w:val="false"/>
          <w:sz w:val="20"/>
          <w:u w:val="single"/>
        </w:rPr>
        <w:t>Warrants</w:t>
      </w:r>
      <w:r>
        <w:rPr>
          <w:rFonts w:ascii="Times New Roman;Times;Serif" w:hAnsi="Times New Roman;Times;Serif"/>
          <w:b w:val="false"/>
          <w:i w:val="false"/>
          <w:caps w:val="false"/>
          <w:smallCaps w:val="false"/>
          <w:sz w:val="20"/>
        </w:rPr>
        <w:t>” means the Pre-Funded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 “</w:t>
      </w:r>
      <w:r>
        <w:rPr>
          <w:rFonts w:ascii="Times New Roman;Times;Serif" w:hAnsi="Times New Roman;Times;Serif"/>
          <w:b/>
          <w:i w:val="false"/>
          <w:caps w:val="false"/>
          <w:smallCaps w:val="false"/>
          <w:sz w:val="20"/>
          <w:u w:val="single"/>
        </w:rPr>
        <w:t>Warrant Shares</w:t>
      </w:r>
      <w:r>
        <w:rPr>
          <w:rFonts w:ascii="Times New Roman;Times;Serif" w:hAnsi="Times New Roman;Times;Serif"/>
          <w:b w:val="false"/>
          <w:i w:val="false"/>
          <w:caps w:val="false"/>
          <w:smallCaps w:val="false"/>
          <w:sz w:val="20"/>
        </w:rPr>
        <w:t>” means the Ordinary Shares issuable upon exercise of the Warrants.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Termination</w:t>
            </w:r>
            <w:r>
              <w:rPr>
                <w:rFonts w:ascii="Times New Roman;Times;Serif" w:hAnsi="Times New Roman;Times;Serif"/>
                <w:sz w:val="20"/>
              </w:rPr>
              <w:t>. Notwithstanding anything to the contrary contained herein, the Company agrees that the provisions relating to the payment of fees, reimbursement of expenses, right of first refusal, tail fee, indemnification and contribution, equitable remedies, confidentiality, conflicts, independent contractor and waiver of the right to trial by jury will survive any termination or expiration of this placement agent agreement. Notwithstanding anything to the contrary contained herein, the Company has the right to terminate the placement agent agreement for cause in compliance with FINRA Rule 5110(g)(5)(B)(i). The exercise of such right of termination for cause eliminates the Company’s obligations with respect to the provisions relating to the tail fees and right of first refusal. Notwithstanding anything to the contrary contained in this placement agent agreement, in the event that no Placement is completed for any reason whatsoever during the Engagement Period, the Company shall be obligated to pay to Aegis its actual and accountable out-of-pocket expenses related to the Placement (including the fees and disbursements of Placement Agent’s legal counsel) and if applicable, for electronic road show service used in connection with the Placement. During the engagement hereunder: (i) the Company will not, and will not permit its representatives to, other than in coordination with Aegis, contact or solicit institutions, corporations or other entities or individuals as potential purchasers of the Securities and (ii) the Company will not pursue any financing transaction which would be in lieu of the Placement. Furthermore, the Company agrees that during Aegis’s engagement hereunder, all inquiries from prospective investors will be referred to Aegis. Regardless of termination and except as stated in this Section ‎16, Section ‎9 of this placement agent agreement will still remain in full effect if an offering is consummated.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Publicity</w:t>
            </w:r>
            <w:r>
              <w:rPr>
                <w:rFonts w:ascii="Times New Roman;Times;Serif" w:hAnsi="Times New Roman;Times;Serif"/>
                <w:sz w:val="20"/>
              </w:rPr>
              <w:t>. The Company agrees that it will not issue press releases or engage in any other publicity, without Aegis’s prior written consent, commencing on the date hereof and continuing until the final Closing of the Placement.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83"/>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Information</w:t>
            </w:r>
            <w:r>
              <w:rPr>
                <w:rFonts w:ascii="Times New Roman;Times;Serif" w:hAnsi="Times New Roman;Times;Serif"/>
                <w:sz w:val="20"/>
              </w:rPr>
              <w:t>. During the Engagement Period or until the Closing, the Company agrees to cooperate with Aegis and to furnish, or cause to be furnished, to Aegis, any and all information and data concerning the Company, and the Placement that Aegis deems appropriate (the “</w:t>
            </w:r>
            <w:r>
              <w:rPr>
                <w:rFonts w:ascii="Times New Roman;Times;Serif" w:hAnsi="Times New Roman;Times;Serif"/>
                <w:b/>
                <w:sz w:val="20"/>
                <w:u w:val="single"/>
              </w:rPr>
              <w:t>Information</w:t>
            </w:r>
            <w:r>
              <w:rPr>
                <w:rFonts w:ascii="Times New Roman;Times;Serif" w:hAnsi="Times New Roman;Times;Serif"/>
                <w:sz w:val="20"/>
              </w:rPr>
              <w:t>”). The Company will provide Aegis reasonable access during normal business hours from and after the date of execution of this placement agent agreement until the Closing to all of the Company’s assets, properties, books, contracts, commitments and records and to the Company’s officers, directors, employees, appraisers, independent accountants, legal counsel and other consultants and advisors. Except as contemplated by the terms hereof or as required by applicable law, Aegis will keep strictly confidential all non-public Information concerning the Company provided to Aegis. No obligation of confidentiality will apply to Information that: (a) is in the public domain as of the date hereof or hereafter enters the public domain without a breach by Aegis, (b) was known or became known by Aegis prior to the Company’s disclosure thereof to Aegis as demonstrated by the existence of its written records, (c) becomes known to Aegis from a source other than the Company which information is not provided by the breach of an obligation of confidentiality owed to the Company, (d) is disclosed by the Company to a third party without restrictions on its disclosure or (e) is independently developed by Aegis as demonstrated by its written records. For the avoidance of doubt, except as otherwise provided herein, all information which is not publicly available relating to the Company’s proprietary technology is proprietary and confidential.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No Third Party Beneficiaries; No Fiduciary Obligations</w:t>
            </w:r>
            <w:r>
              <w:rPr>
                <w:rFonts w:ascii="Times New Roman;Times;Serif" w:hAnsi="Times New Roman;Times;Serif"/>
                <w:sz w:val="20"/>
              </w:rPr>
              <w:t>. This placement agent agreement does not create, and shall not be construed as creating, rights enforceable by any person or entity not a party hereto, except those entitled hereto by virtue of the indemnification provisions hereof. The Company acknowledges and agrees that: (i) Aegis is not and shall not be construed as a fiduciary of the Company and shall have no duties or liabilities to the equity holders or the creditors of the Company or any other person or entity by virtue of this placement agent agreement or the retention of Aegis hereunder, all of which are hereby expressly waived; and (ii) Aegis is a full service securities firm engaged in a wide range of businesses and from time to time, in the ordinary course of its business, Aegis or its affiliates may hold long or short positions and trade or otherwise effect transactions for its own account or the account of its customers in debt or equity securities or loans of the companies which may be the subject of the transactions contemplated by this placement agent agreement. During the course of Aegis’s engagement with the Company, Aegis may have in its possession material, non-public information regarding other companies that could potentially be relevant to the Company or the transactions contemplated herein but which cannot be shared due to an obligation of confidence to such other companies.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47"/>
        <w:gridCol w:w="9469"/>
      </w:tblGrid>
      <w:tr>
        <w:trPr/>
        <w:tc>
          <w:tcPr>
            <w:tcW w:w="8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4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Indemnification, Advancement &amp; Contribution</w:t>
            </w:r>
            <w:r>
              <w:rPr>
                <w:rFonts w:ascii="Times New Roman;Times;Serif" w:hAnsi="Times New Roman;Times;Serif"/>
                <w:sz w:val="20"/>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 The Company agrees to indemnify and hold harmless Aegis, its affiliates and each person controlling Aegis (within the meaning of Section 15 of the Securities Act), and the directors, officers, agents and employees of Aegis, its affiliates and each such controlling person (Aegis, and each such entity or person hereafter is referred to as an “</w:t>
      </w:r>
      <w:r>
        <w:rPr>
          <w:rFonts w:ascii="Times New Roman;Times;Serif" w:hAnsi="Times New Roman;Times;Serif"/>
          <w:b/>
          <w:i w:val="false"/>
          <w:caps w:val="false"/>
          <w:smallCaps w:val="false"/>
          <w:sz w:val="20"/>
          <w:u w:val="single"/>
        </w:rPr>
        <w:t>Indemnified Person</w:t>
      </w:r>
      <w:r>
        <w:rPr>
          <w:rFonts w:ascii="Times New Roman;Times;Serif" w:hAnsi="Times New Roman;Times;Serif"/>
          <w:b w:val="false"/>
          <w:i w:val="false"/>
          <w:caps w:val="false"/>
          <w:smallCaps w:val="false"/>
          <w:sz w:val="20"/>
        </w:rPr>
        <w:t>”) from and against any losses, claims, damages, judgments, assessments, costs and other liabilities (collectively, the “</w:t>
      </w:r>
      <w:r>
        <w:rPr>
          <w:rFonts w:ascii="Times New Roman;Times;Serif" w:hAnsi="Times New Roman;Times;Serif"/>
          <w:b/>
          <w:i w:val="false"/>
          <w:caps w:val="false"/>
          <w:smallCaps w:val="false"/>
          <w:sz w:val="20"/>
          <w:u w:val="single"/>
        </w:rPr>
        <w:t>Liabilities</w:t>
      </w:r>
      <w:r>
        <w:rPr>
          <w:rFonts w:ascii="Times New Roman;Times;Serif" w:hAnsi="Times New Roman;Times;Serif"/>
          <w:b w:val="false"/>
          <w:i w:val="false"/>
          <w:caps w:val="false"/>
          <w:smallCaps w:val="false"/>
          <w:sz w:val="20"/>
        </w:rPr>
        <w:t>”), and shall reimburse each Indemnified Person for all fees and expenses (including the reasonable fees and expenses of counsel for the Indemnified Persons) (collectively, the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and agrees to advance payment of such Expenses as they are incurred by an Indemnified Person in investigating, preparing, pursuing or defending any actions, whether or not any Indemnified Person is a party thereto, arising out of or based upon (i) any untrue statement or alleged untrue statement of a material fact contained in (A) the Registration Statement, Prospectus or any other offering documents (as from time to time each may be amended and supplemented), (B) any materials or information provided to investors by, or with the approval of, the Company in connection with the marketing of the Placement, including any “road show” or investor presentations made to investors by the Company (whether in person or electronically), or (C) any application or other document or written communication (collectively called “application”) executed by the Company or based upon written information furnished by the Company in any jurisdiction in order to qualify the Securities under the securities laws thereof or to file for an exemption from such requirement or filed with the Commission, any state securities commission or agency, any national securities exchange; or (ii)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information provided to the Company by Aegis in writing specifically for use in the Registration Statement, Prospectus or any other offering documents with respect which or resulting from conduct by Aegis or another Indemnified Party, as to which Aegis shall indemnify and hold harmless the Company, its officers, directors and controlling parties in the manner set forth in this Section ‎20. The Company also agrees to reimburse and advance each Indemnified Person for all Expenses as they are incurred in connection with such Indemnified Person’s enforcement of his or its rights under this Section ‎20.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84"/>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19.2. </w:t>
      </w:r>
      <w:r>
        <w:rPr>
          <w:rFonts w:ascii="Times New Roman;Times;Serif" w:hAnsi="Times New Roman;Times;Serif"/>
          <w:b/>
          <w:i w:val="false"/>
          <w:caps w:val="false"/>
          <w:smallCaps w:val="false"/>
          <w:sz w:val="20"/>
          <w:u w:val="single"/>
        </w:rPr>
        <w:t>Procedure</w:t>
      </w:r>
      <w:r>
        <w:rPr>
          <w:rFonts w:ascii="Times New Roman;Times;Serif" w:hAnsi="Times New Roman;Times;Serif"/>
          <w:b w:val="false"/>
          <w:i w:val="false"/>
          <w:caps w:val="false"/>
          <w:smallCaps w:val="false"/>
          <w:sz w:val="20"/>
        </w:rPr>
        <w:t>. Upon receipt by an Indemnified Person of actual notice of an action against such Indemnified Person with respect to which indemnity may reasonably be expected to be sought under this Section ‎20, such Indemnified Person shall promptly notify the Company in writing; provided that failure by any Indemnified Person so to notify the Company shall not relieve the Company from any obligation or liability which the Company may have on account of this Section ‎20 or otherwise to such Indemnified Person. The Company shall, if requested by Aegis, assume the defense of any such action (including the employment of counsel designated by Aegis and reasonably satisfactory to the Company).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separate counsel reasonably acceptable to Aegis for the benefit of Aegis and the other Indemnified Persons or (ii) such Indemnified Person shall have been advised that in the opinion of counsel that there is an actual or potential conflict of interest that prevents (or makes it imprudent for) the counsel designated by and engaged by the Company for the purpose of representing the Indemnified Person, to represent both such Indemnified Person and any other person represented or proposed to be represented by such counsel, in which event the Company shall pay the reasonable fees and expenses of one counsel, plus local counsel, for all Indemnified Parties, which counsel shall, if Aegis is a defendant, be designated by Aegis. The Company shall not be liable for any settlement of any action effected without its written consent (which shall not be unreasonably withheld). In addition, the Company shall not, without the prior written consent of Aegis, settle, compromise or consent to the entry of any judgment in or otherwise seek to terminate any pending or threatened action in respect of which advancement, reimbursement, indemnification or contribution may be sought hereunder (whether or not such Indemnified Person is a party thereto) unless such settlement, compromise, consent or termination (i) includes an unconditional release of each Indemnified Person, acceptable to such Indemnified Party, from all Liabilities arising out of such action for which indemnification or contribution may be sought hereunder and (ii) does not include a statement as to or an admission of fault, culpability or a failure to act, by or on behalf of any Indemnified Person. The advancement, reimbursement, indemnification and contribution obligations of the Company required hereby shall be made by periodic payments of the amount thereof during the course of the investigation or defense, as every Liability and Expense is incurred and is due and payable, and in such amounts as fully satisfy each and every Liability and Expense as it is incurred (and in no event later than 30 Calendar Days following the date of any invoice therefore).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19.3. </w:t>
      </w:r>
      <w:r>
        <w:rPr>
          <w:rFonts w:ascii="Times New Roman;Times;Serif" w:hAnsi="Times New Roman;Times;Serif"/>
          <w:b/>
          <w:i w:val="false"/>
          <w:caps w:val="false"/>
          <w:smallCaps w:val="false"/>
          <w:sz w:val="20"/>
          <w:u w:val="single"/>
        </w:rPr>
        <w:t>Contribution</w:t>
      </w:r>
      <w:r>
        <w:rPr>
          <w:rFonts w:ascii="Times New Roman;Times;Serif" w:hAnsi="Times New Roman;Times;Serif"/>
          <w:b w:val="false"/>
          <w:i w:val="false"/>
          <w:caps w:val="false"/>
          <w:smallCaps w:val="false"/>
          <w:sz w:val="20"/>
        </w:rPr>
        <w:t>. In the event that a court of competent jurisdiction makes a finding, final beyond right of review, that indemnity is unavailable to an Indemnified Person, the Company shall contribute to the Liabilities and Expenses paid or payable by such Indemnified Person in such proportion as is appropriate to reflect (i) the relative benefits to the Company, on the one hand, and to Aegis and any other Indemnified Person, on the other hand, of the matters contemplated by this Section ‎20 or (ii) if the allocation provided by the immediately preceding clause is not permitted by applicable law, not only such relative benefits but also the relative fault of the Company, on the one hand, and Aegis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commissions and non-accountable expense allowance actually received by Aegis in the Placement. The relative fault shall be determined by reference to, among other things, whether the untrue or alleged untrue statement of a material fact or the omission or alleged omission to state a material fact relates to information supplied by the Company on the one hand or Aegis on the other and the parties’ relative intent, knowledge, access to information and opportunity to correct or prevent such statement or omission. The Company and Aegis agree that it would not be just and equitable if contributions pursuant to this subsection ‎20.3 were determined by pro rata allocation or by any other method of allocation which does not take account of the equitable considerations referred to above in this subsection ‎20.3. For purposes of this paragraph, the relative benefits to the Company, on the one hand, and to Aegis on the other hand, of the matters contemplated by this Section ‎20 shall be deemed to be in the same proportion as: (a) the total value received by the Company in the Placement, whether or not such Placement is consummated, bears to (b) the commissions paid to Aegis under the Placement Agent Agreement. Notwithstanding the above, no person guilty of fraudulent misrepresentation within the meaning of Section 11(f) of the Securities Act shall be entitled to contribution from a party who was not guilty of fraudulent misrepresentation.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19.4. </w:t>
      </w:r>
      <w:r>
        <w:rPr>
          <w:rFonts w:ascii="Times New Roman;Times;Serif" w:hAnsi="Times New Roman;Times;Serif"/>
          <w:b/>
          <w:i w:val="false"/>
          <w:caps w:val="false"/>
          <w:smallCaps w:val="false"/>
          <w:sz w:val="20"/>
          <w:u w:val="single"/>
        </w:rPr>
        <w:t>Limitation</w:t>
      </w:r>
      <w:r>
        <w:rPr>
          <w:rFonts w:ascii="Times New Roman;Times;Serif" w:hAnsi="Times New Roman;Times;Serif"/>
          <w:b w:val="false"/>
          <w:i w:val="false"/>
          <w:caps w:val="false"/>
          <w:smallCaps w:val="false"/>
          <w:sz w:val="20"/>
        </w:rPr>
        <w:t>. The Company also agrees that no Indemnified Person shall have any liability (whether direct or indirect, in contract or tort or otherwise) to the Company for or in connection with advice or services rendered or to be rendered by any Indemnified Person pursuant to this placement agent agreement, the transactions contemplated thereby or any Indemnified Person’s actions or inactions in connection with any such advice, services or transactions, except to the extent that a court of competent jurisdiction has made a finding that Liabilities (and related Expenses) of the Company have resulted exclusively from such Indemnified Person’s gross negligence or willful misconduct in connection with any such advice, actions, inactions or services.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85"/>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Equitable Remedies</w:t>
            </w:r>
            <w:r>
              <w:rPr>
                <w:rFonts w:ascii="Times New Roman;Times;Serif" w:hAnsi="Times New Roman;Times;Serif"/>
                <w:sz w:val="20"/>
              </w:rPr>
              <w:t>. Each party to this placement agent agreement acknowledges and agrees that (a) a breach or threatened breach by the Company of any of its obligations under Section ‎8 or Section ‎9 or the exclusivity provisions of Section ‎1 would give rise to irreparable harm to Aegis for which monetary damages would not be an adequate remedy and (b) if a breach or a threatened breach by the Company of any such obligations occurs, Aegis will, in addition to any and all other rights and remedies that may be available to such party at law, at equity, or otherwise in respect of such breach, be entitled to equitable relief, including a temporary restraining order, an injunction, specific performance of the terms of Section ‎8 or Section ‎9 or the exclusivity provisions of Section ‎1, as applicable, and any other relief that may be available from a court of competent jurisdiction, without any requirement to (i) post a bond or other security, or (ii) prove actual damages or that monetary damages will not afford an adequate remedy. Each party to this placement agent agreement agrees that such party shall not oppose or otherwise challenge the existence of irreparable harm, the appropriateness of equitable relief or the entry by a court of competent jurisdiction of an order granting equitable relief, in either case, consistent with the terms of this Section ‎21.</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Governing Law; Venue</w:t>
            </w:r>
            <w:r>
              <w:rPr>
                <w:rFonts w:ascii="Times New Roman;Times;Serif" w:hAnsi="Times New Roman;Times;Serif"/>
                <w:sz w:val="20"/>
              </w:rPr>
              <w:t>. This placement agent agreement will be deemed to have been made and delivered in the State of New York, USA, and both the binding provisions of this placement agent agreement and the transactions contemplated hereby will be governed as to validity, interpretation, construction, effect and in all other respects by the internal laws of the State of New York, without regard to the conflict of laws principles thereof. Each of Aegis and the Company: (i) agrees that any legal suit, action or proceeding arising out of or relating to this placement agent agreement and/or the transactions contemplated hereby will be instituted exclusively in the courts located in the Borough of Manhattan, City of New York, County of New York, State of New York (ii) waives any objection which it may have or hereafter to the venue of any such suit, action or proceeding, and (iii) irrevocably consents to the jurisdiction of the courts located in the City of New York, County of New York and State of New York, in any such suit, action or proceeding. Each of Aegis and the Company further agrees to accept and acknowledge service of any and all process which may be served in any such suit, action or proceeding in such courts and agrees that service of process upon the Company mailed by certified mail to the Company’s address will be deemed in every respect effective service of process upon the Company, in any such suit, action or proceeding, and service of process upon Aegis mailed by certified mail to Aegis’s address will be deemed in every respect effective service process upon Aegis, in any such suit, action or proceeding. Notwithstanding any provision of this placement agent agreement to the contrary, the Company agrees that neither Aegis nor its affiliates, and the respective officers, directors, employees, agents and representatives of Aegis, its affiliates and each other person, if any, controlling Aegis or any of its affiliates, will have any liability (whether direct or indirect, in contract or tort or otherwise) to the Company for or in connection with the engagement and transaction described herein except for any such liability for losses, claims, damages or liabilities incurred by the Company that are finally judicially determined to have resulted from the bad faith or gross negligence of such individuals or entities. Aegis will act under this placement agent agreement as an independent contractor with duties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Miscellaneous</w:t>
            </w:r>
            <w:r>
              <w:rPr>
                <w:rFonts w:ascii="Times New Roman;Times;Serif" w:hAnsi="Times New Roman;Times;Serif"/>
                <w:sz w:val="20"/>
              </w:rPr>
              <w:t>. The Company represents and warrants that it has all required power and authority to enter into and carry out the terms and provisions of this placement agent agreement and the execution, delivery and performance of this placement agent agreement does not breach or conflict with any agreement, document or instrument to which it is a party or bound. The binding provisions of this placement agent agreement are legally binding upon and inure to the benefit of both the Company and Aegis and their respective assigns, successors, and legal representatives. If any provision of this placement agent agreement is determined to be invalid or unenforceable in any respect, such determination will not affect such provision in any other respect, and the remainder of the placement agent agreement shall remain in full force and effect. This placement agent agreement may be executed in counterparts (including electronic counterparts), each of which shall be deemed an original but all of which together shall constitute one and the same instrument. The undersigned hereby consents to receipt of this placement agent agreement in electronic form and understands and agrees that this placement agent agreement may be signed electronically. Signatures to this placement agent agreement transmitted in electronic form will have the same effect as physical delivery of a paper document bearing the original signature, and if any signature is delivered electronically evidencing an intent to sign this placement agent agreement, such electronic mail or other electronic transmission shall create a valid and binding obligation of the undersigned with the same force and effect as if such signature were an original. Execution and delivery of this placement agent agreement by electronic mail or other electronic transmission is legal, valid and binding for all purposes.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in agreement with the foregoing, please sign and return to us one copy of this placement agent agreement. This placement agent agreement may be executed in counterparts (including facsimile or .pdf counterparts), each of which shall be deemed an original but all of which together shall constitute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of NIVF Best Efforts Secondary Offering Placement Agent Agreement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86"/>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of NIVF Best Efforts Secondary Offering Placement Agent Agreement]</w:t>
      </w:r>
    </w:p>
    <w:p>
      <w:pPr>
        <w:pStyle w:val="TextBody"/>
        <w:bidi w:val="0"/>
        <w:spacing w:before="0" w:after="0"/>
        <w:ind w:left="0" w:right="0" w:hanging="0"/>
        <w:jc w:val="center"/>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both"/>
              <w:rPr/>
            </w:pPr>
            <w:r>
              <w:rPr/>
              <w:t> </w:t>
            </w:r>
          </w:p>
        </w:tc>
        <w:tc>
          <w:tcPr>
            <w:tcW w:w="2950" w:type="dxa"/>
            <w:gridSpan w:val="2"/>
            <w:tcBorders/>
            <w:vAlign w:val="center"/>
          </w:tcPr>
          <w:p>
            <w:pPr>
              <w:pStyle w:val="TableContents"/>
              <w:bidi w:val="0"/>
              <w:spacing w:before="0" w:after="283"/>
              <w:jc w:val="both"/>
              <w:rPr/>
            </w:pPr>
            <w:r>
              <w:rPr/>
              <w:t>Very truly yours,</w:t>
            </w:r>
          </w:p>
        </w:tc>
      </w:tr>
      <w:tr>
        <w:trPr/>
        <w:tc>
          <w:tcPr>
            <w:tcW w:w="75" w:type="dxa"/>
            <w:tcBorders/>
            <w:vAlign w:val="center"/>
          </w:tcPr>
          <w:p>
            <w:pPr>
              <w:pStyle w:val="TableContents"/>
              <w:bidi w:val="0"/>
              <w:spacing w:before="0" w:after="283"/>
              <w:jc w:val="both"/>
              <w:rPr/>
            </w:pPr>
            <w:r>
              <w:rPr/>
              <w:t> </w:t>
            </w:r>
          </w:p>
        </w:tc>
        <w:tc>
          <w:tcPr>
            <w:tcW w:w="295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xml:space="preserve">Aegis Capital Corp.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Robert Eide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AGREED AND ACCEPTED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accurately sets forth our understanding and agreement with respect to the matters set forth herein.</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65"/>
        <w:gridCol w:w="2285"/>
        <w:gridCol w:w="75"/>
      </w:tblGrid>
      <w:tr>
        <w:trPr/>
        <w:tc>
          <w:tcPr>
            <w:tcW w:w="2950"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285"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33" w:name="ea030132501ex4-6.htm"/>
      <w:bookmarkStart w:id="34" w:name="ksea030132501ex46"/>
      <w:bookmarkEnd w:id="33"/>
      <w:bookmarkEnd w:id="34"/>
      <w:r>
        <w:rPr>
          <w:rFonts w:ascii="Times New Roman;Times;Serif" w:hAnsi="Times New Roman;Times;Serif"/>
          <w:b/>
          <w:i w:val="false"/>
          <w:caps w:val="false"/>
          <w:smallCaps w:val="false"/>
          <w:sz w:val="20"/>
        </w:rPr>
        <w:t>Exhibit 4.6</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PRE-FUNDED WARRANT TO PURCHASE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1910"/>
        <w:gridCol w:w="2540"/>
      </w:tblGrid>
      <w:tr>
        <w:trPr/>
        <w:tc>
          <w:tcPr>
            <w:tcW w:w="1910" w:type="dxa"/>
            <w:tcBorders/>
            <w:vAlign w:val="center"/>
          </w:tcPr>
          <w:p>
            <w:pPr>
              <w:pStyle w:val="TableContents"/>
              <w:bidi w:val="0"/>
              <w:spacing w:before="0" w:after="283"/>
              <w:jc w:val="left"/>
              <w:rPr/>
            </w:pPr>
            <w:r>
              <w:rPr/>
              <w:t>Warrant Shares: [●]</w:t>
            </w:r>
          </w:p>
        </w:tc>
        <w:tc>
          <w:tcPr>
            <w:tcW w:w="2540" w:type="dxa"/>
            <w:tcBorders/>
            <w:vAlign w:val="center"/>
          </w:tcPr>
          <w:p>
            <w:pPr>
              <w:pStyle w:val="TableContents"/>
              <w:bidi w:val="0"/>
              <w:spacing w:before="0" w:after="283"/>
              <w:jc w:val="left"/>
              <w:rPr>
                <w:sz w:val="20"/>
              </w:rPr>
            </w:pPr>
            <w:r>
              <w:rPr>
                <w:sz w:val="20"/>
              </w:rPr>
              <w:t>Initial Exercise Date: [●], 2026</w:t>
            </w:r>
          </w:p>
        </w:tc>
      </w:tr>
      <w:tr>
        <w:trPr/>
        <w:tc>
          <w:tcPr>
            <w:tcW w:w="191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sz w:val="20"/>
              </w:rPr>
            </w:pPr>
            <w:r>
              <w:rPr>
                <w:sz w:val="20"/>
              </w:rPr>
              <w:t>Issuance Date: [●],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PRE-FUNDED WARRANT TO PURCHASE ORDINARY SHARES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 or its assigns (the “</w:t>
      </w:r>
      <w:r>
        <w:rPr>
          <w:rFonts w:ascii="Times New Roman;Times;Serif" w:hAnsi="Times New Roman;Times;Serif"/>
          <w:b/>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until this Warrant is exercised in full (the “</w:t>
      </w:r>
      <w:r>
        <w:rPr>
          <w:rFonts w:ascii="Times New Roman;Times;Serif" w:hAnsi="Times New Roman;Times;Serif"/>
          <w:b/>
          <w:i w:val="false"/>
          <w:caps w:val="false"/>
          <w:smallCaps w:val="false"/>
          <w:sz w:val="20"/>
          <w:u w:val="single"/>
        </w:rPr>
        <w:t>Termination Date</w:t>
      </w:r>
      <w:r>
        <w:rPr>
          <w:rFonts w:ascii="Times New Roman;Times;Serif" w:hAnsi="Times New Roman;Times;Serif"/>
          <w:b w:val="false"/>
          <w:i w:val="false"/>
          <w:caps w:val="false"/>
          <w:smallCaps w:val="false"/>
          <w:sz w:val="20"/>
        </w:rPr>
        <w:t>”), to subscribe for and purchase from NewGenIvf Group Limited, a British Virgin Islands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up to [●] Class A ordinary shares (as subject to adjustment hereunder, the “</w:t>
      </w:r>
      <w:r>
        <w:rPr>
          <w:rFonts w:ascii="Times New Roman;Times;Serif" w:hAnsi="Times New Roman;Times;Serif"/>
          <w:b/>
          <w:i w:val="false"/>
          <w:caps w:val="false"/>
          <w:smallCaps w:val="false"/>
          <w:sz w:val="20"/>
          <w:u w:val="single"/>
        </w:rPr>
        <w:t>Warrant Shares</w:t>
      </w:r>
      <w:r>
        <w:rPr>
          <w:rFonts w:ascii="Times New Roman;Times;Serif" w:hAnsi="Times New Roman;Times;Serif"/>
          <w:b w:val="false"/>
          <w:i w:val="false"/>
          <w:caps w:val="false"/>
          <w:smallCaps w:val="false"/>
          <w:sz w:val="20"/>
        </w:rPr>
        <w:t>”). Subject to the provisions of Section ‎2.3, the purchase price of one (1) Ordinary Share under this Warrant shall be equal to the Exercise Price, as defined in Section ‎2.2.</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283"/>
              <w:jc w:val="both"/>
              <w:rPr/>
            </w:pPr>
            <w:r>
              <w:rPr>
                <w:b/>
                <w:u w:val="single"/>
              </w:rPr>
              <w:t>Definitions</w:t>
            </w:r>
            <w:r>
              <w:rPr/>
              <w:t>. In addition to the terms defined elsewhere in this Warrant or in the Placement Agent Agreement dated [●], 2026 by and between the Company and Aegis Capital Corp. referred to therein (the “</w:t>
            </w:r>
            <w:r>
              <w:rPr>
                <w:b/>
                <w:u w:val="single"/>
              </w:rPr>
              <w:t>Placement Agent Agreement</w:t>
            </w:r>
            <w:r>
              <w:rPr/>
              <w:t>”), the following terms have the meanings indicated in this Section  1:</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L.P.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 Calendar Day other than a Saturday, Sunday or any other Calendar Day which is a federal legal holiday in the United States or any Calendar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u w:val="single"/>
        </w:rPr>
        <w:t>Calendar Day</w:t>
      </w:r>
      <w:r>
        <w:rPr>
          <w:rFonts w:ascii="Times New Roman;Times;Serif" w:hAnsi="Times New Roman;Times;Serif"/>
          <w:b w:val="false"/>
          <w:i w:val="false"/>
          <w:caps w:val="false"/>
          <w:smallCaps w:val="false"/>
          <w:sz w:val="20"/>
        </w:rPr>
        <w:t>” means each and every day of the week (Sunday, Monday, Tuesday, Wednesday, Thursday, Friday and Saturday).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u w:val="single"/>
        </w:rPr>
        <w:t>Exempt Issuance</w:t>
      </w:r>
      <w:r>
        <w:rPr>
          <w:rFonts w:ascii="Times New Roman;Times;Serif" w:hAnsi="Times New Roman;Times;Serif"/>
          <w:b w:val="false"/>
          <w:i w:val="false"/>
          <w:caps w:val="false"/>
          <w:smallCaps w:val="false"/>
          <w:sz w:val="20"/>
        </w:rPr>
        <w:t>” means (i) any conventional bank loans that are not convertible into, or exercisable or exchangeable for, Ordinary Shares or Ordinary Share Equivalents and do not involve any issuance of any Ordinary Shares or Ordinary Share Equivalents or other security of the Company in connection therewith; (ii) Ordinary Shares or options issued to employees, officers or directors of the Company pursuant to the Company’s equity incentive plans or pursuant to the compensation agreements previously authorized by the Board of Directors; (iii) securities issued upon the exercise or exchange of or conversion of any Securities issued hereunder and/or other securities exercisable or exchangeable for or convertible into Ordinary Shares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share splits or combinations) or to extend the term of such securities; and (iv) securities issued pursuant to acquisitions or strategic transactions (whether by merger, consolidation, purchase of equity, purchase of assets, reorganization or otherwise)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sixty (60) days following the Release Date,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u w:val="single"/>
        </w:rPr>
        <w:t>Ordinary Share</w:t>
      </w:r>
      <w:r>
        <w:rPr>
          <w:rFonts w:ascii="Times New Roman;Times;Serif" w:hAnsi="Times New Roman;Times;Serif"/>
          <w:b w:val="false"/>
          <w:i w:val="false"/>
          <w:caps w:val="false"/>
          <w:smallCaps w:val="false"/>
          <w:sz w:val="20"/>
        </w:rPr>
        <w:t>” means the Class A ordinary shares of the Company, without par value per share, and any other class of securities into which such securities may hereafter be reclassified or changed.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including, without limitation, any debt, preferred stock, right, option, warrant or other instrument that is at any time convertible into or exercisable or exchangeable for, or otherwise entitles the holder thereof to receive, Ordinary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Company’s registration statement on Form F-1 (File No. 333-).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val="false"/>
          <w:caps w:val="false"/>
          <w:smallCaps w:val="false"/>
          <w:sz w:val="20"/>
          <w:u w:val="single"/>
        </w:rPr>
        <w:t>Release Date</w:t>
      </w:r>
      <w:r>
        <w:rPr>
          <w:rFonts w:ascii="Times New Roman;Times;Serif" w:hAnsi="Times New Roman;Times;Serif"/>
          <w:b w:val="false"/>
          <w:i w:val="false"/>
          <w:caps w:val="false"/>
          <w:smallCaps w:val="false"/>
          <w:sz w:val="20"/>
        </w:rPr>
        <w:t>” means the Closing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 Calendar Day on which the principal Trading Market is open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Shares are listed or quoted for trading on the date in question: the NYSE American, the Nasdaq Capital Market, the Nasdaq Global Market, the Nasdaq Global Select Market, the New York Stock Exchange, OTCQB or OTCQX (or any successors to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the Warrants, such other Warrants as contemplated in the Placement Agent Agreement, the Placement Agent Agreement, the Lock-Up Agreement and all exhibits and schedules thereto and hereto and any other documents or agreements executed in connection with the transactions contemplated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the current transfer agent of the Company, with a mailing address of 1 State Street, 30th Floor, New York, NY 10004 and an email address of [●], and any successor transfer agent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w:t>
      </w:r>
      <w:r>
        <w:rPr>
          <w:rFonts w:ascii="Times New Roman;Times;Serif" w:hAnsi="Times New Roman;Times;Serif"/>
          <w:b/>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L.P.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i w:val="false"/>
          <w:caps w:val="false"/>
          <w:smallCaps w:val="false"/>
          <w:sz w:val="20"/>
          <w:u w:val="single"/>
        </w:rPr>
        <w:t>Warrants</w:t>
      </w:r>
      <w:r>
        <w:rPr>
          <w:rFonts w:ascii="Times New Roman;Times;Serif" w:hAnsi="Times New Roman;Times;Serif"/>
          <w:b w:val="false"/>
          <w:i w:val="false"/>
          <w:caps w:val="false"/>
          <w:smallCaps w:val="false"/>
          <w:sz w:val="20"/>
        </w:rPr>
        <w:t>” means this Warrant and other Ordinary Shares purchase warrants issued by the Company pursuant to the Registration Statement.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1718"/>
        <w:gridCol w:w="8161"/>
      </w:tblGrid>
      <w:tr>
        <w:trPr/>
        <w:tc>
          <w:tcPr>
            <w:tcW w:w="326"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pPr>
            <w:r>
              <w:rPr/>
              <w:t>2.</w:t>
            </w:r>
          </w:p>
        </w:tc>
        <w:tc>
          <w:tcPr>
            <w:tcW w:w="8161" w:type="dxa"/>
            <w:tcBorders/>
            <w:vAlign w:val="center"/>
          </w:tcPr>
          <w:p>
            <w:pPr>
              <w:pStyle w:val="TableContents"/>
              <w:bidi w:val="0"/>
              <w:spacing w:before="0" w:after="283"/>
              <w:jc w:val="both"/>
              <w:rPr/>
            </w:pPr>
            <w:r>
              <w:rPr>
                <w:b/>
                <w:u w:val="single"/>
              </w:rPr>
              <w:t>Exercise</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substantially in the form attached hereto as </w:t>
      </w:r>
      <w:r>
        <w:rPr>
          <w:rFonts w:ascii="Times New Roman;Times;Serif" w:hAnsi="Times New Roman;Times;Serif"/>
          <w:b w:val="false"/>
          <w:i w:val="false"/>
          <w:caps w:val="false"/>
          <w:smallCaps w:val="false"/>
          <w:sz w:val="20"/>
          <w:u w:val="single"/>
        </w:rPr>
        <w:t>Exhibit ‎2.1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‎2.7.1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‎2.3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after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u w:val="single"/>
        </w:rPr>
        <w:t>Exercise Price</w:t>
      </w:r>
      <w:r>
        <w:rPr>
          <w:rFonts w:ascii="Times New Roman;Times;Serif" w:hAnsi="Times New Roman;Times;Serif"/>
          <w:b w:val="false"/>
          <w:i w:val="false"/>
          <w:caps w:val="false"/>
          <w:smallCaps w:val="false"/>
          <w:sz w:val="20"/>
        </w:rPr>
        <w:t>. The aggregate exercise price of this Warrant, except for a nominal exercise price of $0.00001 per Warrant Share, subject to adjustment hereunder (such nominal exercise price, the “</w:t>
      </w:r>
      <w:r>
        <w:rPr>
          <w:rFonts w:ascii="Times New Roman;Times;Serif" w:hAnsi="Times New Roman;Times;Serif"/>
          <w:b/>
          <w:i w:val="false"/>
          <w:caps w:val="false"/>
          <w:smallCaps w:val="false"/>
          <w:sz w:val="20"/>
          <w:u w:val="single"/>
        </w:rPr>
        <w:t>Exercise Price</w:t>
      </w:r>
      <w:r>
        <w:rPr>
          <w:rFonts w:ascii="Times New Roman;Times;Serif" w:hAnsi="Times New Roman;Times;Serif"/>
          <w:b w:val="false"/>
          <w:i w:val="false"/>
          <w:caps w:val="false"/>
          <w:smallCaps w:val="false"/>
          <w:sz w:val="20"/>
        </w:rPr>
        <w:t>”), was pre-funded to the Company on or prior to the Initial Exercise Date and, consequently, no additional consideration (other than such Exercise Price)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Warrant Share is $0.00001.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u w:val="single"/>
        </w:rPr>
        <w:t>Cashless Exercise</w:t>
      </w:r>
      <w:r>
        <w:rPr>
          <w:rFonts w:ascii="Times New Roman;Times;Serif" w:hAnsi="Times New Roman;Times;Serif"/>
          <w:b w:val="false"/>
          <w:i w:val="false"/>
          <w:caps w:val="false"/>
          <w:smallCaps w:val="false"/>
          <w:sz w:val="20"/>
        </w:rPr>
        <w:t>. This Warrant may also be exercised, in whole or in part, by means of a “cashless exercise” in which the Holder shall be entitled to receive a number of Warrant Shares equal to the quotient obtained by dividing [(A-B) (X)] by (A), where:</w:t>
      </w:r>
    </w:p>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(A) =</w:t>
            </w:r>
          </w:p>
        </w:tc>
        <w:tc>
          <w:tcPr>
            <w:tcW w:w="9860" w:type="dxa"/>
            <w:tcBorders/>
            <w:vAlign w:val="center"/>
          </w:tcPr>
          <w:p>
            <w:pPr>
              <w:pStyle w:val="TableContents"/>
              <w:bidi w:val="0"/>
              <w:spacing w:before="0" w:after="283"/>
              <w:jc w:val="both"/>
              <w:rPr/>
            </w:pPr>
            <w:r>
              <w:rPr/>
              <w:t>as applicable: (i) the VWAP on the Trading Day immediately preceding the date of the applicable Notice of Exercise if such Notice of Exercise is (1) delivered pursuant to Section ‎2.1 hereof on a Calendar Day that is not a Trading Day or (2) delivered pursuant to Section ‎2.1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highest Bid Price of the Ordinary Shares on the principal Trading Market as reported by Bloomberg L.P. within two (2) hours of the Holder’s delivery of the Notice of Exercise pursuant to Section ‎2.1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‎2.1 hereof two (2) or more hours following the close of “regular trading hours” on such Trading Day;</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846"/>
        <w:gridCol w:w="9299"/>
      </w:tblGrid>
      <w:tr>
        <w:trPr/>
        <w:tc>
          <w:tcPr>
            <w:tcW w:w="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pPr>
            <w:r>
              <w:rPr/>
              <w:t>(B) =</w:t>
            </w:r>
          </w:p>
        </w:tc>
        <w:tc>
          <w:tcPr>
            <w:tcW w:w="9299" w:type="dxa"/>
            <w:tcBorders/>
            <w:vAlign w:val="center"/>
          </w:tcPr>
          <w:p>
            <w:pPr>
              <w:pStyle w:val="TableContents"/>
              <w:bidi w:val="0"/>
              <w:spacing w:before="0" w:after="283"/>
              <w:jc w:val="both"/>
              <w:rPr/>
            </w:pPr>
            <w:r>
              <w:rPr/>
              <w:t>the Exercise Price of this Warrant, as adjusted hereunder;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8"/>
        <w:gridCol w:w="9760"/>
      </w:tblGrid>
      <w:tr>
        <w:trPr/>
        <w:tc>
          <w:tcPr>
            <w:tcW w:w="3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(X) =</w:t>
            </w:r>
          </w:p>
        </w:tc>
        <w:tc>
          <w:tcPr>
            <w:tcW w:w="9760" w:type="dxa"/>
            <w:tcBorders/>
            <w:vAlign w:val="center"/>
          </w:tcPr>
          <w:p>
            <w:pPr>
              <w:pStyle w:val="TableContents"/>
              <w:bidi w:val="0"/>
              <w:spacing w:before="0" w:after="283"/>
              <w:jc w:val="both"/>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u w:val="single"/>
        </w:rPr>
        <w:t>Holding Period for Cashless Exercise</w:t>
      </w:r>
      <w:r>
        <w:rPr>
          <w:rFonts w:ascii="Times New Roman;Times;Serif" w:hAnsi="Times New Roman;Times;Serif"/>
          <w:b w:val="false"/>
          <w:i w:val="false"/>
          <w:caps w:val="false"/>
          <w:smallCaps w:val="false"/>
          <w:sz w:val="20"/>
        </w:rPr>
        <w:t>. If Warrant Shares are issued in a cashless exercise, the parties acknowledge and agree that in accordance with Section 3(a)(9) of the Securities Act, the Warrant Shares shall take on the registered characteristics of the Warrants being exercised. Assuming (i) the Holder is not an Affiliate of the Company, and (ii) all of the applicable conditions of Rule 144 promulgated under the Securities Act with respect to Holder and the Warrant Shares are met in the case of such a cashless exercise, the Company agrees that the Company will cause the removal of the legend from such Warrant Shares (including by delivering an opinion of Han Kun Law Offices LLP to the Company’s transfer agent at its own expense to ensure the foregoing), and the Company agrees that the Holder is under no obligation to sell the Warrant Shares issuable upon the exercise of the Warrant prior to removing the legend. The Company agrees not to take any position contrary to this Section ‎2.6.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2.5.1. </w:t>
      </w:r>
      <w:r>
        <w:rPr>
          <w:rFonts w:ascii="Times New Roman;Times;Serif" w:hAnsi="Times New Roman;Times;Serif"/>
          <w:b/>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or by electronic delivery (at the election of the Holder),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Notwithstanding anything herein to the contrary, upon delivery of the Notice of Exercise, the Holder shall immediately be deemed for purposes of Regulation SHO under the Exchange Act to have become the holder of the Warrant Shares irrespective of the date of delivery of the Warrant Shares.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Ordinary Shares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Ordinary Shares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Placement Agent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2.5.2. </w:t>
      </w:r>
      <w:r>
        <w:rPr>
          <w:rFonts w:ascii="Times New Roman;Times;Serif" w:hAnsi="Times New Roman;Times;Serif"/>
          <w:b/>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2.5.3. </w:t>
      </w:r>
      <w:r>
        <w:rPr>
          <w:rFonts w:ascii="Times New Roman;Times;Serif" w:hAnsi="Times New Roman;Times;Serif"/>
          <w:b/>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‎2.7.1 by the Warrant Share Delivery Date, then the Holder will have the right to rescind such exercise.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2.5.4. </w:t>
      </w:r>
      <w:r>
        <w:rPr>
          <w:rFonts w:ascii="Times New Roman;Times;Serif" w:hAnsi="Times New Roman;Times;Serif"/>
          <w:b/>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‎2.7.1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Times New Roman;Times;Serif" w:hAnsi="Times New Roman;Times;Serif"/>
          <w:b/>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and return any amount received by the Company in respect of the Exercise Price for those Warrant Shares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Ordinary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2.5.5. </w:t>
      </w:r>
      <w:r>
        <w:rPr>
          <w:rFonts w:ascii="Times New Roman;Times;Serif" w:hAnsi="Times New Roman;Times;Serif"/>
          <w:b/>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2.5.6. </w:t>
      </w:r>
      <w:r>
        <w:rPr>
          <w:rFonts w:ascii="Times New Roman;Times;Serif" w:hAnsi="Times New Roman;Times;Serif"/>
          <w:b/>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Exhibit ‎2.7.6</w:t>
      </w:r>
      <w:r>
        <w:rPr>
          <w:rFonts w:ascii="Times New Roman;Times;Serif" w:hAnsi="Times New Roman;Times;Serif"/>
          <w:b w:val="false"/>
          <w:i w:val="false"/>
          <w:caps w:val="false"/>
          <w:smallCaps w:val="false"/>
          <w:sz w:val="20"/>
        </w:rPr>
        <w:t xml:space="preserve"> duly executed by the Holder and the Company may require, as a condition thereto, the payment of a sum sufficient to reimburse it for any transfer tax incidental thereto. The Company shall pay all Transfer Agent fees required for same-Trading Day processing of any Notice of Exercise and all fees to the Depository Trust Company (or another established clearing corporation performing similar functions) required for same-Trading Day electronic delivery of the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2.5.7. </w:t>
      </w:r>
      <w:r>
        <w:rPr>
          <w:rFonts w:ascii="Times New Roman;Times;Serif" w:hAnsi="Times New Roman;Times;Serif"/>
          <w:b/>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unexercised portion of this Warrant beneficially owned by the Holder or any of its Affiliates or Attribution Parties and (ii) exercise or conversion of the unexercised or unconverted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‎2.8,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‎2.8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‎2.8,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b/>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upon election by a Holder prior to the issuance of any Warrants, 9.99%) of the number of Ordinary Shares outstanding immediately after giving effect to the issuance of Ordinary Shares issuable upon exercise of this Warrant. The Holder, upon notice to the Company, may increase or decrease the Beneficial Ownership Limitation provisions of this Section ‎2.8, provided that the Beneficial Ownership Limitation in no event exceeds 9.99% of the number of Ordinary Shares outstanding immediately after giving effect to the issuance of Ordinary Shares upon exercise of this Warrant held by the Holder and the provisions of this Section ‎2.8 shall continue to apply. Any increase in the Beneficial Ownership Limitation will not be effective until sixty-one (61) Calendar Days after such notice is delivered to the Company. The provisions of this paragraph shall be construed and implemented in a manner otherwise than in strict conformity with the terms of this Section ‎2.8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829"/>
        <w:gridCol w:w="9219"/>
      </w:tblGrid>
      <w:tr>
        <w:trPr/>
        <w:tc>
          <w:tcPr>
            <w:tcW w:w="15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pPr>
            <w:r>
              <w:rPr/>
              <w:t>3.</w:t>
            </w:r>
          </w:p>
        </w:tc>
        <w:tc>
          <w:tcPr>
            <w:tcW w:w="9219" w:type="dxa"/>
            <w:tcBorders/>
            <w:vAlign w:val="center"/>
          </w:tcPr>
          <w:p>
            <w:pPr>
              <w:pStyle w:val="TableContents"/>
              <w:bidi w:val="0"/>
              <w:spacing w:before="0" w:after="283"/>
              <w:jc w:val="both"/>
              <w:rPr/>
            </w:pPr>
            <w:r>
              <w:rPr>
                <w:b/>
                <w:u w:val="single"/>
              </w:rPr>
              <w:t>Certain Adjustments</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reverse share split) outstanding Ordinary Shares into a smaller number of shares, or (iv) issues by reclassification of Ordinary Shares any shares of share capital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Warrant Shares issuable upon exercise of this Warrant shall be proportionately adjusted such that the aggregate Exercise Price of this Warrant shall remain unchanged. Any adjustment made pursuant to this Section ‎3.1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‎3.1 above, if at any time the Company grants, issues or sells any Ordinary Share Equivalents or rights to purchase shares, warrants, securities or other property pro rata to all (or substantially all) of the record holders of any class of Ordinary Shares (the “</w:t>
      </w:r>
      <w:r>
        <w:rPr>
          <w:rFonts w:ascii="Times New Roman;Times;Serif" w:hAnsi="Times New Roman;Times;Serif"/>
          <w:b/>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all (or substantially all) holders of Ordinary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such Distribution, or, if no such record is taken, the date as of which the record holders of Ordinary Shares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or 50% or more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or 50% or more of the voting power of the common equity of the Company (each a “</w:t>
      </w:r>
      <w:r>
        <w:rPr>
          <w:rFonts w:ascii="Times New Roman;Times;Serif" w:hAnsi="Times New Roman;Times;Serif"/>
          <w:b/>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‎2.8 on the exercise of this Warrant), the number of Ordinary Shares of the successor or acquiring corporation or of the Company, if it is the surviving corporation, and any additional consideration (the “</w:t>
      </w:r>
      <w:r>
        <w:rPr>
          <w:rFonts w:ascii="Times New Roman;Times;Serif" w:hAnsi="Times New Roman;Times;Serif"/>
          <w:b/>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Ordinary Shares for which this Warrant is exercisable immediately prior to such Fundamental Transaction (without regard to any limitation in Section ‎2.8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‎3.8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that is exercisable for a corresponding number of shares of share capital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share capital (but taking into account the relative value of the Ordinary Shares prior to such Fundamental Transaction and the value of such shares of share capital, such number of shares of share capital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‎3.8 regardless of (i) whether the Company has sufficient authorized Ordinary Shares for the issuance of Warrant Shares and/or (ii) whether a Fundamental Transaction occurs prior to the Initial Exercise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fraction of a cent as in the initial Exercise Price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3.6.1. </w:t>
      </w:r>
      <w:r>
        <w:rPr>
          <w:rFonts w:ascii="Times New Roman;Times;Serif" w:hAnsi="Times New Roman;Times;Serif"/>
          <w:b/>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3.6.2. </w:t>
      </w:r>
      <w:r>
        <w:rPr>
          <w:rFonts w:ascii="Times New Roman;Times;Serif" w:hAnsi="Times New Roman;Times;Serif"/>
          <w:b/>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 rights or warrants to subscribe for or purchase any shares of share capital of any class or of any rights, (D) the approval of any shareholders of the Company shall be required in connection with any reclassification of the Ordinary Shares, any consolidation or merger to which the Company (or any of its Subsidiaries) is a party, any sale or transfer of all or substantially all of its assets,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of Foreign Private Issuer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834"/>
        <w:gridCol w:w="9213"/>
      </w:tblGrid>
      <w:tr>
        <w:trPr/>
        <w:tc>
          <w:tcPr>
            <w:tcW w:w="15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pPr>
            <w:r>
              <w:rPr/>
              <w:t>4.</w:t>
            </w:r>
          </w:p>
        </w:tc>
        <w:tc>
          <w:tcPr>
            <w:tcW w:w="9213" w:type="dxa"/>
            <w:tcBorders/>
            <w:vAlign w:val="center"/>
          </w:tcPr>
          <w:p>
            <w:pPr>
              <w:pStyle w:val="TableContents"/>
              <w:bidi w:val="0"/>
              <w:spacing w:before="0" w:after="283"/>
              <w:jc w:val="both"/>
              <w:rPr/>
            </w:pPr>
            <w:r>
              <w:rPr>
                <w:b/>
                <w:u w:val="single"/>
              </w:rPr>
              <w:t>Transfer of Warrant</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u w:val="single"/>
        </w:rPr>
        <w:t>Transferability</w:t>
      </w:r>
      <w:r>
        <w:rPr>
          <w:rFonts w:ascii="Times New Roman;Times;Serif" w:hAnsi="Times New Roman;Times;Serif"/>
          <w:b w:val="false"/>
          <w:i w:val="false"/>
          <w:caps w:val="false"/>
          <w:smallCaps w:val="false"/>
          <w:sz w:val="20"/>
        </w:rPr>
        <w:t xml:space="preserve">.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as </w:t>
      </w:r>
      <w:r>
        <w:rPr>
          <w:rFonts w:ascii="Times New Roman;Times;Serif" w:hAnsi="Times New Roman;Times;Serif"/>
          <w:b w:val="false"/>
          <w:i w:val="false"/>
          <w:caps w:val="false"/>
          <w:smallCaps w:val="false"/>
          <w:sz w:val="20"/>
          <w:u w:val="single"/>
        </w:rPr>
        <w:t>Exhibit ‎2.7.6</w:t>
      </w:r>
      <w:r>
        <w:rPr>
          <w:rFonts w:ascii="Times New Roman;Times;Serif" w:hAnsi="Times New Roman;Times;Serif"/>
          <w:b w:val="false"/>
          <w:i w:val="false"/>
          <w:caps w:val="false"/>
          <w:smallCaps w:val="false"/>
          <w:sz w:val="20"/>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after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‎4.1,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171"/>
        <w:gridCol w:w="8812"/>
      </w:tblGrid>
      <w:tr>
        <w:trPr/>
        <w:tc>
          <w:tcPr>
            <w:tcW w:w="22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5.</w:t>
            </w:r>
          </w:p>
        </w:tc>
        <w:tc>
          <w:tcPr>
            <w:tcW w:w="8812" w:type="dxa"/>
            <w:tcBorders/>
            <w:vAlign w:val="center"/>
          </w:tcPr>
          <w:p>
            <w:pPr>
              <w:pStyle w:val="TableContents"/>
              <w:bidi w:val="0"/>
              <w:spacing w:before="0" w:after="283"/>
              <w:jc w:val="both"/>
              <w:rPr/>
            </w:pPr>
            <w:r>
              <w:rPr>
                <w:b/>
                <w:u w:val="single"/>
              </w:rPr>
              <w:t>Miscellaneous</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‎2.7.1, except as expressly set forth in Section ‎3. Without limiting any rights of a Holder to receive Warrant Shares on a “cashless exercise” pursuant to Section ‎2.3 or to receive cash payments pursuant to Section ‎2.7.1 and Section ‎2.7.4 herein, in no event shall the Company be required to net cash settle an exercise of this Warrant.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5.4.1. </w:t>
      </w:r>
      <w:r>
        <w:rPr>
          <w:rFonts w:ascii="Times New Roman;Times;Serif" w:hAnsi="Times New Roman;Times;Serif"/>
          <w:b/>
          <w:i w:val="false"/>
          <w:caps w:val="false"/>
          <w:smallCaps w:val="false"/>
          <w:sz w:val="20"/>
          <w:u w:val="single"/>
        </w:rPr>
        <w:t>Reservation of Authorized and Unissued Shares</w:t>
      </w:r>
      <w:r>
        <w:rPr>
          <w:rFonts w:ascii="Times New Roman;Times;Serif" w:hAnsi="Times New Roman;Times;Serif"/>
          <w:b w:val="false"/>
          <w:i w:val="false"/>
          <w:caps w:val="false"/>
          <w:smallCaps w:val="false"/>
          <w:sz w:val="20"/>
        </w:rPr>
        <w:t>. The Company covenants that, while the Warrant is outstanding, it will reserve from its authorized and unissued Ordinary Shares a sufficient number of Ordinary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(which means that no further sums are required to be paid by the holders thereof in connection with the issue thereof) and free from all taxes, liens and charges created by the Company in respect of the issue thereof (other than taxes in respect of any transfer occurring contemporaneously with such issue). If the Company does not have a sufficient number of authorized and unissued Ordinary Shares available to honor the exercise of Warrants, the Company shall allocate the available number of Warrant Shares on a pro rata basis among all Holders exercising Warrants, until such time as the Company has a sufficient number of authorized Ordinary Shares to issue all Warrant Shares in full.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5.4.2. </w:t>
      </w:r>
      <w:r>
        <w:rPr>
          <w:rFonts w:ascii="Times New Roman;Times;Serif" w:hAnsi="Times New Roman;Times;Serif"/>
          <w:b/>
          <w:i w:val="false"/>
          <w:caps w:val="false"/>
          <w:smallCaps w:val="false"/>
          <w:sz w:val="20"/>
          <w:u w:val="single"/>
        </w:rPr>
        <w:t>Noncircumvention</w:t>
      </w:r>
      <w:r>
        <w:rPr>
          <w:rFonts w:ascii="Times New Roman;Times;Serif" w:hAnsi="Times New Roman;Times;Serif"/>
          <w:b w:val="false"/>
          <w:i w:val="false"/>
          <w:caps w:val="false"/>
          <w:smallCaps w:val="false"/>
          <w:sz w:val="20"/>
        </w:rPr>
        <w:t>.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5.4.3. </w:t>
      </w:r>
      <w:r>
        <w:rPr>
          <w:rFonts w:ascii="Times New Roman;Times;Serif" w:hAnsi="Times New Roman;Times;Serif"/>
          <w:b/>
          <w:i w:val="false"/>
          <w:caps w:val="false"/>
          <w:smallCaps w:val="false"/>
          <w:sz w:val="20"/>
          <w:u w:val="single"/>
        </w:rPr>
        <w:t>Authorizations, Exemptions and Consents</w:t>
      </w:r>
      <w:r>
        <w:rPr>
          <w:rFonts w:ascii="Times New Roman;Times;Serif" w:hAnsi="Times New Roman;Times;Serif"/>
          <w:b w:val="false"/>
          <w:i w:val="false"/>
          <w:caps w:val="false"/>
          <w:smallCaps w:val="false"/>
          <w:sz w:val="20"/>
        </w:rPr>
        <w:t>. Before taking any action that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Notwithstanding the foregoing, nothing in this paragraph shall limit or restrict the federal district court in which a Holder may bring a claim under the federal securities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 provision of this Warrant shall be construed as a waiver by the Holder of any rights which the Holder may have under the federal securities laws and the rules and regulations of the Commission thereunder. Without limiting any other provision of this Warrant or the Placement Agent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36/39-36/40, 13th Floor, PS Tower, Sukhumvit 21 Road (Asoke), Khlong Toei Nuea Sub-district, Watthana District, Bangkok 10110, Thailand, Attention: Wing Fung Alfred Siu, Chief Executive Officer, email address: alfred.siu@newgenivf.com,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‎5.8 prior to 5:30 p.m. (New York City time) on any date, (ii) the next Trading Day after the time of transmission, if such notice or communication is delivered via e-mail at the e-mail address set forth in this Section ‎5.8 on a Calendar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Report of Foreign Private Issuer on Form 6-K.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a majority-in-interest of Holders of the Warrants, on the other hand.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[NIVF Investor Registered Pre-Funded Warrant 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[NIVF Investor Registered Pre-Funded Warrant Signature Page]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Registered Pre-Funded Warrant to be executed by its officer thereunto duly authorized as of the date first above indicated.</w:t>
      </w:r>
    </w:p>
    <w:p>
      <w:pPr>
        <w:pStyle w:val="TextBody"/>
        <w:bidi w:val="0"/>
        <w:spacing w:before="0" w:after="0"/>
        <w:ind w:left="0" w:right="0" w:firstLine="720"/>
        <w:jc w:val="both"/>
        <w:rPr>
          <w:caps w:val="false"/>
          <w:smallCaps w:val="false"/>
        </w:rPr>
      </w:pPr>
      <w:r>
        <w:rPr>
          <w:caps w:val="false"/>
          <w:smallCaps w:val="false"/>
        </w:rPr>
        <w:t> </w:t>
      </w:r>
    </w:p>
    <w:tbl>
      <w:tblPr>
        <w:tblW w:w="3514" w:type="dxa"/>
        <w:jc w:val="left"/>
        <w:tblInd w:w="0" w:type="dxa"/>
        <w:tblLayout w:type="fixed"/>
        <w:tblCellMar>
          <w:top w:w="0" w:type="dxa"/>
          <w:left w:w="0" w:type="dxa"/>
          <w:bottom w:w="0" w:type="dxa"/>
          <w:right w:w="0" w:type="dxa"/>
        </w:tblCellMar>
      </w:tblPr>
      <w:tblGrid>
        <w:gridCol w:w="75"/>
        <w:gridCol w:w="757"/>
        <w:gridCol w:w="2682"/>
      </w:tblGrid>
      <w:tr>
        <w:trPr/>
        <w:tc>
          <w:tcPr>
            <w:tcW w:w="75"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pPr>
            <w:r>
              <w:rPr/>
              <w:t>NEWGENIVF GROUP LIMITED</w:t>
            </w:r>
          </w:p>
        </w:tc>
      </w:tr>
      <w:tr>
        <w:trPr/>
        <w:tc>
          <w:tcPr>
            <w:tcW w:w="75"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By:</w:t>
            </w:r>
          </w:p>
        </w:tc>
        <w:tc>
          <w:tcPr>
            <w:tcW w:w="268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Name:</w:t>
            </w:r>
          </w:p>
        </w:tc>
        <w:tc>
          <w:tcPr>
            <w:tcW w:w="2682" w:type="dxa"/>
            <w:tcBorders/>
            <w:vAlign w:val="center"/>
          </w:tcPr>
          <w:p>
            <w:pPr>
              <w:pStyle w:val="TableContents"/>
              <w:bidi w:val="0"/>
              <w:spacing w:before="0" w:after="283"/>
              <w:jc w:val="left"/>
              <w:rPr/>
            </w:pPr>
            <w:r>
              <w:rPr/>
              <w:t>Wing Fung Alfred Siu</w:t>
            </w:r>
          </w:p>
        </w:tc>
      </w:tr>
      <w:tr>
        <w:trPr/>
        <w:tc>
          <w:tcPr>
            <w:tcW w:w="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Its:</w:t>
            </w:r>
          </w:p>
        </w:tc>
        <w:tc>
          <w:tcPr>
            <w:tcW w:w="2682" w:type="dxa"/>
            <w:tcBorders/>
            <w:vAlign w:val="center"/>
          </w:tcPr>
          <w:p>
            <w:pPr>
              <w:pStyle w:val="TableContents"/>
              <w:bidi w:val="0"/>
              <w:spacing w:before="0" w:after="283"/>
              <w:jc w:val="left"/>
              <w:rPr/>
            </w:pPr>
            <w:r>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To:</w:t>
        <w:tab/>
      </w:r>
      <w:r>
        <w:rPr>
          <w:rFonts w:ascii="Times New Roman;Times;Serif" w:hAnsi="Times New Roman;Times;Serif"/>
          <w:b w:val="false"/>
          <w:i w:val="false"/>
          <w:caps w:val="false"/>
          <w:smallCaps w:val="false"/>
          <w:sz w:val="20"/>
        </w:rPr>
        <w:t>NEWGENIVF GROUP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Section ‎2.3, to exercise this Warrant with respect to the maximum number of Warrant Shares purchasable pursuant to the cashless exercise procedure set forth in Section ‎2.3.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[NIVF Investor Registered Pre-Funded Warrant Exercise Notice – Investor Signature Page]</w:t>
      </w:r>
    </w:p>
    <w:p>
      <w:pPr>
        <w:pStyle w:val="TextBody"/>
        <w:bidi w:val="0"/>
        <w:spacing w:before="0" w:after="0"/>
        <w:ind w:left="0" w:right="0" w:hanging="0"/>
        <w:jc w:val="both"/>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5165"/>
        <w:gridCol w:w="75"/>
      </w:tblGrid>
      <w:tr>
        <w:trPr/>
        <w:tc>
          <w:tcPr>
            <w:tcW w:w="5165" w:type="dxa"/>
            <w:tcBorders/>
            <w:vAlign w:val="center"/>
          </w:tcPr>
          <w:p>
            <w:pPr>
              <w:pStyle w:val="TableContents"/>
              <w:bidi w:val="0"/>
              <w:spacing w:before="0" w:after="283"/>
              <w:jc w:val="left"/>
              <w:rPr/>
            </w:pPr>
            <w:r>
              <w:rPr/>
              <w:t xml:space="preserve">Name of Investing Entity: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5165" w:type="dxa"/>
            <w:tcBorders/>
            <w:vAlign w:val="center"/>
          </w:tcPr>
          <w:p>
            <w:pPr>
              <w:pStyle w:val="TableContents"/>
              <w:bidi w:val="0"/>
              <w:spacing w:before="0" w:after="283"/>
              <w:jc w:val="left"/>
              <w:rPr/>
            </w:pPr>
            <w:r>
              <w:rPr/>
              <w:t>Signature of Authorized Signatory of Investing Entity:</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5165" w:type="dxa"/>
            <w:tcBorders/>
            <w:vAlign w:val="center"/>
          </w:tcPr>
          <w:p>
            <w:pPr>
              <w:pStyle w:val="TableContents"/>
              <w:bidi w:val="0"/>
              <w:spacing w:before="0" w:after="283"/>
              <w:jc w:val="left"/>
              <w:rPr/>
            </w:pPr>
            <w:r>
              <w:rPr/>
              <w:t xml:space="preserve">Name of Authorized Signatory: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5165" w:type="dxa"/>
            <w:tcBorders/>
            <w:vAlign w:val="center"/>
          </w:tcPr>
          <w:p>
            <w:pPr>
              <w:pStyle w:val="TableContents"/>
              <w:bidi w:val="0"/>
              <w:spacing w:before="0" w:after="283"/>
              <w:jc w:val="left"/>
              <w:rPr/>
            </w:pPr>
            <w:r>
              <w:rPr/>
              <w:t xml:space="preserve">Title of Authorized Signatory: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5165" w:type="dxa"/>
            <w:tcBorders/>
            <w:vAlign w:val="center"/>
          </w:tcPr>
          <w:p>
            <w:pPr>
              <w:pStyle w:val="TableContents"/>
              <w:bidi w:val="0"/>
              <w:spacing w:before="0" w:after="283"/>
              <w:jc w:val="left"/>
              <w:rPr/>
            </w:pPr>
            <w:r>
              <w:rPr/>
              <w:t xml:space="preserve">Date: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‎2.7.6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 this form and supply required information. Do not use this form to exercise the Warrant to purchase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720"/>
        <w:jc w:val="both"/>
        <w:rPr>
          <w:caps w:val="false"/>
          <w:smallCaps w:val="false"/>
        </w:rPr>
      </w:pPr>
      <w:r>
        <w:rPr>
          <w:caps w:val="false"/>
          <w:smallCaps w:val="false"/>
        </w:rPr>
        <w:t> </w:t>
      </w:r>
    </w:p>
    <w:tbl>
      <w:tblPr>
        <w:tblW w:w="1685" w:type="dxa"/>
        <w:jc w:val="left"/>
        <w:tblInd w:w="0" w:type="dxa"/>
        <w:tblLayout w:type="fixed"/>
        <w:tblCellMar>
          <w:top w:w="0" w:type="dxa"/>
          <w:left w:w="0" w:type="dxa"/>
          <w:bottom w:w="0" w:type="dxa"/>
          <w:right w:w="0" w:type="dxa"/>
        </w:tblCellMar>
      </w:tblPr>
      <w:tblGrid>
        <w:gridCol w:w="1610"/>
        <w:gridCol w:w="75"/>
      </w:tblGrid>
      <w:tr>
        <w:trPr/>
        <w:tc>
          <w:tcPr>
            <w:tcW w:w="1610" w:type="dxa"/>
            <w:tcBorders/>
            <w:vAlign w:val="center"/>
          </w:tcPr>
          <w:p>
            <w:pPr>
              <w:pStyle w:val="TableContents"/>
              <w:bidi w:val="0"/>
              <w:spacing w:before="0" w:after="283"/>
              <w:jc w:val="left"/>
              <w:rPr/>
            </w:pPr>
            <w:r>
              <w:rPr/>
              <w:t>Name: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Phone Number: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Email 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Date: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Holder’s Signature: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Holder’s 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right"/>
        <w:rPr>
          <w:b/>
        </w:rPr>
      </w:pPr>
      <w:bookmarkStart w:id="35" w:name="ea030132501ex10-33.htm"/>
      <w:bookmarkStart w:id="36" w:name="ksea030132501ex1033"/>
      <w:bookmarkEnd w:id="35"/>
      <w:bookmarkEnd w:id="36"/>
      <w:r>
        <w:rPr>
          <w:b/>
        </w:rPr>
        <w:t>Exhibit 10.33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October 15, 2025,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with its address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with its address at 1800 Diagonal Road, Suite 623, Alexandria VA 22314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Lender are executing and delivering this Agreement in reliance upon the exemption from securities registration afforded by the rules and regulations as promulgated by the United States Securities and Exchange Commission (the “SEC”) under the Securities Act of 1933, as amended (the “1933 Act”);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desires to purchase and the Company desires to issue and sell, upon the terms and conditions set forth in this Agreement, a convertible promissory note of the Company, in the form attached hereto as Exhibit A, in the aggregate principal amount of $257,000.00 (the “Note”) with additional tranches of financing of up to $2,200,000.00 in the aggregate during the next twelve (12) months subject to further agreement by and between the Company and the Lender;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Company and the Lender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the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the Securities</w:t>
      </w:r>
      <w:r>
        <w:rPr>
          <w:rFonts w:ascii="Times New Roman;Times;Serif" w:hAnsi="Times New Roman;Times;Serif"/>
          <w:b w:val="false"/>
          <w:i w:val="false"/>
          <w:caps w:val="false"/>
          <w:smallCaps w:val="false"/>
          <w:sz w:val="20"/>
        </w:rPr>
        <w:t>. On the Closing Date (as defined below), the Company shall issue and sell to the Lender and the Lender agrees to purchase from the Company the Securities as is set forth immediately below the Lender’s name on the signature pages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On the Closing Date (as defined below), (i) the Lender shall pay the purchase price for the Securities be issued and sold to it at the Closing (as defined below) (the “Purchase Price”) by wire transfer of immediately available funds to the Company, in accordance with the Company’s written wiring instructions, against delivery of the Securities, and (ii) the Company shall deliver such duly executed Note on behalf of the Company against delivery of such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satisfaction (or written waiver) of the conditions thereto set forth in Section 6 and Section 7 below, the date and time of the issuance and sale of the Securities pursuant to this Agreement (the “Closing Date”) shall be 12:00 noon, Eastern Standard Time on or about October 15, 2025, or such other mutually agreed upon time. The closing of the transactions contemplated by this Agreement (the “Closing”) shall occur on the Closing Date at such location as may be agreed to by the parties.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Lender’s Representatio</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z w:val="20"/>
          <w:u w:val="single"/>
        </w:rPr>
        <w:t>s and Warranties.</w:t>
      </w:r>
      <w:r>
        <w:rPr>
          <w:rFonts w:ascii="Times New Roman;Times;Serif" w:hAnsi="Times New Roman;Times;Serif"/>
          <w:b w:val="false"/>
          <w:i w:val="false"/>
          <w:caps w:val="false"/>
          <w:smallCaps w:val="false"/>
          <w:sz w:val="20"/>
        </w:rPr>
        <w:t xml:space="preserve"> The Lender represents and warrants to the Company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As of the date hereof, the Lender is purchasing the Note and the shares of Class A Ordinary Shares of the Company (“Class A Ordinary Shares”) issuable upon conversion of or otherwise pursuant to the Note (such shares of Class A Ordinary Shares being collectively referred to herein as the “Conversion Shares” and, collectively with the Note, the “Securities”) for its own account and not with a present view towards the public sale or distribution thereof, except pursuant to sales registered or exempted from registration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Lender is an “accredited investor” as that term is defined in Rule 501(a) of Regulation D (an “Accredited Investor”). Lender, either alone or together with its representatives, has such knowledge, sophistication and experience in business and financial matters so as to be capable of evaluating the merits and risks of the prospective investment in the Note and the Conversion Shares, and has so evaluated the merits and risks of such investment. Lender is able to bear the economic risk of an investment in the Note and Conversion Share and, at the present time, is able to afford a complete loss of such investment. Lender acknowledges that it has had the opportunity to review the reports filed by the Company with the Securities and Exchange Commission, and has been afforded: (i) the opportunity to ask such questions as it has deemed necessary of, and to receive answers from, representatives of the Company concerning the terms and conditions of the offering of the Note and Conversion Shares and the merits and risks of investing in the Note and Conversion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Lender understands that the Securities are being offered and sold to it in reliance upon specific exemptions from the registration requirements of United States federal and state securities laws and that the Company is relying upon the truth and accuracy of, and the Lender’s compliance with, the representations, warranties, agreements, acknowledgments and understandings of the Lender set forth herein in order to determine the availability of such exemptions and the eligibility of the Lender to acquire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Company has not disclosed to the Lender any material nonpublic information and will not disclose such information unless such information is disclosed to the public prior to or promptly following such disclosure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Lender understands that the Securities have not been registered under the 1933 Act; and may bear a restrictive legend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INSTRUMENT HAVE NOT BEEN REGISTERED UNDER THE SECURITIES ACT OF 1933, AS AMENDED (THE “SECURITIES ACT”), OR UNDER ANY STATE SECURITIES LAWS, AND MAY NOT BE PLEDGED, SOLD, ASSIGNED, HYPOTHECATED OR OTHERWISE TRANSFERRED UNLESS (1) A REGISTRATION STATEMENT WITH RESPECT THERETO IS EFFECTIVE UNDER THE SECURITIES ACT AND ANY APPLICABLE STATE SECURITIES LAWS OR (2) THE ISSUER OF SUCH SECURITIES RECEIVES AN OPINION OF COUNSEL TO THE BUYER OF SUCH SECURITIES, WHICH COUNSEL AND OPINION ARE REASONABLY ACCEPTABLE TO THE ISSUER’S TRANSFER AGENT, THAT SUCH SECURITIES MAY BE PLEDGED, SOLD, ASSIGNED, HYPOTHECATED OR OTHERWISE TRANSFERRED WITHOUT AN EFFECTIVE REGISTRATION STATEMENT UNDER THE SECURITIES ACT AND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without such legend to the Lender of any Security upon which it is stamped, if, unless otherwise required by applicable state securities laws, (a) such Security is registered for sale under an effective registration statement filed under the 1933 Act or otherwise may be sold pursuant to an exemption from registration without any restriction as to the number of securities as of a particular date that can then be immediately sold, or (b) such Lender provides the Company with an opinion of counsel, in form, substance and scope customary for opinions of counsel in comparable transactions, to the effect that a public sale or transfer of such Security may be made without registration under the 1933 Act, which opinion shall be accepted by the Company so that the sale or transfer is effected. The Lender agrees to sell all Securities, including those represented by a certificate(s) from which the legend has been removed, in compliance with applicable prospectus delivery requirements, if any. In the event that the Company does not reasonably accept the opinion of counsel that properly conforms to applicable securities laws provided by the Lender with respect to the transfer of any Securities pursuant to an exemption from registration, such as Rule 144, at the Deadline, it will be considered an Event of Default pursuant to Section 3.2 of the Note.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This Agreement has been duly executed and delivered on behalf of the Lender, and this Agreement constitutes a valid and binding agreement of the Lender enforceable in accordance with its terms.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Lender that: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sz w:val="20"/>
          <w:u w:val="single"/>
        </w:rPr>
        <w:t>n and Quali</w:t>
      </w:r>
      <w:r>
        <w:rPr>
          <w:rFonts w:ascii="Times New Roman;Times;Serif" w:hAnsi="Times New Roman;Times;Serif"/>
          <w:b w:val="false"/>
          <w:i w:val="false"/>
          <w:caps w:val="false"/>
          <w:smallCaps w:val="false"/>
          <w:sz w:val="20"/>
        </w:rPr>
        <w:t>fi</w:t>
      </w:r>
      <w:r>
        <w:rPr>
          <w:rFonts w:ascii="Times New Roman;Times;Serif" w:hAnsi="Times New Roman;Times;Serif"/>
          <w:b w:val="false"/>
          <w:i w:val="false"/>
          <w:caps w:val="false"/>
          <w:smallCaps w:val="false"/>
          <w:sz w:val="20"/>
          <w:u w:val="single"/>
        </w:rPr>
        <w:t>cation</w:t>
      </w:r>
      <w:r>
        <w:rPr>
          <w:rFonts w:ascii="Times New Roman;Times;Serif" w:hAnsi="Times New Roman;Times;Serif"/>
          <w:b w:val="false"/>
          <w:i w:val="false"/>
          <w:caps w:val="false"/>
          <w:smallCaps w:val="false"/>
          <w:sz w:val="20"/>
        </w:rPr>
        <w:t>. The Company and each of its Subsidiaries (as defined below), if any, is a corporation duly organized, validly existing and in good standing under the laws of the jurisdiction in which it is incorporated, with full power and authority (corporate and other) to own, lease, use and operate its properties and to carry on its business as and where now owned, leased, used, operated and conducted.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(i)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the Note by the Company and the consummation by it of the transactions contemplated hereby and thereby (including without limitation, the issuance of the Note has been duly authorized by the Company’s Board of Directors and no further consent or authorization of the Company, its Board of Directors, or its shareholders is required, (iii) this Agreement has been duly executed and delivered by the Company by its authorized representative, and such authorized representative is the true and official representative with authority to sign this Agreement and the other documents executed in connection herewith and bind the Company accordingly, and (iv) this Agreement constitutes, and upon execution and delivery by the Company of the Note, each of such instruments will constitute, a legal, valid and binding obligation of the Company enforceable against the Company in accordance with its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the date hereof, the authorized Class A Ordinary Shares of the Company consists of 50,000,000 authorized shares, no par value per share, of which 1,828,574 shares are issued and outstanding. All of such outstanding shares of capital stock are, or upon issuance will be, duly authorized,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Securities are duly authorized and reserved for issuance in accordance with its respective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Lender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the Note by the Company and the consummation by the Company of the transactions contemplated hereby and thereby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are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The businesses of the Company and its Subsidiaries, if any, are not being conducted, and shall not be conducted so long as the Lender owns any of the Securities, in violation of any law, ordinance or regulation of any governmental entity.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This Note is subordinate to the currently outstanding Series A Preferred Stock, solely with respect to dividend rights and rights on the distribution of assets on any voluntary or involuntary liquidation, dissolution or winding up of the affairs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it with the SEC pursuant to the reporting requirements of the Exchange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or if amended, as of the dates of the amendments,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or if amended, as of the dates of the amendments,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The Company is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2024, except as set forth in the SEC Documents, there has been no material adverse change and no material adverse development in the assets, liabilities, business, properties, operations, financial condition, results of operations, prospects or Exchange Act reporting status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Li</w:t>
      </w:r>
      <w:r>
        <w:rPr>
          <w:rFonts w:ascii="Times New Roman;Times;Serif" w:hAnsi="Times New Roman;Times;Serif"/>
          <w:b w:val="false"/>
          <w:i w:val="false"/>
          <w:caps w:val="false"/>
          <w:smallCaps w:val="false"/>
          <w:sz w:val="20"/>
        </w:rPr>
        <w:t>ti</w:t>
      </w:r>
      <w:r>
        <w:rPr>
          <w:rFonts w:ascii="Times New Roman;Times;Serif" w:hAnsi="Times New Roman;Times;Serif"/>
          <w:b w:val="false"/>
          <w:i w:val="false"/>
          <w:caps w:val="false"/>
          <w:smallCaps w:val="false"/>
          <w:sz w:val="20"/>
          <w:u w:val="single"/>
        </w:rPr>
        <w:t>gation</w:t>
      </w:r>
      <w:r>
        <w:rPr>
          <w:rFonts w:ascii="Times New Roman;Times;Serif" w:hAnsi="Times New Roman;Times;Serif"/>
          <w:b w:val="false"/>
          <w:i w:val="false"/>
          <w:caps w:val="false"/>
          <w:smallCaps w:val="false"/>
          <w:sz w:val="20"/>
        </w:rPr>
        <w:t>. Except as set forth in the SEC Documents,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Company and its Subsidiaries are unaware of any facts or circumstances which might give rise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Lender. The issuance of the Securities to the Lender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Brokers</w:t>
      </w:r>
      <w:r>
        <w:rPr>
          <w:rFonts w:ascii="Times New Roman;Times;Serif" w:hAnsi="Times New Roman;Times;Serif"/>
          <w:b w:val="false"/>
          <w:i w:val="false"/>
          <w:caps w:val="false"/>
          <w:smallCaps w:val="false"/>
          <w:sz w:val="20"/>
        </w:rPr>
        <w:t>. The Company has taken no action which would give rise to any claim by any person for brokerage commissions, transaction fees or similar payments relating to this Agreement or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If the Company breaches any of the material representations or warranties set forth in this Section 3 which is continuing after the applicable cure period as set forth in the Note, if any, and in addition to any other remedies available to the Lender pursuant to this Agreement, it will be considered an Event of default under Section 4.4 of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Reasonable Commercial Efforts</w:t>
      </w:r>
      <w:r>
        <w:rPr>
          <w:rFonts w:ascii="Times New Roman;Times;Serif" w:hAnsi="Times New Roman;Times;Serif"/>
          <w:b w:val="false"/>
          <w:i w:val="false"/>
          <w:caps w:val="false"/>
          <w:smallCaps w:val="false"/>
          <w:sz w:val="20"/>
        </w:rPr>
        <w:t>. The Company shall use its reasonable commercial efforts to satisfy timely each of the conditions described in Section 7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proceeds for general working capital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At the Closing, the Company’s obligation with respect to the transactions contemplated by this Agreement is to reimburse Lender’s expenses shall be $27,000.00 for Lender’s legal fees; due diligence fee and the Company’s investment bankers.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So long as the Lender beneficially owns any Note, the Company shall maintain its corporate existence and shall not sell all or substantially all of the Company’s assets in one or a series of transactions the result of which would render the Company a “shell company” as such term in defined in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If the Company breaches any of the material covenants set forth in this Section 4, and in addition to any other remedies available to the Lender pursuant to this Agreement which is continuing after the applicable cure period as set forth in the Note, it will be considered an event of default under Section 4.4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So long as the Lender beneficially owns the Note, the Company shall comply with the reporting requirements of the Exchange Act; and the Company shall continue to be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The Company has not engaged the Lender to perform “Dealer” actions</w:t>
      </w:r>
      <w:r>
        <w:rPr>
          <w:rFonts w:ascii="Times New Roman;Times;Serif" w:hAnsi="Times New Roman;Times;Serif"/>
          <w:b w:val="false"/>
          <w:i w:val="false"/>
          <w:caps w:val="false"/>
          <w:smallCaps w:val="false"/>
          <w:sz w:val="20"/>
        </w:rPr>
        <w:t>. The Lender and the Company hereby acknowledge and agree that the Company has not engaged the Lender to: (i) act as an underwriter; (ii) act as a market maker or specialist; (iii) act as “de facto” market maker; or (iv) conduct any other professional market activities such as providing investment advice, extending credit and lending securities in connection.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issue irrevocable instructions to its transfer agent to issue certificates, registered in the name of the Lender or its nominee, for the shares underlying any conversion of the Note upon default of the Note (the “Conversion Shares”) in such amounts as specified from time to time by the Lender to the Company upon conversion of the Note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 shares of Class A Ordinary Shares in the Reserved Amount as such term is defined in the Note) signed by the successor transfer agent to Company and the Company. Prior to registration of the Conversion Shares under the 1933 Act or the date on which the Conversion Shares may be sold pursuant to an exemption from registration, all such certificates shall bear the restrictive legend specified in Section 2(e)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Conversion Shares to be issued to the Lender upon conversion of or otherwise pursuant to the Note as and when required by the Note and this Agreement; and (iii) it will not fail to remove (or directs its transfer agent not to remove or impairs, delays, and/or hinders its transfer agent from removing) any restrictive legend (or to withdraw any stop transfer instructions in respect thereof) on any certificate for any Conversion Shares issued to the Lender upon conversion of or otherwise pursuant to the Note as and when required by the Note and/or this Agreement. If the Lender provides the Company and the Company’s transfer, at the cost of the Lender, with an opinion of counsel in form, substance and scope customary for opinions in comparable transactions, to the effect that a public sale or transfer of such Securities may be made without registration under the 1933 Act, the Company shall permit the transfer, and, in the case of the Conversion Shares, promptly instruct its transfer agent to issue one or more certificates, free from restrictive legend, in such name and in such denominations as specified by the Lender. The Company acknowledges that a breach by it of its obligations hereunder will cause irreparable harm to the Lender,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Lender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The obligation of the Company hereunder to issue and sell the Securities to the Lender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shall have executed this Agreement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Lender shall be true and correct in all material respects as of the date when made and as of the Closing Date as though made at that time (except for representations and warranties that speak as of a specific date), and the Lender shall have performed, satisfied and complied in all material respects with the covenants, agreements and conditions required by this Agreement to be performed, satisfied or complied with by the Lender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Lender’s Obligation to Purchase</w:t>
      </w:r>
      <w:r>
        <w:rPr>
          <w:rFonts w:ascii="Times New Roman;Times;Serif" w:hAnsi="Times New Roman;Times;Serif"/>
          <w:b w:val="false"/>
          <w:i w:val="false"/>
          <w:caps w:val="false"/>
          <w:smallCaps w:val="false"/>
          <w:sz w:val="20"/>
        </w:rPr>
        <w:t>. The obligation of the Lender hereunder to purchase the Securities at the Closing is subject to the satisfaction, at or before the Closing Date of each of the following conditions, provided that these conditions are for the Lender’s sole benefit and may be waived by the Lender at any time in its sole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executed this Agreement and delivered the same to the Lender.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Lender the duly executed Note,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Lender, shall have been delivered to and acknowledged in writing by the Company’s Transfer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the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 The Lender shall have received a certificate or certificates, executed by the chief executive officer of the Company, dated as of the Closing Date, to the foregoing effect and as to such other matters as may be reasonably requested by the Lender including, but not limited to certificates with respect to the Board of Directors’ resolutions relating to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Exchange Act reporting status of the Company or the failure of the Company to be timely in its Exchange Act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Commonwealth of Virginia without regard to principles of conflicts of laws. Any action brought by either party against the other concerning the transactions contemplated by this Agreement shall be brought only in the Circuit Court of Fairfax County, Virginia or in the Alexandria Division of the United States District Court for the Eastern District of Virginia. The parties to this Agreement hereby irrevocably waive any objection to jurisdiction and venue of any action instituted hereunder and shall not assert any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Company and Lender waive trial by jury. The Lender shall be entitled to recover from the Company its reasonable attorney’s fees and costs. In the event that any provision of this Agreement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 Each party hereby irrevocably waives personal service of process and consents to process being served in any suit, action or proceeding in connection with this Agreement, the Note or any related document or agreement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shall constitute one and the same agreement and shall become effective when counterparts have been signed by each party and delivered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instruments referenced herein contain the entire understanding of the parties with respect to the matters covered herein and therein and, except as specifically set forth herein or therein, neither the Company nor the Lender makes any representation, warranty, covenant or undertaking with respect to such matters. No provision of this Agreement may be waived or amended other than by an instrument in writing signed by the majority in interest of the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facsimile, addressed as set forth below or to such other address as such party shall have specified most recently by written notice. Any notice or other communication required or permitted to be given hereunder shall be deemed effective (a) upon hand delivery or delivery by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 as set forth in the heading of this Agreement with a copy by fax only to (which copy shall not constitute notice) to Naidich Wurman LLP, 111 Great Neck Road, Suite 214, Great Neck, NY 11021, Attn: Allison Naidich, facsimile: 516-466-3555, e-mail: </w:t>
      </w:r>
      <w:r>
        <w:rPr>
          <w:rFonts w:ascii="Times New Roman;Times;Serif" w:hAnsi="Times New Roman;Times;Serif"/>
          <w:b w:val="false"/>
          <w:i w:val="false"/>
          <w:caps w:val="false"/>
          <w:smallCaps w:val="false"/>
          <w:sz w:val="20"/>
          <w:u w:val="single"/>
        </w:rPr>
        <w:t>allison@nwlaw.com</w:t>
      </w:r>
      <w:r>
        <w:rPr>
          <w:rFonts w:ascii="Times New Roman;Times;Serif" w:hAnsi="Times New Roman;Times;Serif"/>
          <w:b w:val="false"/>
          <w:i w:val="false"/>
          <w:caps w:val="false"/>
          <w:smallCaps w:val="false"/>
          <w:sz w:val="20"/>
        </w:rPr>
        <w:t>. Each party shall provide notice to the other party of any change in address.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assigns. Neither the Company nor the Lender shall assign this Agreement or any rights or obligations hereunder without the prior written consent of the other. Notwithstanding the foregoing, the Lender may assign its rights hereunder to any person that purchases Securities in a private transaction from the Lender or to any of its “affiliates,” as that term is defined under the Exchange Act, without the consent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agreements and covenants set forth in this Agreement shall survive the closing hereunder notwithstanding any due diligence investigation conducted by or on behalf of the Lender. The Company agrees to indemnify and hold harmless the Lender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Lender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Lender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Lender and the Company have caused this Agreement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559"/>
        <w:gridCol w:w="3075"/>
        <w:gridCol w:w="75"/>
      </w:tblGrid>
      <w:tr>
        <w:trPr/>
        <w:tc>
          <w:tcPr>
            <w:tcW w:w="3634"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283"/>
              <w:jc w:val="left"/>
              <w:rPr/>
            </w:pPr>
            <w:r>
              <w:rPr/>
              <w:t>By: </w:t>
            </w:r>
          </w:p>
        </w:tc>
        <w:tc>
          <w:tcPr>
            <w:tcW w:w="3075"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715"/>
        <w:gridCol w:w="2424"/>
        <w:gridCol w:w="75"/>
      </w:tblGrid>
      <w:tr>
        <w:trPr/>
        <w:tc>
          <w:tcPr>
            <w:tcW w:w="3139" w:type="dxa"/>
            <w:gridSpan w:val="2"/>
            <w:tcBorders/>
            <w:vAlign w:val="center"/>
          </w:tcPr>
          <w:p>
            <w:pPr>
              <w:pStyle w:val="TableContents"/>
              <w:bidi w:val="0"/>
              <w:spacing w:before="0" w:after="283"/>
              <w:jc w:val="left"/>
              <w:rPr>
                <w:b/>
              </w:rPr>
            </w:pPr>
            <w:r>
              <w:rPr>
                <w:b/>
              </w:rPr>
              <w:t>Vanquish Funding Group Inc.</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By: </w:t>
            </w:r>
          </w:p>
        </w:tc>
        <w:tc>
          <w:tcPr>
            <w:tcW w:w="2424" w:type="dxa"/>
            <w:tcBorders>
              <w:bottom w:val="single" w:sz="12" w:space="0" w:color="000000"/>
            </w:tcBorders>
            <w:tcMar>
              <w:bottom w:w="28" w:type="dxa"/>
            </w:tcMar>
            <w:vAlign w:val="center"/>
          </w:tcPr>
          <w:p>
            <w:pPr>
              <w:pStyle w:val="TableContents"/>
              <w:bidi w:val="0"/>
              <w:spacing w:before="0" w:after="283"/>
              <w:jc w:val="left"/>
              <w:rPr/>
            </w:pPr>
            <w:r>
              <w:rPr/>
              <w:t>/s/ Curt Kramer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left"/>
              <w:rPr/>
            </w:pPr>
            <w:r>
              <w:rPr/>
              <w:t>Curt Kramer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left"/>
              <w:rPr/>
            </w:pPr>
            <w:r>
              <w:rPr/>
              <w:t xml:space="preserve">President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3605"/>
        <w:gridCol w:w="60"/>
        <w:gridCol w:w="140"/>
        <w:gridCol w:w="1100"/>
        <w:gridCol w:w="75"/>
      </w:tblGrid>
      <w:tr>
        <w:trPr/>
        <w:tc>
          <w:tcPr>
            <w:tcW w:w="3605" w:type="dxa"/>
            <w:tcBorders/>
            <w:vAlign w:val="center"/>
          </w:tcPr>
          <w:p>
            <w:pPr>
              <w:pStyle w:val="TableContents"/>
              <w:bidi w:val="0"/>
              <w:spacing w:before="0" w:after="283"/>
              <w:jc w:val="left"/>
              <w:rPr/>
            </w:pPr>
            <w:r>
              <w:rPr/>
              <w:t>Aggregate Principal Amount of Note: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257,000.00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A </w:t>
        <w:br/>
        <w:t>Form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(WHICH COUNSEL SHALL BE SELECTED BY THE HOLDER), IN A GENERALLY ACCEPTABLE FORM, THAT REGISTRATION IS NOT REQUIRED UNDER SAID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 PRICE OF THIS NOTE IS $257,000</w:t>
      </w:r>
    </w:p>
    <w:p>
      <w:pPr>
        <w:pStyle w:val="TextBody"/>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3200"/>
        <w:gridCol w:w="3005"/>
      </w:tblGrid>
      <w:tr>
        <w:trPr/>
        <w:tc>
          <w:tcPr>
            <w:tcW w:w="3200" w:type="dxa"/>
            <w:tcBorders/>
            <w:vAlign w:val="center"/>
          </w:tcPr>
          <w:p>
            <w:pPr>
              <w:pStyle w:val="TableContents"/>
              <w:bidi w:val="0"/>
              <w:spacing w:before="0" w:after="283"/>
              <w:jc w:val="left"/>
              <w:rPr>
                <w:b/>
              </w:rPr>
            </w:pPr>
            <w:r>
              <w:rPr>
                <w:b/>
              </w:rPr>
              <w:t>Principal Amount: $257,000.00</w:t>
            </w:r>
          </w:p>
        </w:tc>
        <w:tc>
          <w:tcPr>
            <w:tcW w:w="3005" w:type="dxa"/>
            <w:tcBorders/>
            <w:vAlign w:val="center"/>
          </w:tcPr>
          <w:p>
            <w:pPr>
              <w:pStyle w:val="TableContents"/>
              <w:bidi w:val="0"/>
              <w:spacing w:before="0" w:after="283"/>
              <w:jc w:val="right"/>
              <w:rPr>
                <w:b/>
              </w:rPr>
            </w:pPr>
            <w:r>
              <w:rPr>
                <w:b/>
              </w:rPr>
              <w:t>Issue Date: October 15 ,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(hereinafter called the “Borrower”), hereby promises to pay to the order of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or registered assigns (the “Holder”) the sum of $257,000.00 together with any interest as set forth herein, on July 30, 2026 (the “Maturity Date”), and to pay interest on the unpaid principal balance hereof at the rate of ten percent (10%) (the “Interest Rate”) per annum from the date hereof (the “Issue Date”) until the same becomes due and payable, whether at maturity or upon acceleration or by prepayment or otherwise. This Note may not be prepaid in whole or in part except as otherwise explicitly set forth herein. Any amount of principal or interest on this Note which is not paid when due shall bear interest at the rate of twenty two percent (22%) per annum (or the highest amount of legally permitted interest under applicable usury statutes) from the due date thereof until the same is paid (“Default Interest”). Interest shall be computed on the basis of a 365 day year and the actual number of days elapsed. Interest shall commence accruing on the Issue Date but shall not be payable until the Note becomes payable (whether at Maturity Date or upon acceleration or by prepayment). All payments due hereunder (to the extent not converted into Class A Ordinary Shares of the Borrower, no par value per share (the “Class A Ordinary Shares”) in accordance with the terms hereof) shall be made in lawful money of the United States of America. All payments shall be made at such address as the Holder shall hereafter give to the Borrower by written notice made in accordance with the provisions of this Note. Each capitalized term used herein, and not otherwise defined, shall have the meaning ascribed thereto in that certain Securities Purchase Agreement dated the date hereof, pursuant to which this Note was originally issued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apply to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xml:space="preserve">. The Holder shall have the right from time to time, </w:t>
      </w:r>
      <w:r>
        <w:rPr>
          <w:rFonts w:ascii="Times New Roman;Times;Serif" w:hAnsi="Times New Roman;Times;Serif"/>
          <w:b w:val="false"/>
          <w:i w:val="false"/>
          <w:caps w:val="false"/>
          <w:smallCaps w:val="false"/>
          <w:sz w:val="20"/>
          <w:u w:val="single"/>
        </w:rPr>
        <w:t>and at any time during the period beginning on the date which is one hundred eighty (180) days following the date of this Note and ending on the later of: (i) the Maturity Date, or (ii) the date of payment of the Default Amount (as defined in Article III)</w:t>
      </w:r>
      <w:r>
        <w:rPr>
          <w:rFonts w:ascii="Times New Roman;Times;Serif" w:hAnsi="Times New Roman;Times;Serif"/>
          <w:b w:val="false"/>
          <w:i w:val="false"/>
          <w:caps w:val="false"/>
          <w:smallCaps w:val="false"/>
          <w:sz w:val="20"/>
        </w:rPr>
        <w:t xml:space="preserve">, each in respect of the remaining outstanding amount of this Note to convert all or any part of the outstanding and unpaid amount of this Note into fully paid and non-assessable shares of Class A Ordinary Shares, as such Class A Ordinary Shares exists on the Issue Date, or any shares of capital stock or other securities of the Borrower into which such Class A Ordinary Shares shall hereafter be changed or reclassified at the conversion price (the “Conversion Price”) determined as provided herein (a “Conversion”);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Holder be entitled to convert any portion of this Note in excess of that portion of this Note upon conversion of which the sum of (1) the number of shares of Class A Ordinary Shares beneficially owned by the Holder and its affiliates (other than shares of Class A Ordinary Shares which may be deemed beneficially owned through the ownership of the unconverted portion of the Notes or the unexercised or unconverted portion of any other security of the Borrower subject to a limitation on conversion or exercise analogous to the limitations contained herein) and (2) the number of shares of Class A Ordinary Shares issuable upon the conversion of the portion of this Note with respect to which the determination of this proviso is being made, would result in beneficial ownership by the Holder and its affiliates of more than 4.99% of the outstanding shares of Class A Ordinary Shares. For purposes of the proviso to the immediately preceding sentence, beneficial ownership shall be determined in accordance with Section 13(d) of the Securities Exchange Act of 1934, as amended (the “Exchange Act”), and Regulations 13D-G thereunder, except as otherwise provided in clause (1) of such proviso. </w:t>
      </w:r>
      <w:r>
        <w:rPr>
          <w:rFonts w:ascii="Times New Roman;Times;Serif" w:hAnsi="Times New Roman;Times;Serif"/>
          <w:b w:val="false"/>
          <w:i w:val="false"/>
          <w:caps w:val="false"/>
          <w:smallCaps w:val="false"/>
          <w:sz w:val="20"/>
          <w:u w:val="single"/>
        </w:rPr>
        <w:t>The beneficial ownership limitations on conversion as set forth in the section may NOT be waived by the Holder</w:t>
      </w:r>
      <w:r>
        <w:rPr>
          <w:rFonts w:ascii="Times New Roman;Times;Serif" w:hAnsi="Times New Roman;Times;Serif"/>
          <w:b w:val="false"/>
          <w:i w:val="false"/>
          <w:caps w:val="false"/>
          <w:smallCaps w:val="false"/>
          <w:sz w:val="20"/>
        </w:rPr>
        <w:t xml:space="preserve">. The number of shares of Class A Ordinary Shares to be issued upon each conversion of this Note shall be determined by dividing the Conversion Amount (as defined below) by the applicable Conversion Price then in effect on the date specified in the notice of conversion, in the form attached hereto as Exhibit A (the “Notice of Conversion”), delivered to the Borrower by the Holder in accordance with Section 1.4 below; provided that the Notice of Conversion is submitted by facsimile or e-mail (or by other means resulting in, or reasonably expected to result in, notice) to the Borrower before 6:00 p.m., New York, New York time on such conversion date (the “Conversion Date”); however, if the Notice of Conversion is sent after 6:00pm, New York, New York time the Conversion Date shall be the next business day. The term “Conversion Amount”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rates provided in this Note to the Conversion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at the Holder’s option, Default Interest, if any, on the amounts referred to in the immediately preceding clauses (1) and/or (2)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(4) at the Holder’s option, any amounts owed to the Holder pursuant to Sections 1.4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be entitled to deduct $1,500.00 from the conversion amount in each Notice of Conversion to cover Holder’s deposit fees associated with each Notice of Conversion. Any additional expenses incurred by Holder with respect to the Borrower’s transfer agent, for the issuance of the Class A Ordinary Shares into which this Note is convertible into, shall immediately and automatically be added to the balance of the Note at such time as the expenses are incurred by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shall equal 75% multiplied by the Market Price (as defined herein) (representing a discount rate of 25%). “Market Price” means the lowest Trading Price (as defined below) for the Class A Ordinary Shares during the ten (10) Trading Day period ending on the latest complete Trading Day prior to the Conversion Date. “Trading Price” means, for any security as of any date, the closing bid price on the OTCQB, OTCQX, Pink Sheets electronic quotation system or applicable trading market (the “OTC”) as reported by a reliable reporting service (“Reporting Service”) designated by the Holder (i.e. Bloomberg) or, if the OTC is not the principal trading market for such security, the closing bid price of such security on the principal securities exchange or trading market where such security is listed or traded or, if no closing bid price of such security is available in any of the foregoing manners, the average of the closing bid prices of any market makers for such security that are listed in the “pink sheets”. If the Trading Price cannot be calculated for such security on such date in the manner provided above, the Trading Price shall be the fair market value as mutually determined by the Borrower and the holders of a majority in interest of the Notes being converted for which the calculation of the Trading Price is required in order to determine the Conversion Price of such Notes. “Trading Day” shall mean any day on which the Class A Ordinary Shares is tradable for any period on the OTC, or on the principal securities exchange or other securities market on which the Class A Ordinary Shares is then being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Borrower covenants that during the period the conversion right exists, the Borrower will reserve from its authorized and unissued Class A Ordinary Shares a sufficient number of shares, free from preemptive rights, to provide for the issuance of Class A Ordinary Shares upon the full conversion of this Note issued pursuant to the Purchase Agreement. The Borrower is required at all times to have authorized and reserved four times the number of shares that is actually issuable upon full conversion of the Note (based on the Conversion Price of the Note in effect from time to time)(the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Class A Ordinary Shares into which the Notes shall be convertible at the then current Conversion Price, the Borrower shall at the same time make proper provision so that thereafter there shall be a sufficient number of shares of Class A Ordinary Shares authorized and reserved, free from preemptive rights, for conversion of the outstanding Note. The Borrower (i) acknowledges that it has irrevocably instructed its transfer agent to issue certificates for the Class A Ordinary Shares issuable upon conversion of this Note, and (ii) agrees that its issuance of this Note shall constitute full authority to its officers and agents who are charged with the duty of executing stock certificates to execute and issue the necessary certificates for shares of Class A Ordinary Shares in accordance with the terms and conditions of this Note. If, at any time the Borrower does not maintain the Reserved Amount it will be considered an Event of Default under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A</w:t>
      </w:r>
      <w:r>
        <w:rPr>
          <w:rFonts w:ascii="Times New Roman;Times;Serif" w:hAnsi="Times New Roman;Times;Serif"/>
          <w:b w:val="false"/>
          <w:i w:val="false"/>
          <w:caps w:val="false"/>
          <w:smallCaps w:val="false"/>
          <w:sz w:val="20"/>
          <w:u w:val="single"/>
        </w:rPr>
        <w:t>s set forth in Section 1.1 hereof, from time to time, and at any time during the period beginning on the date which is one hundred eighty (180) days following the date of this Note and ending on the later of: (i) the Maturity Date and (ii) the date of payment of the Default Amount</w:t>
      </w:r>
      <w:r>
        <w:rPr>
          <w:rFonts w:ascii="Times New Roman;Times;Serif" w:hAnsi="Times New Roman;Times;Serif"/>
          <w:b w:val="false"/>
          <w:i w:val="false"/>
          <w:caps w:val="false"/>
          <w:smallCaps w:val="false"/>
          <w:sz w:val="20"/>
        </w:rPr>
        <w:t>, this Note may be converted by the Holder in whole or in part at any time from time to time after the Issue Date, by (A) submitting to the Borrower a Notice of Conversion (by facsimile, e-mail or other reasonable means of communication dispatched on the Conversion Date prior to 6:00 p.m., New York, New York time) and (B) subject to Section 1.4(b), surrendering this Note at the principal office of the Borrower (upon payment in full of any amounts owed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Notwithstanding anything to the contrary set forth herein, upon conversion of 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Class A Ordinary Shares Upon Conversion</w:t>
      </w:r>
      <w:r>
        <w:rPr>
          <w:rFonts w:ascii="Times New Roman;Times;Serif" w:hAnsi="Times New Roman;Times;Serif"/>
          <w:b w:val="false"/>
          <w:i w:val="false"/>
          <w:caps w:val="false"/>
          <w:smallCaps w:val="false"/>
          <w:sz w:val="20"/>
        </w:rPr>
        <w:t>. Upon receipt by the Borrower from the Holder of a facsimile transmission or e-mail (or other reasonable means of communication) of a Notice of Conversion meeting the requirements for conversion as provided in this Section 1.4, the Borrower shall issue and deliver or cause to be issued and delivered to or upon the order of the Holder certificates for the Class A Ordinary Shares issuable upon such conversion within three (3) business days after such receipt (the “Deadline”) (and, solely in the case of conversion of the entire unpaid principal amount hereof, surrender of this Note) in accordance with the terms hereof and the Purchase Agreement. Upon receipt by the Borrower of a Notice of Conversion, the Holder shall be deemed to be the holder of record of the Class A Ordinary Shares issuable upon such conversion, the outstanding principal amount and the amount of accrued and unpaid interest on this Note shall be reduced to reflect such conversion, and, unless the Borrower defaults on its obligations hereunder, all rights with respect to the portion of this Note being so converted shall forthwith terminate except the right to receive the Class A Ordinary Shares or other securities, cash or other assets, as herein provided, on such conversion. If the Holder shall have given a Notice of Conversion as provided herein, the Borrower’s obligation to issue and deliver the certificates for Class A Ordinary Shares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Class A Ordinary Shares by Electronic Transfer</w:t>
      </w:r>
      <w:r>
        <w:rPr>
          <w:rFonts w:ascii="Times New Roman;Times;Serif" w:hAnsi="Times New Roman;Times;Serif"/>
          <w:b w:val="false"/>
          <w:i w:val="false"/>
          <w:caps w:val="false"/>
          <w:smallCaps w:val="false"/>
          <w:sz w:val="20"/>
        </w:rPr>
        <w:t>. In lieu of delivering physical certificates representing the Class A Ordinary Shares issuable upon conversion, provided the Borrower is participating in the Depository Trust Company (“DTC”) Fast Automated Securities Transfer (“FAST”) program, upon request of the Holder and its compliance with the provisions set forth herein, the Borrower shall use its best efforts to cause its transfer agent to electronically transmit the Class A Ordinary Shares issuable upon conversion to the Holder by crediting the account of Holder’s Prime Broker with DTC through its Deposit and Withdrawal at Custodian (“DWAC”)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Failure to Deliver Class A Ordinary Shares Prior to Deadline</w:t>
      </w:r>
      <w:r>
        <w:rPr>
          <w:rFonts w:ascii="Times New Roman;Times;Serif" w:hAnsi="Times New Roman;Times;Serif"/>
          <w:b w:val="false"/>
          <w:i w:val="false"/>
          <w:caps w:val="false"/>
          <w:smallCaps w:val="false"/>
          <w:sz w:val="20"/>
        </w:rPr>
        <w:t>. Without in any way limiting the Holder’s right to pursue other remedies, including actual damages and/or equitable relief, the parties agree that if delivery of the Class A Ordinary Shares issuable upon conversion of this Note is not delivered by the Deadline due to action and/or inaction of the Borrower, the Borrower shall pay to the Holder $2,000 per day in cash, for each day beyond the Deadline that the Borrower fails to deliver such Class A Ordinary Shares (the “Fail to Deliver Fee”); provided; however that the Fail to Deliver Fee shall not be due if the failure is a result of a third party (i.e., transfer agent; and not the result of any failure to pay such transfer agent) despite the best efforts of the Borrower to effect delivery of such Class A Ordinary Shares.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Class A Ordinary Shares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Section 1.4(e) are justified.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shares of Class A Ordinary Shares issuable upon conversion of this Note may not be sold or transferred unless: (i) such shares are sold pursuant to an effective registration statement under the Act or (ii) the Borrower or its transfer agent shall have been furnished with an opinion of counsel (which opinion shall be in form, substance and scope customary for opinions of counsel in comparable transactions) to the effect that the shares to be sold or transferred may be sold or transferred pursuant to an exemption from such registration (such as Rule 144 or a successor rule) (“Rule 144”); or (iii) such shares are transferred to an “affiliate” (as defined in Rule 144) of the Borrower who agrees to sell or otherwise transfer the shares only in accordance with this Section 1.5 and who is an Accredited Investor (as defined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legend on certificates representing shares of Class A Ordinary Shares issuable upon conversion of this Note shall be removed and the Borrower shall issue to the Holder a new certificate therefore free of any transfer legend if the Borrower or its transfer agent shall have received an opinion of counsel from Holder’s counsel, in form, substance and scope customary for opinions of counsel in comparable transactions, to the effect that (i) a public sale or transfer of such Class A Ordinary Shares may be made without registration under the Act, which opinion shall be accepted by the Borrower so that the sale or transfer is effected; or (ii) in the case of the Class A Ordinary Shares issuable upon conversion of this Note, such security is registered for sale by the Holder under an effective registration statement filed under the Act; or otherwise may be sold pursuant to an exemption from registration. In the event that the Borrower does not reasonably accept the opinion of counsel provided by the Holder with respect to the transfer of Securities pursuant to an exemption from registration (such as Rule 144), at the Deadline,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Except with respect to any transactions disclosed by the Borrower in any of its filings with the SEC prior to the date of this Note, at the option of the Holder, the sale, conveyance or disposition of all or 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be deemed to be an Event of Default (as defined in Article III) pursuant to which the Borrower shall be required to pay to the Holder upon the consummation of and as a condition to such transaction an amount equal to the Default Amount (as defined in Article III). “Person” shall mean any individual, corporation, limited liability company, partnership, association, trust or other entity or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the Note, there shall be any merger, consolidation, exchange of shares, recapitalization, reorganization, or other similar event, as a result of which shares of Class A Ordinary Shares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Class A Ordinary Shares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Section 1.6(b) unless (a) it first gives, to the extent practicable, ten (10) days prior written notice (but in any event at least five (5)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Note. The above provisions shall similarly apply to successive consolidations, mergers, sales, transfers or share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If the Borrower shall declare or make any distribution of its assets (or rights to acquire its assets) to holders of Class A Ordinary Shares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Class A Ordinary Shares issuable upon such conversion had such Holder been the holder of such shares of Class A Ordinary Shares on the record date for the determination of shareholders entitled to such Distribution. 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Notwithstanding anything to the contrary contained in this Note, at any time during the periods set forth on the table immediately following this paragraph (the “Prepayment Periods”) or as otherwise agreed to between the Borrower and the Holder, the Borrower shall have the right, exercisable on not more than three (3) Trading Days prior written notice to the Holder of the Note to prepay the outstanding Note (principal and accrued interest), in full, in accordance with this Section 1.7. Any notice of prepayment hereunder (an “Optional Prepayment Notice”) shall be delivered to the Holder of the Note at its registered addresses and shall state: (1) that the Borrower is exercising its right to prepay the Note, and (2) the date of prepayment which shall be not more than three (3) Trading Days from the date of the Optional Prepayment Notice. On the date fixed for prepayment (the “Optional Prepayment Date”), the Borrower shall make payment of the Optional Prepayment Amount (as defined below) to Holder, or upon the direction of the Holder as specified by the Holder in a writing to the Borrower (which shall direction to be sent to Borrower by the Holder at least one (1) business day prior to the Optional Prepayment Date). If the Borrower exercises its right to prepay the Note, the Borrower shall make payment to the Holder of an amount in cash equal to the percentage (“Prepayment Percentage”) as set forth in the table immediately following this paragraph opposite the applicable Prepayment Period, multiplied by the sum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Optional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 1.4 hereof (the “Optional Prepayment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60" w:type="dxa"/>
          <w:left w:w="60" w:type="dxa"/>
          <w:bottom w:w="60" w:type="dxa"/>
          <w:right w:w="60" w:type="dxa"/>
        </w:tblCellMar>
      </w:tblPr>
      <w:tblGrid>
        <w:gridCol w:w="8378"/>
        <w:gridCol w:w="1827"/>
      </w:tblGrid>
      <w:tr>
        <w:trPr/>
        <w:tc>
          <w:tcPr>
            <w:tcW w:w="837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u w:val="single"/>
              </w:rPr>
            </w:pPr>
            <w:r>
              <w:rPr>
                <w:b/>
                <w:u w:val="single"/>
              </w:rPr>
              <w:t>Prepayment Period</w:t>
            </w:r>
          </w:p>
        </w:tc>
        <w:tc>
          <w:tcPr>
            <w:tcW w:w="182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u w:val="single"/>
              </w:rPr>
            </w:pPr>
            <w:r>
              <w:rPr>
                <w:b/>
                <w:u w:val="single"/>
              </w:rPr>
              <w:t>Prepayment Percentage</w:t>
            </w:r>
          </w:p>
        </w:tc>
      </w:tr>
      <w:tr>
        <w:trPr/>
        <w:tc>
          <w:tcPr>
            <w:tcW w:w="83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1) the period beginning on the Issue Date and ending on the date which is one hundred ninety (90) days following the Issue Date.</w:t>
            </w:r>
          </w:p>
        </w:tc>
        <w:tc>
          <w:tcPr>
            <w:tcW w:w="18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120%</w:t>
            </w:r>
          </w:p>
        </w:tc>
      </w:tr>
      <w:tr>
        <w:trPr/>
        <w:tc>
          <w:tcPr>
            <w:tcW w:w="83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2) the period beginning on date which is ninety-one (91) days following the Issue Date and ending on the date which is one hundred eighty (180) days following the Issue Date.</w:t>
            </w:r>
          </w:p>
        </w:tc>
        <w:tc>
          <w:tcPr>
            <w:tcW w:w="18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So long as the Borrower shall have any obligation under this Note, the Borrower shall not, without the Holder’s written consent, sell, lease or otherwise dispose of any significant portion of its assets outside the ordinary course of business. Any consent to the disposition of any assets may be conditioned on a specified use of the proceeds of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Registration: Piggyback Rights</w:t>
      </w:r>
      <w:r>
        <w:rPr>
          <w:rFonts w:ascii="Times New Roman;Times;Serif" w:hAnsi="Times New Roman;Times;Serif"/>
          <w:b w:val="false"/>
          <w:i w:val="false"/>
          <w:caps w:val="false"/>
          <w:smallCaps w:val="false"/>
          <w:sz w:val="20"/>
        </w:rPr>
        <w:t>. If at any time during the period that this Note is outstanding, the Borrower shall determine to file with the SEC a registration statement relating to an offering for its own account or the account of others of any its Class A Ordinary Shares (“Registration Statement”)(other than on Form S-4 or Form S-8 or their then-equivalents relating to equity securities to be issued solely in connection with any acquisition of any entity or business or equity securities issuable in connection with stock option or other employee benefit plans), the Borrower shall send to the written notice of such determination and, unless objected to in writing by the Holder by written notice delivered to the Borrower within five (5) days after the date of such notice from the Borrower, the Borrower shall include in such Registration Statement all shares issuable upon conversion of this Note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of default (each, an “Event of Default”) shall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and Interest</w:t>
      </w:r>
      <w:r>
        <w:rPr>
          <w:rFonts w:ascii="Times New Roman;Times;Serif" w:hAnsi="Times New Roman;Times;Serif"/>
          <w:b w:val="false"/>
          <w:i w:val="false"/>
          <w:caps w:val="false"/>
          <w:smallCaps w:val="false"/>
          <w:sz w:val="20"/>
        </w:rPr>
        <w:t>. The Borrower fails to pay the principal hereof or interest thereon when due on this Note, whether at maturity or upon acceleration and such breach continues for a period of five (5) days after written notice from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The Borrower fails to issue shares of Class A Ordinary Shares to the Holder (or announces or threatens in writing that it will not honor its obligation to do so) upon exercise by the Holder of the conversion rights of the Holder in accordance with the terms of this Note, fails to transfer or cause its transfer agent to transfer (issue) (electronically or in certificated form) any certificate for shares of Class A Ordinary Shares issued to the Holder upon conversion of or otherwise pursuant to this Note as and when required by this Note, the Borrower directs its transfer agent not to transfer or delays, impairs, and/or hinders its transfer agent in transferring (or issuing) (electronically or in certificated form) any certificate for shares of Class A Ordinary Shares to be issued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shares of Class A Ordinary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three (3) business days after the Holder shall have delivered a Notice of Conversion. It is an obligation of the Borrower to remain current in its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paid by the Borrower to the Holder within forty-eight (48) hours of a demand from the Holder. Notwithstanding anything contained herein to the contrary, if such failure to timely issue shares of Class A Ordinary Shares to the Holder upon conversion is not a result of the action or inaction of the Borrower, direct or indirect, such failure to issue will not be an event of default (i.e., act of God).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The Borrower breaches any material covenant or other material term or condition contained in this Note and any collateral documents including but not limited to the Purchase Agreement and such breach continues for a period of twenty (20) days after written notice thereof to the Borrower from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z w:val="20"/>
          <w:u w:val="single"/>
        </w:rPr>
        <w:t>s and Warranties</w:t>
      </w:r>
      <w:r>
        <w:rPr>
          <w:rFonts w:ascii="Times New Roman;Times;Serif" w:hAnsi="Times New Roman;Times;Serif"/>
          <w:b w:val="false"/>
          <w:i w:val="false"/>
          <w:caps w:val="false"/>
          <w:smallCaps w:val="false"/>
          <w:sz w:val="20"/>
        </w:rPr>
        <w:t>. Any representation or warranty of the Borrower made herein or in any agreement, statement or certificate given in writing pursuant hereto or in connection herewith (including, without limitation, the Purchase Agreement), shall be false or misleading in any material respect when made and the breach of which has (or with the passage of time will have)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Delisting of Class A Ordinary Shares</w:t>
      </w:r>
      <w:r>
        <w:rPr>
          <w:rFonts w:ascii="Times New Roman;Times;Serif" w:hAnsi="Times New Roman;Times;Serif"/>
          <w:b w:val="false"/>
          <w:i w:val="false"/>
          <w:caps w:val="false"/>
          <w:smallCaps w:val="false"/>
          <w:sz w:val="20"/>
        </w:rPr>
        <w:t>. The Borrower shall fail to maintain the listing of the Class A Ordinary Shares on the Nasdaq National Market, the Nasdaq SmallCap Market, the New York Stock Exchange, or the NYSE American Stock Exchange (collectively, the “Exchanges”) or the quotation platforms maintained by the OTC Markets Group or an equivalent replacement exchange (collectively with the Exchanges,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The Borrower shall fail to comply with the reporting requirements of the Exchange Act; and/or the Borrower shall cease to be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Any dissolution, liquidation, or winding up of Borrower or any substantial portion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sz w:val="20"/>
          <w:u w:val="single"/>
        </w:rPr>
        <w:t>n of Operations</w:t>
      </w:r>
      <w:r>
        <w:rPr>
          <w:rFonts w:ascii="Times New Roman;Times;Serif" w:hAnsi="Times New Roman;Times;Serif"/>
          <w:b w:val="false"/>
          <w:i w:val="false"/>
          <w:caps w:val="false"/>
          <w:smallCaps w:val="false"/>
          <w:sz w:val="20"/>
        </w:rPr>
        <w:t>. Any cessation of operations by Borrower which would result in the Borrower becoming a “shell company” as such term is defined in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 The restatement of any financial statements filed by the Borrower with the SEC at any time after 180 days after the Issuance Date for any date or period until this Note is no longer outstanding, if the result of such restatement would, by comparison to the un-restated financial statement, have constituted a material adverse effect on the rights of the Holder with respect to this Note or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Class A Ordinary Shares in the Reserved Amount) signed by the successor transfer agent to Borrower and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Notwithstanding anything to the contrary contained in this Note or the other related or companion documents, a breach or default by the Borrower of any covenant or other term or condition contained in any of the Other Agreements, after the passage of all applicable notice and cure or grace periods, shall, at the option of the Holder, be considered a default under this Note and the Other Agreements, in which event the Holder shall be entitled (but in no event required) to apply all rights and remedies of the Holder under the terms of this Note and the Other Agreements by reason of a default under said Other Agreement or hereunder. “Other Agreements” means, collectively, all agreements and instruments between, among or by: (1) the Borrower, and, or for the benefit of, (2) the Holder and any affiliate of the Holder, including, without limitation, promissory notes; provided, however, the term “Other Agreements” shall not include the related or companion documents to this Note. Each of the loan transactions will be cross-defaulted with each other loan transaction and with all other existing and future debt of Borrower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continuation of any Event of Default specified in Section 3.1 (solely with respect to failure to pay the principal hereof or interest thereon when due at the Maturity Date), the Note shall become immediately due and payable and the Borrower shall pay to the Holder, in full satisfaction of its obligations hereunder, an amount equal to the Default Amount (as defined herein). UPON THE OCCURRENCE AND DURING THE CONTINUATION OF ANY EVENT OF DEFAULT SPECIFIED IN SECTION 3.2, THE NOTE SHALL BECOME IMMEDIATELY DUE AND PAYABLE AND THE BORROWER SHALL PAY TO THE HOLDER, IN FULL SATISFACTION OF ITS OBLIGATIONS HEREUNDER, AN AMOUNT EQUAL TO: (Y) THE DEFAULT AMOUNT (AS DEFINED HEREIN); MULTIPLIED BY (Z) TWO (2). Upon the occurrence and during the continuation of any Event of Default specified in this Article III (other than Section 3.2 as set forth above), the Note shall become immediately due and payable and the Borrower shall pay to the Holder, in full satisfaction of its obligations hereunder, an amount equal to 150%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date of payment (the “Mandatory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and/or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Sections 1.3 and 1.4(g) hereof (the then outstanding principal amount of this Note to the date of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amounts referred to in clauses (x), (y) and (z) shall collectively be known as the “Default Amount”) and all other amounts payable hereunder shall immediately become due and payable, all without demand, presentment or notice, all of which hereby are expressly waived, together with all costs, including, without limitation, legal fees and expenses, of collection, and the Holder shall be entitled to exercise all other rights and remedies available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pay the Default Amount within five (5) business days of written notice that such amount is due and payable, then the Holder shall have the right at any time, so long as the Borrower remains in default (and so long and to the extent that there are sufficient authorized shares), to require the Borrower, upon written notice, to immediately issue, in lieu of the Default Amount, the number of shares of Class A Ordinary Shares of the Borrower equal to the Default Amount divided by the Conversion Price then in effect.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or delivery by electronic mail,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 Khlong Toei Nuea Sub-district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 Thailand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Wing Fung Alfred Siu, Chief Executive Officer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Diagonal Road, Suite 623</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Alexandria VA 22314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Curt Kramer, President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ckramer6@bloomberg.net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Note and any provision hereof may only be amended by an instrument in writing signed by the Borrower and the Holder. The term “Note” and all reference thereto, as used throughout this instrument, shall mean this instrument (and the other Notes issued pursuant to the Purchase Agreement) as originally executed, or if later amended or supplemented, then as so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Each transferee of this Note must be an “accredited investor” (as defined in Rule 501(a) of the Securities and Exchange Commission). Notwithstanding anything in this Note to the contrary, this Note may be pledged as collateral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and may be assigned by the Holder without the consent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governed by and construed in accordance with the laws of the Commonwealth of Virginia without regard to principles of conflicts of laws. Any action brought by either party against the other concerning the transactions contemplated by this Note shall be brought only in the Circuit Court of Fairfax County, Virginia or in the Alexandria Division of the United States District Court for the Eastern District of Virginia. The parties to this Note hereby irrevocably waive any objection to jurisdiction and venue of any action instituted hereunder and shall not assert any objection or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Borrower and Holder waive trial by jury. The Holder shall be entitled to recover from the Borrower its reasonable attorney’s fees and costs incurred in connection with or related to any Event of Default by the Borrower, as defined in Article III hereof. In the event that any provision of this Note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hereof or any agreement delivered in connection herewith. Each party hereby irrevocably waives personal service of process and consents to process being served in any suit, action or proceeding in connection with this Note, any agreement or any other document delivered in connection with this Note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its acceptance of this Note, each party agrees to be bound by the applicable terms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has caused this Note to be signed in its name by its duly authorized officer this on October 15, 2025</w:t>
      </w:r>
    </w:p>
    <w:p>
      <w:pPr>
        <w:pStyle w:val="TextBody"/>
        <w:bidi w:val="0"/>
        <w:spacing w:before="0" w:after="0"/>
        <w:ind w:left="0" w:right="0" w:hanging="0"/>
        <w:jc w:val="both"/>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586"/>
        <w:gridCol w:w="3048"/>
        <w:gridCol w:w="75"/>
      </w:tblGrid>
      <w:tr>
        <w:trPr/>
        <w:tc>
          <w:tcPr>
            <w:tcW w:w="3634"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By: </w:t>
            </w:r>
          </w:p>
        </w:tc>
        <w:tc>
          <w:tcPr>
            <w:tcW w:w="3048"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3048"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3048"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principal amount of the Note (defined below) into that number of shares of Class A Ordinary Shares to be issued pursuant to the conversion of the Note (“Class A Ordinary Shares”) as set forth below, of NEWGENIVF GROUP LIMITED, a British Virgin Islands corporation (the “Borrower”) according to the conditions of the convertible note of the Borrower dated as of November 4, 2025 (the “Note”), as of the date written below. No fee will be charged to the Holder for any conversion, except for transfer taxes,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Class A Ordinary Shares issuable pursuant to this Notice of Conversion to the account of the undersigned or its nominee with DTC through its Deposit Withdrawal Agent Commission system (“DWAC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Class A Ordinary Shares set forth below (which numbers are based on the Holder’s calculation attached hereto) in the name(s) specified immediately below or, if additional space is necessary, on an attachment hereto:</w:t>
      </w:r>
    </w:p>
    <w:p>
      <w:pPr>
        <w:pStyle w:val="TextBody"/>
        <w:bidi w:val="0"/>
        <w:spacing w:before="0" w:after="0"/>
        <w:ind w:left="0" w:right="0" w:firstLine="720"/>
        <w:jc w:val="both"/>
        <w:rPr>
          <w:caps w:val="false"/>
          <w:smallCaps w:val="false"/>
        </w:rPr>
      </w:pPr>
      <w:r>
        <w:rPr>
          <w:caps w:val="false"/>
          <w:smallCaps w:val="false"/>
        </w:rPr>
        <w:t> </w:t>
      </w:r>
    </w:p>
    <w:tbl>
      <w:tblPr>
        <w:tblW w:w="9290" w:type="dxa"/>
        <w:jc w:val="left"/>
        <w:tblInd w:w="0" w:type="dxa"/>
        <w:tblLayout w:type="fixed"/>
        <w:tblCellMar>
          <w:top w:w="0" w:type="dxa"/>
          <w:left w:w="0" w:type="dxa"/>
          <w:bottom w:w="0" w:type="dxa"/>
          <w:right w:w="0" w:type="dxa"/>
        </w:tblCellMar>
      </w:tblPr>
      <w:tblGrid>
        <w:gridCol w:w="75"/>
        <w:gridCol w:w="9020"/>
        <w:gridCol w:w="195"/>
      </w:tblGrid>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Date of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Applicable Conversion Price:</w:t>
            </w:r>
          </w:p>
        </w:tc>
        <w:tc>
          <w:tcPr>
            <w:tcW w:w="1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pPr>
            <w:r>
              <w:rPr/>
              <w:t>Number of shares of Class A Ordinary Shares to be issued pursuant to conversion of the Notes:</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605"/>
        <w:gridCol w:w="60"/>
        <w:gridCol w:w="75"/>
      </w:tblGrid>
      <w:tr>
        <w:trPr/>
        <w:tc>
          <w:tcPr>
            <w:tcW w:w="605" w:type="dxa"/>
            <w:tcBorders/>
            <w:vAlign w:val="center"/>
          </w:tcPr>
          <w:p>
            <w:pPr>
              <w:pStyle w:val="TableContents"/>
              <w:bidi w:val="0"/>
              <w:spacing w:before="0" w:after="283"/>
              <w:jc w:val="left"/>
              <w:rPr>
                <w:sz w:val="20"/>
              </w:rPr>
            </w:pPr>
            <w:r>
              <w:rPr>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right"/>
        <w:rPr>
          <w:b/>
        </w:rPr>
      </w:pPr>
      <w:bookmarkStart w:id="37" w:name="ea030132501ex10-34.htm"/>
      <w:bookmarkStart w:id="38" w:name="ksea030132501ex1034"/>
      <w:bookmarkEnd w:id="37"/>
      <w:bookmarkEnd w:id="38"/>
      <w:r>
        <w:rPr>
          <w:b/>
        </w:rPr>
        <w:t>Exhibit 10.34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November 4, 2025,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with its address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with its address at 1800 Diagonal Road, Suite 623, Alexandria VA 22314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Lender are executing and delivering this Agreement in reliance upon the exemption from securities registration afforded by the rules and regulations as promulgated by the United States Securities and Exchange Commission (the “SEC”) under the Securities Act of 1933, as amended (the “1933 Act”);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desires to purchase and the Company desires to issue and sell, upon the terms and conditions set forth in this Agreement, a convertible promissory note of the Company, in the form attached hereto as Exhibit A, in the aggregate principal amount of $157,000.00 (the “Note”) with additional tranches of financing of up to $2,200,000.00 in the aggregate during the next twelve (12) months subject to further agreement by and between the Company and the Lender;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Company and the Lender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the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the Securities</w:t>
      </w:r>
      <w:r>
        <w:rPr>
          <w:rFonts w:ascii="Times New Roman;Times;Serif" w:hAnsi="Times New Roman;Times;Serif"/>
          <w:b w:val="false"/>
          <w:i w:val="false"/>
          <w:caps w:val="false"/>
          <w:smallCaps w:val="false"/>
          <w:sz w:val="20"/>
        </w:rPr>
        <w:t>. On the Closing Date (as defined below), the Company shall issue and sell to the Lender and the Lender agrees to purchase from the Company the Securities as is set forth immediately below the Lender’s name on the signature pages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On the Closing Date (as defined below), (i) the Lender shall pay the purchase price for the Securities be issued and sold to it at the Closing (as defined below) (the “Purchase Price”) by wire transfer of immediately available funds to the Company, in accordance with the Company’s written wiring instructions, against delivery of the Securities, and (ii) the Company shall deliver such duly executed Note on behalf of the Company against delivery of such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satisfaction (or written waiver) of the conditions thereto set forth in Section 6 and Section 7 below, the date and time of the issuance and sale of the Securities pursuant to this Agreement (the “Closing Date”) shall be 12:00 noon, Eastern Standard Time on or about November 4, 2025, or such other mutually agreed upon time. The closing of the transactions contemplated by this Agreement (the “Closing”) shall occur on the Closing Date at such location as may be agreed to by the parties.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Lender’s Representations and Warranties.</w:t>
      </w:r>
      <w:r>
        <w:rPr>
          <w:rFonts w:ascii="Times New Roman;Times;Serif" w:hAnsi="Times New Roman;Times;Serif"/>
          <w:b w:val="false"/>
          <w:i w:val="false"/>
          <w:caps w:val="false"/>
          <w:smallCaps w:val="false"/>
          <w:sz w:val="20"/>
        </w:rPr>
        <w:t xml:space="preserve"> The Lender represents and warrants to the Company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As of the date hereof, the Lender is purchasing the Note and the shares of Class A Ordinary Shares of the Company (“Class A Ordinary Shares”) issuable upon conversion of or otherwise pursuant to the Note (such shares of Class A Ordinary Shares being collectively referred to herein as the “Conversion Shares” and, collectively with the Note, the “Securities”) for its own account and not with a present view towards the public sale or distribution thereof, except pursuant to sales registered or exempted from registration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Lender is an “accredited investor” as that term is defined in Rule 501(a) of Regulation D (an “Accredited Investor”). Lender, either alone or together with its representatives, has such knowledge, sophistication and experience in business and financial matters so as to be capable of evaluating the merits and risks of the prospective investment in the Note and the Conversion Shares, and has so evaluated the merits and risks of such investment. Lender is able to bear the economic risk of an investment in the Note and Conversion Share and, at the present time, is able to afford a complete loss of such investment. Lender acknowledges that it has had the opportunity to review the reports filed by the Company with the Securities and Exchange Commission, and has been afforded: (i) the opportunity to ask such questions as it has deemed necessary of, and to receive answers from, representatives of the Company concerning the terms and conditions of the offering of the Note and Conversion Shares and the merits and risks of investing in the Note and Conversion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Lender understands that the Securities are being offered and sold to it in reliance upon specific exemptions from the registration requirements of United States federal and state securities laws and that the Company is relying upon the truth and accuracy of, and the Lender’s compliance with, the representations, warranties, agreements, acknowledgments and understandings of the Lender set forth herein in order to determine the availability of such exemptions and the eligibility of the Lender to acquire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Company has not disclosed to the Lender any material nonpublic information and will not disclose such information unless such information is disclosed to the public prior to or promptly following such disclosure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Lender understands that the Securities have not been registered under the 1933 Act; and may bear a restrictive legend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INSTRUMENT HAVE NOT BEEN REGISTERED UNDER THE SECURITIES ACT OF 1933, AS AMENDED (THE “SECURITIES ACT”), OR UNDER ANY STATE SECURITIES LAWS, AND MAY NOT BE PLEDGED, SOLD, ASSIGNED, HYPOTHECATED OR OTHERWISE TRANSFERRED UNLESS (1) A REGISTRATION STATEMENT WITH RESPECT THERETO IS EFFECTIVE UNDER THE SECURITIES ACT AND ANY APPLICABLE STATE SECURITIES LAWS OR (2) THE ISSUER OF SUCH SECURITIES RECEIVES AN OPINION OF COUNSEL TO THE BUYER OF SUCH SECURITIES, WHICH COUNSEL AND OPINION ARE REASONABLY ACCEPTABLE TO THE ISSUER’S TRANSFER AGENT, THAT SUCH SECURITIES MAY BE PLEDGED, SOLD, ASSIGNED, HYPOTHECATED OR OTHERWISE TRANSFERRED WITHOUT AN EFFECTIVE REGISTRATION STATEMENT UNDER THE SECURITIES ACT AND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without such legend to the Lender of any Security upon which it is stamped, if, unless otherwise required by applicable state securities laws, (a) such Security is registered for sale under an effective registration statement filed under the 1933 Act or otherwise may be sold pursuant to an exemption from registration without any restriction as to the number of securities as of a particular date that can then be immediately sold, or (b) such Lender provides the Company with an opinion of counsel, in form, substance and scope customary for opinions of counsel in comparable transactions, to the effect that a public sale or transfer of such Security may be made without registration under the 1933 Act, which opinion shall be accepted by the Company so that the sale or transfer is effected. The Lender agrees to sell all Securities, including those represented by a certificate(s) from which the legend has been removed, in compliance with applicable prospectus delivery requirements, if any. In the event that the Company does not reasonably accept the opinion of counsel that properly conforms to applicable securities laws provided by the Lender with respect to the transfer of any Securities pursuant to an exemption from registration, such as Rule 144, at the Deadline, it will be considered an Event of Default pursuant to Section 3.2 of the Note.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This Agreement has been duly executed and delivered on behalf of the Lender, and this Agreement constitutes a valid and binding agreement of the Lender enforceable in accordance with its terms.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Lender that: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its Subsidiaries (as defined below), if any, is a corporation duly organized, validly existing and in good standing under the laws of the jurisdiction in which it is incorporated, with full power and authority (corporate and other) to own, lease, use and operate its properties and to carry on its business as and where now owned, leased, used, operated and conducted.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(i)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the Note by the Company and the consummation by it of the transactions contemplated hereby and thereby (including without limitation, the issuance of the Note has been duly authorized by the Company’s Board of Directors and no further consent or authorization of the Company, its Board of Directors, or its shareholders is required, (iii) this Agreement has been duly executed and delivered by the Company by its authorized representative, and such authorized representative is the true and official representative with authority to sign this Agreement and the other documents executed in connection herewith and bind the Company accordingly, and (iv) this Agreement constitutes, and upon execution and delivery by the Company of the Note, each of such instruments will constitute, a legal, valid and binding obligation of the Company enforceable against the Company in accordance with its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the date hereof, the authorized Class A Ordinary Shares of the Company consists of 50,000,000 authorized shares, no par value per share, of which 1,828,574 shares are issued and outstanding. All of such outstanding shares of capital stock are, or upon issuance will be, duly authorized,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Securities are duly authorized and reserved for issuance in accordance with its respective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Lender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the Note by the Company and the consummation by the Company of the transactions contemplated hereby and thereby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are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The businesses of the Company and its Subsidiaries, if any, are not being conducted, and shall not be conducted so long as the Lender owns any of the Securities, in violation of any law, ordinance or regulation of any governmental entity.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This Note is subordinate to the currently outstanding Series A Preferred Stock, solely with respect to dividend rights and rights on the distribution of assets on any voluntary or involuntary liquidation, dissolution or winding up of the affairs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it with the SEC pursuant to the reporting requirements of the Exchange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or if amended, as of the dates of the amendments,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or if amended, as of the dates of the amendments,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The Company is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2024, except as set forth in the SEC Documents, there has been no material adverse change and no material adverse development in the assets, liabilities, business, properties, operations, financial condition, results of operations, prospects or Exchange Act reporting status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Except as set forth in the SEC Documents,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Company and its Subsidiaries are unaware of any facts or circumstances which might give rise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Lender. The issuance of the Securities to the Lender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Brokers</w:t>
      </w:r>
      <w:r>
        <w:rPr>
          <w:rFonts w:ascii="Times New Roman;Times;Serif" w:hAnsi="Times New Roman;Times;Serif"/>
          <w:b w:val="false"/>
          <w:i w:val="false"/>
          <w:caps w:val="false"/>
          <w:smallCaps w:val="false"/>
          <w:sz w:val="20"/>
        </w:rPr>
        <w:t>. The Company has taken no action which would give rise to any claim by any person for brokerage commissions, transaction fees or similar payments relating to this Agreement or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If the Company breaches any of the material representations or warranties set forth in this Section 3 which is continuing after the applicable cure period as set forth in the Note, if any, and in addition to any other remedies available to the Lender pursuant to this Agreement, it will be considered an Event of default under Section 4.4 of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Reasonable Commercial Efforts</w:t>
      </w:r>
      <w:r>
        <w:rPr>
          <w:rFonts w:ascii="Times New Roman;Times;Serif" w:hAnsi="Times New Roman;Times;Serif"/>
          <w:b w:val="false"/>
          <w:i w:val="false"/>
          <w:caps w:val="false"/>
          <w:smallCaps w:val="false"/>
          <w:sz w:val="20"/>
        </w:rPr>
        <w:t>. The Company shall use its reasonable commercial efforts to satisfy timely each of the conditions described in Section 7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proceeds for general working capital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At the Closing, the Company’s obligation with respect to the transactions contemplated by this Agreement is to reimburse Lender’s expenses shall be $27,000.00 for Lender’s legal fees; due diligence fee and the Company’s investment bankers.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So long as the Lender beneficially owns any Note, the Company shall maintain its corporate existence and shall not sell all or substantially all of the Company’s assets in one or a series of transactions the result of which would render the Company a “shell company” as such term in defined in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If the Company breaches any of the material covenants set forth in this Section 4, and in addition to any other remedies available to the Lender pursuant to this Agreement which is continuing after the applicable cure period as set forth in the Note, it will be considered an event of default under Section 4.4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So long as the Lender beneficially owns the Note, the Company shall comply with the reporting requirements of the Exchange Act; and the Company shall continue to be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The Company has not engaged the Lender to perform “Dealer” actions</w:t>
      </w:r>
      <w:r>
        <w:rPr>
          <w:rFonts w:ascii="Times New Roman;Times;Serif" w:hAnsi="Times New Roman;Times;Serif"/>
          <w:b w:val="false"/>
          <w:i w:val="false"/>
          <w:caps w:val="false"/>
          <w:smallCaps w:val="false"/>
          <w:sz w:val="20"/>
        </w:rPr>
        <w:t>. The Lender and the Company hereby acknowledge and agree that the Company has not engaged the Lender to: (i) act as an underwriter; (ii) act as a market maker or specialist; (iii) act as “de facto” market maker; or (iv) conduct any other professional market activities such as providing investment advice, extending credit and lending securities in connection.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issue irrevocable instructions to its transfer agent to issue certificates, registered in the name of the Lender or its nominee, for the shares underlying any conversion of the Note upon default of the Note (the “Conversion Shares”) in such amounts as specified from time to time by the Lender to the Company upon conversion of the Note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 shares of Class A Ordinary Shares in the Reserved Amount as such term is defined in the Note) signed by the successor transfer agent to Company and the Company. Prior to registration of the Conversion Shares under the 1933 Act or the date on which the Conversion Shares may be sold pursuant to an exemption from registration, all such certificates shall bear the restrictive legend specified in Section 2(e)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Conversion Shares to be issued to the Lender upon conversion of or otherwise pursuant to the Note as and when required by the Note and this Agreement; and (iii) it will not fail to remove (or directs its transfer agent not to remove or impairs, delays, and/or hinders its transfer agent from removing) any restrictive legend (or to withdraw any stop transfer instructions in respect thereof) on any certificate for any Conversion Shares issued to the Lender upon conversion of or otherwise pursuant to the Note as and when required by the Note and/or this Agreement. If the Lender provides the Company and the Company’s transfer, at the cost of the Lender, with an opinion of counsel in form, substance and scope customary for opinions in comparable transactions, to the effect that a public sale or transfer of such Securities may be made without registration under the 1933 Act, the Company shall permit the transfer, and, in the case of the Conversion Shares, promptly instruct its transfer agent to issue one or more certificates, free from restrictive legend, in such name and in such denominations as specified by the Lender. The Company acknowledges that a breach by it of its obligations hereunder will cause irreparable harm to the Lender,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Lender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The obligation of the Company hereunder to issue and sell the Securities to the Lender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shall have executed this Agreement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Lender shall be true and correct in all material respects as of the date when made and as of the Closing Date as though made at that time (except for representations and warranties that speak as of a specific date), and the Lender shall have performed, satisfied and complied in all material respects with the covenants, agreements and conditions required by this Agreement to be performed, satisfied or complied with by the Lender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Lender’s Obligation to Purchase</w:t>
      </w:r>
      <w:r>
        <w:rPr>
          <w:rFonts w:ascii="Times New Roman;Times;Serif" w:hAnsi="Times New Roman;Times;Serif"/>
          <w:b w:val="false"/>
          <w:i w:val="false"/>
          <w:caps w:val="false"/>
          <w:smallCaps w:val="false"/>
          <w:sz w:val="20"/>
        </w:rPr>
        <w:t>. The obligation of the Lender hereunder to purchase the Securities at the Closing is subject to the satisfaction, at or before the Closing Date of each of the following conditions, provided that these conditions are for the Lender’s sole benefit and may be waived by the Lender at any time in its sole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executed this Agreement and delivered the same to the Lender.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Lender the duly executed Note,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Lender, shall have been delivered to and acknowledged in writing by the Company’s Transfer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the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 The Lender shall have received a certificate or certificates, executed by the chief executive officer of the Company, dated as of the Closing Date, to the foregoing effect and as to such other matters as may be reasonably requested by the Lender including, but not limited to certificates with respect to the Board of Directors’ resolutions relating to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Exchange Act reporting status of the Company or the failure of the Company to be timely in its Exchange Act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Commonwealth of Virginia without regard to principles of conflicts of laws. Any action brought by either party against the other concerning the transactions contemplated by this Agreement shall be brought only in the Circuit Court of Fairfax County, Virginia or in the Alexandria Division of the United States District Court for the Eastern District of Virginia. The parties to this Agreement hereby irrevocably waive any objection to jurisdiction and venue of any action instituted hereunder and shall not assert any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Company and Lender waive trial by jury. The Lender shall be entitled to recover from the Company its reasonable attorney’s fees and costs. In the event that any provision of this Agreement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 Each party hereby irrevocably waives personal service of process and consents to process being served in any suit, action or proceeding in connection with this Agreement, the Note or any related document or agreement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shall constitute one and the same agreement and shall become effective when counterparts have been signed by each party and delivered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instruments referenced herein contain the entire understanding of the parties with respect to the matters covered herein and therein and, except as specifically set forth herein or therein, neither the Company nor the Lender makes any representation, warranty, covenant or undertaking with respect to such matters. No provision of this Agreement may be waived or amended other than by an instrument in writing signed by the majority in interest of the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facsimile, addressed as set forth below or to such other address as such party shall have specified most recently by written notice. Any notice or other communication required or permitted to be given hereunder shall be deemed effective (a) upon hand delivery or delivery by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 as set forth in the heading of this Agreement with a copy by fax only to (which copy shall not constitute notice) to Naidich Wurman LLP, 111 Great Neck Road, Suite 214, Great Neck, NY 11021, Attn: Allison Naidich, facsimile: 516-466-3555, e-mail: </w:t>
      </w:r>
      <w:r>
        <w:rPr>
          <w:rFonts w:ascii="Times New Roman;Times;Serif" w:hAnsi="Times New Roman;Times;Serif"/>
          <w:b w:val="false"/>
          <w:i w:val="false"/>
          <w:caps w:val="false"/>
          <w:smallCaps w:val="false"/>
          <w:sz w:val="20"/>
          <w:u w:val="single"/>
        </w:rPr>
        <w:t>allison@nwlaw.com</w:t>
      </w:r>
      <w:r>
        <w:rPr>
          <w:rFonts w:ascii="Times New Roman;Times;Serif" w:hAnsi="Times New Roman;Times;Serif"/>
          <w:b w:val="false"/>
          <w:i w:val="false"/>
          <w:caps w:val="false"/>
          <w:smallCaps w:val="false"/>
          <w:sz w:val="20"/>
        </w:rPr>
        <w:t>. Each party shall provide notice to the other party of any change in address.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assigns. Neither the Company nor the Lender shall assign this Agreement or any rights or obligations hereunder without the prior written consent of the other. Notwithstanding the foregoing, the Lender may assign its rights hereunder to any person that purchases Securities in a private transaction from the Lender or to any of its “affiliates,” as that term is defined under the Exchange Act, without the consent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agreements and covenants set forth in this Agreement shall survive the closing hereunder notwithstanding any due diligence investigation conducted by or on behalf of the Lender. The Company agrees to indemnify and hold harmless the Lender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Lender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Lender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Lender and the Company have caused this Agreement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559"/>
        <w:gridCol w:w="3075"/>
        <w:gridCol w:w="75"/>
      </w:tblGrid>
      <w:tr>
        <w:trPr/>
        <w:tc>
          <w:tcPr>
            <w:tcW w:w="3634"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283"/>
              <w:jc w:val="left"/>
              <w:rPr/>
            </w:pPr>
            <w:r>
              <w:rPr/>
              <w:t>By: </w:t>
            </w:r>
          </w:p>
        </w:tc>
        <w:tc>
          <w:tcPr>
            <w:tcW w:w="3075"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715"/>
        <w:gridCol w:w="2424"/>
        <w:gridCol w:w="75"/>
      </w:tblGrid>
      <w:tr>
        <w:trPr/>
        <w:tc>
          <w:tcPr>
            <w:tcW w:w="3139" w:type="dxa"/>
            <w:gridSpan w:val="2"/>
            <w:tcBorders/>
            <w:vAlign w:val="center"/>
          </w:tcPr>
          <w:p>
            <w:pPr>
              <w:pStyle w:val="TableContents"/>
              <w:bidi w:val="0"/>
              <w:spacing w:before="0" w:after="283"/>
              <w:jc w:val="left"/>
              <w:rPr>
                <w:b/>
              </w:rPr>
            </w:pPr>
            <w:r>
              <w:rPr>
                <w:b/>
              </w:rPr>
              <w:t>Vanquish Funding Group Inc.</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By: </w:t>
            </w:r>
          </w:p>
        </w:tc>
        <w:tc>
          <w:tcPr>
            <w:tcW w:w="2424" w:type="dxa"/>
            <w:tcBorders>
              <w:bottom w:val="single" w:sz="12" w:space="0" w:color="000000"/>
            </w:tcBorders>
            <w:tcMar>
              <w:bottom w:w="28" w:type="dxa"/>
            </w:tcMar>
            <w:vAlign w:val="center"/>
          </w:tcPr>
          <w:p>
            <w:pPr>
              <w:pStyle w:val="TableContents"/>
              <w:bidi w:val="0"/>
              <w:spacing w:before="0" w:after="283"/>
              <w:jc w:val="left"/>
              <w:rPr/>
            </w:pPr>
            <w:r>
              <w:rPr/>
              <w:t>/s/ Curt Kramer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left"/>
              <w:rPr/>
            </w:pPr>
            <w:r>
              <w:rPr/>
              <w:t>Curt Kramer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left"/>
              <w:rPr/>
            </w:pPr>
            <w:r>
              <w:rPr/>
              <w:t xml:space="preserve">President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3605"/>
        <w:gridCol w:w="60"/>
        <w:gridCol w:w="140"/>
        <w:gridCol w:w="1100"/>
        <w:gridCol w:w="75"/>
      </w:tblGrid>
      <w:tr>
        <w:trPr/>
        <w:tc>
          <w:tcPr>
            <w:tcW w:w="3605" w:type="dxa"/>
            <w:tcBorders/>
            <w:vAlign w:val="center"/>
          </w:tcPr>
          <w:p>
            <w:pPr>
              <w:pStyle w:val="TableContents"/>
              <w:bidi w:val="0"/>
              <w:spacing w:before="0" w:after="283"/>
              <w:jc w:val="left"/>
              <w:rPr/>
            </w:pPr>
            <w:r>
              <w:rPr/>
              <w:t>Aggregate Principal Amount of Note: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157,000.00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A </w:t>
        <w:br/>
        <w:t>Form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(WHICH COUNSEL SHALL BE SELECTED BY THE HOLDER), IN A GENERALLY ACCEPTABLE FORM, THAT REGISTRATION IS NOT REQUIRED UNDER SAID ACT.</w:t>
      </w:r>
    </w:p>
    <w:p>
      <w:pPr>
        <w:pStyle w:val="TextBody"/>
        <w:bidi w:val="0"/>
        <w:spacing w:before="0" w:after="0"/>
        <w:ind w:left="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3200"/>
        <w:gridCol w:w="3065"/>
      </w:tblGrid>
      <w:tr>
        <w:trPr/>
        <w:tc>
          <w:tcPr>
            <w:tcW w:w="3200" w:type="dxa"/>
            <w:tcBorders/>
            <w:vAlign w:val="center"/>
          </w:tcPr>
          <w:p>
            <w:pPr>
              <w:pStyle w:val="TableContents"/>
              <w:bidi w:val="0"/>
              <w:spacing w:before="0" w:after="283"/>
              <w:jc w:val="left"/>
              <w:rPr>
                <w:b/>
              </w:rPr>
            </w:pPr>
            <w:r>
              <w:rPr>
                <w:b/>
              </w:rPr>
              <w:t>Principal Amount: $157,000.00</w:t>
            </w:r>
          </w:p>
        </w:tc>
        <w:tc>
          <w:tcPr>
            <w:tcW w:w="3065" w:type="dxa"/>
            <w:tcBorders/>
            <w:vAlign w:val="center"/>
          </w:tcPr>
          <w:p>
            <w:pPr>
              <w:pStyle w:val="TableContents"/>
              <w:bidi w:val="0"/>
              <w:spacing w:before="0" w:after="283"/>
              <w:jc w:val="right"/>
              <w:rPr>
                <w:b/>
              </w:rPr>
            </w:pPr>
            <w:r>
              <w:rPr>
                <w:b/>
              </w:rPr>
              <w:t>Issue Date: November 4,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(hereinafter called the “Borrower”), hereby promises to pay to the order of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or registered assigns (the “Holder”) the sum of $157,000.00 together with any interest as set forth herein, on July 30, 2026 (the “Maturity Date”), and to pay interest on the unpaid principal balance hereof at the rate of ten percent (10%) (the “Interest Rate”) per annum from the date hereof (the “Issue Date”) until the same becomes due and payable, whether at maturity or upon acceleration or by prepayment or otherwise. This Note may not be prepaid in whole or in part except as otherwise explicitly set forth herein. Any amount of principal or interest on this Note which is not paid when due shall bear interest at the rate of twenty two percent (22%) per annum (or the highest amount of legally permitted interest under applicable usury statutes) from the due date thereof until the same is paid (“Default Interest”). Interest shall be computed on the basis of a 365 day year and the actual number of days elapsed. Interest shall commence accruing on the Issue Date but shall not be payable until the Note becomes payable (whether at Maturity Date or upon acceleration or by prepayment). All payments due hereunder (to the extent not converted into Class A Ordinary Shares of the Borrower, no par value per share (the “Class A Ordinary Shares”) in accordance with the terms hereof) shall be made in lawful money of the United States of America. All payments shall be made at such address as the Holder shall hereafter give to the Borrower by written notice made in accordance with the provisions of this Note. Each capitalized term used herein, and not otherwise defined, shall have the meaning ascribed thereto in that certain Securities Purchase Agreement dated the date hereof, pursuant to which this Note was originally issued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apply to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xml:space="preserve">. The Holder shall have the right from time to time, </w:t>
      </w:r>
      <w:r>
        <w:rPr>
          <w:rFonts w:ascii="Times New Roman;Times;Serif" w:hAnsi="Times New Roman;Times;Serif"/>
          <w:b w:val="false"/>
          <w:i w:val="false"/>
          <w:caps w:val="false"/>
          <w:smallCaps w:val="false"/>
          <w:sz w:val="20"/>
          <w:u w:val="single"/>
        </w:rPr>
        <w:t>and at any time during the period beginning on the date which is one hundred eighty (180) days following the date of this Note and ending on the later of: (i) the Maturity Date, or (ii) the date of payment of the Default Amount (as defined in Article III)</w:t>
      </w:r>
      <w:r>
        <w:rPr>
          <w:rFonts w:ascii="Times New Roman;Times;Serif" w:hAnsi="Times New Roman;Times;Serif"/>
          <w:b w:val="false"/>
          <w:i w:val="false"/>
          <w:caps w:val="false"/>
          <w:smallCaps w:val="false"/>
          <w:sz w:val="20"/>
        </w:rPr>
        <w:t xml:space="preserve">, each in respect of the remaining outstanding amount of this Note to convert all or any part of the outstanding and unpaid amount of this Note into fully paid and non-assessable shares of Class A Ordinary Shares, as such Class A Ordinary Shares exists on the Issue Date, or any shares of capital stock or other securities of the Borrower into which such Class A Ordinary Shares shall hereafter be changed or reclassified at the conversion price (the “Conversion Price”) determined as provided herein (a “Conversion”);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Holder be entitled to convert any portion of this Note in excess of that portion of this Note upon conversion of which the sum of (1) the number of shares of Class A Ordinary Shares beneficially owned by the Holder and its affiliates (other than shares of Class A Ordinary Shares which may be deemed beneficially owned through the ownership of the unconverted portion of the Notes or the unexercised or unconverted portion of any other security of the Borrower subject to a limitation on conversion or exercise analogous to the limitations contained herein) and (2) the number of shares of Class A Ordinary Shares issuable upon the conversion of the portion of this Note with respect to which the determination of this proviso is being made, would result in beneficial ownership by the Holder and its affiliates of more than 4.99% of the outstanding shares of Class A Ordinary Shares. For purposes of the proviso to the immediately preceding sentence, beneficial ownership shall be determined in accordance with Section 13(d) of the Securities Exchange Act of 1934, as amended (the “Exchange Act”), and Regulations 13D-G thereunder, except as otherwise provided in clause (1) of such proviso. </w:t>
      </w:r>
      <w:r>
        <w:rPr>
          <w:rFonts w:ascii="Times New Roman;Times;Serif" w:hAnsi="Times New Roman;Times;Serif"/>
          <w:b w:val="false"/>
          <w:i w:val="false"/>
          <w:caps w:val="false"/>
          <w:smallCaps w:val="false"/>
          <w:sz w:val="20"/>
          <w:u w:val="single"/>
        </w:rPr>
        <w:t>The beneficial ownership limitations on conversion as set forth in the section may NOT be waived by the Holder</w:t>
      </w:r>
      <w:r>
        <w:rPr>
          <w:rFonts w:ascii="Times New Roman;Times;Serif" w:hAnsi="Times New Roman;Times;Serif"/>
          <w:b w:val="false"/>
          <w:i w:val="false"/>
          <w:caps w:val="false"/>
          <w:smallCaps w:val="false"/>
          <w:sz w:val="20"/>
        </w:rPr>
        <w:t xml:space="preserve">. The number of shares of Class A Ordinary Shares to be issued upon each conversion of this Note shall be determined by dividing the Conversion Amount (as defined below) by the applicable Conversion Price then in effect on the date specified in the notice of conversion, in the form attached hereto as Exhibit A (the “Notice of Conversion”), delivered to the Borrower by the Holder in accordance with Section 1.4 below; provided that the Notice of Conversion is submitted by facsimile or e-mail (or by other means resulting in, or reasonably expected to result in, notice) to the Borrower before 6:00 p.m., New York, New York time on such conversion date (the “Conversion Date”); however, if the Notice of Conversion is sent after 6:00pm, New York, New York time the Conversion Date shall be the next business day. The term “Conversion Amount”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rates provided in this Note to the Conversion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at the Holder’s option, Default Interest, if any, on the amounts referred to in the immediately preceding clauses (1) and/or (2)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(4) at the Holder’s option, any amounts owed to the Holder pursuant to Sections 1.4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be entitled to deduct $1,500.00 from the conversion amount in each Notice of Conversion to cover Holder’s deposit fees associated with each Notice of Conversion. Any additional expenses incurred by Holder with respect to the Borrower’s transfer agent, for the issuance of the Class A Ordinary Shares into which this Note is convertible into, shall immediately and automatically be added to the balance of the Note at such time as the expenses are incurred by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shall equal 75% multiplied by the Market Price (as defined herein) (representing a discount rate of 25%). “Market Price” means the lowest Trading Price (as defined below) for the Class A Ordinary Shares during the ten (10) Trading Day period ending on the latest complete Trading Day prior to the Conversion Date. “Trading Price” means, for any security as of any date, the closing bid price on the OTCQB, OTCQX, Pink Sheets electronic quotation system or applicable trading market (the “OTC”) as reported by a reliable reporting service (“Reporting Service”) designated by the Holder (i.e. Bloomberg) or, if the OTC is not the principal trading market for such security, the closing bid price of such security on the principal securities exchange or trading market where such security is listed or traded or, if no closing bid price of such security is available in any of the foregoing manners, the average of the closing bid prices of any market makers for such security that are listed in the “pink sheets”. If the Trading Price cannot be calculated for such security on such date in the manner provided above, the Trading Price shall be the fair market value as mutually determined by the Borrower and the holders of a majority in interest of the Notes being converted for which the calculation of the Trading Price is required in order to determine the Conversion Price of such Notes. “Trading Day” shall mean any day on which the Class A Ordinary Shares is tradable for any period on the OTC, or on the principal securities exchange or other securities market on which the Class A Ordinary Shares is then being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Borrower covenants that during the period the conversion right exists, the Borrower will reserve from its authorized and unissued Class A Ordinary Shares a sufficient number of shares, free from preemptive rights, to provide for the issuance of Class A Ordinary Shares upon the full conversion of this Note issued pursuant to the Purchase Agreement. The Borrower is required at all times to have authorized and reserved four times the number of shares that is actually issuable upon full conversion of the Note (based on the Conversion Price of the Note in effect from time to time)(the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Class A Ordinary Shares into which the Notes shall be convertible at the then current Conversion Price, the Borrower shall at the same time make proper provision so that thereafter there shall be a sufficient number of shares of Class A Ordinary Shares authorized and reserved, free from preemptive rights, for conversion of the outstanding Note. The Borrower (i) acknowledges that it has irrevocably instructed its transfer agent to issue certificates for the Class A Ordinary Shares issuable upon conversion of this Note, and (ii) agrees that its issuance of this Note shall constitute full authority to its officers and agents who are charged with the duty of executing stock certificates to execute and issue the necessary certificates for shares of Class A Ordinary Shares in accordance with the terms and conditions of this Note. If, at any time the Borrower does not maintain the Reserved Amount it will be considered an Event of Default under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A</w:t>
      </w:r>
      <w:r>
        <w:rPr>
          <w:rFonts w:ascii="Times New Roman;Times;Serif" w:hAnsi="Times New Roman;Times;Serif"/>
          <w:b w:val="false"/>
          <w:i w:val="false"/>
          <w:caps w:val="false"/>
          <w:smallCaps w:val="false"/>
          <w:sz w:val="20"/>
          <w:u w:val="single"/>
        </w:rPr>
        <w:t>s set forth in Section 1.1 hereof, from time to time, and at any time during the period beginning on the date which is one hundred eighty (180) days following the date of this Note and ending on the later of: (i) the Maturity Date and (ii) the date of payment of the Default Amount</w:t>
      </w:r>
      <w:r>
        <w:rPr>
          <w:rFonts w:ascii="Times New Roman;Times;Serif" w:hAnsi="Times New Roman;Times;Serif"/>
          <w:b w:val="false"/>
          <w:i w:val="false"/>
          <w:caps w:val="false"/>
          <w:smallCaps w:val="false"/>
          <w:sz w:val="20"/>
        </w:rPr>
        <w:t>, this Note may be converted by the Holder in whole or in part at any time from time to time after the Issue Date, by (A) submitting to the Borrower a Notice of Conversion (by facsimile, e-mail or other reasonable means of communication dispatched on the Conversion Date prior to 6:00 p.m., New York, New York time) and (B) subject to Section 1.4(b), surrendering this Note at the principal office of the Borrower (upon payment in full of any amounts owed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Notwithstanding anything to the contrary set forth herein, upon conversion of 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Class A Ordinary Shares Upon Conversion</w:t>
      </w:r>
      <w:r>
        <w:rPr>
          <w:rFonts w:ascii="Times New Roman;Times;Serif" w:hAnsi="Times New Roman;Times;Serif"/>
          <w:b w:val="false"/>
          <w:i w:val="false"/>
          <w:caps w:val="false"/>
          <w:smallCaps w:val="false"/>
          <w:sz w:val="20"/>
        </w:rPr>
        <w:t>. Upon receipt by the Borrower from the Holder of a facsimile transmission or e-mail (or other reasonable means of communication) of a Notice of Conversion meeting the requirements for conversion as provided in this Section 1.4, the Borrower shall issue and deliver or cause to be issued and delivered to or upon the order of the Holder certificates for the Class A Ordinary Shares issuable upon such conversion within three (3) business days after such receipt (the “Deadline”) (and, solely in the case of conversion of the entire unpaid principal amount hereof, surrender of this Note) in accordance with the terms hereof and the Purchase Agreement. Upon receipt by the Borrower of a Notice of Conversion, the Holder shall be deemed to be the holder of record of the Class A Ordinary Shares issuable upon such conversion, the outstanding principal amount and the amount of accrued and unpaid interest on this Note shall be reduced to reflect such conversion, and, unless the Borrower defaults on its obligations hereunder, all rights with respect to the portion of this Note being so converted shall forthwith terminate except the right to receive the Class A Ordinary Shares or other securities, cash or other assets, as herein provided, on such conversion. If the Holder shall have given a Notice of Conversion as provided herein, the Borrower’s obligation to issue and deliver the certificates for Class A Ordinary Shares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Class A Ordinary Shares by Electronic Transfer</w:t>
      </w:r>
      <w:r>
        <w:rPr>
          <w:rFonts w:ascii="Times New Roman;Times;Serif" w:hAnsi="Times New Roman;Times;Serif"/>
          <w:b w:val="false"/>
          <w:i w:val="false"/>
          <w:caps w:val="false"/>
          <w:smallCaps w:val="false"/>
          <w:sz w:val="20"/>
        </w:rPr>
        <w:t>. In lieu of delivering physical certificates representing the Class A Ordinary Shares issuable upon conversion, provided the Borrower is participating in the Depository Trust Company (“DTC”) Fast Automated Securities Transfer (“FAST”) program, upon request of the Holder and its compliance with the provisions set forth herein, the Borrower shall use its best efforts to cause its transfer agent to electronically transmit the Class A Ordinary Shares issuable upon conversion to the Holder by crediting the account of Holder’s Prime Broker with DTC through its Deposit and Withdrawal at Custodian (“DWAC”)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Failure to Deliver Class A Ordinary Shares Prior to Deadline</w:t>
      </w:r>
      <w:r>
        <w:rPr>
          <w:rFonts w:ascii="Times New Roman;Times;Serif" w:hAnsi="Times New Roman;Times;Serif"/>
          <w:b w:val="false"/>
          <w:i w:val="false"/>
          <w:caps w:val="false"/>
          <w:smallCaps w:val="false"/>
          <w:sz w:val="20"/>
        </w:rPr>
        <w:t>. Without in any way limiting the Holder’s right to pursue other remedies, including actual damages and/or equitable relief, the parties agree that if delivery of the Class A Ordinary Shares issuable upon conversion of this Note is not delivered by the Deadline due to action and/or inaction of the Borrower, the Borrower shall pay to the Holder $2,000 per day in cash, for each day beyond the Deadline that the Borrower fails to deliver such Class A Ordinary Shares (the “Fail to Deliver Fee”); provided; however that the Fail to Deliver Fee shall not be due if the failure is a result of a third party (i.e., transfer agent; and not the result of any failure to pay such transfer agent) despite the best efforts of the Borrower to effect delivery of such Class A Ordinary Shares.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Class A Ordinary Shares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Section 1.4(e) are justified.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shares of Class A Ordinary Shares issuable upon conversion of this Note may not be sold or transferred unless: (i) such shares are sold pursuant to an effective registration statement under the Act or (ii) the Borrower or its transfer agent shall have been furnished with an opinion of counsel (which opinion shall be in form, substance and scope customary for opinions of counsel in comparable transactions) to the effect that the shares to be sold or transferred may be sold or transferred pursuant to an exemption from such registration (such as Rule 144 or a successor rule) (“Rule 144”); or (iii) such shares are transferred to an “affiliate” (as defined in Rule 144) of the Borrower who agrees to sell or otherwise transfer the shares only in accordance with this Section 1.5 and who is an Accredited Investor (as defined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legend on certificates representing shares of Class A Ordinary Shares issuable upon conversion of this Note shall be removed and the Borrower shall issue to the Holder a new certificate therefore free of any transfer legend if the Borrower or its transfer agent shall have received an opinion of counsel from Holder’s counsel, in form, substance and scope customary for opinions of counsel in comparable transactions, to the effect that (i) a public sale or transfer of such Class A Ordinary Shares may be made without registration under the Act, which opinion shall be accepted by the Borrower so that the sale or transfer is effected; or (ii) in the case of the Class A Ordinary Shares issuable upon conversion of this Note, such security is registered for sale by the Holder under an effective registration statement filed under the Act; or otherwise may be sold pursuant to an exemption from registration. In the event that the Borrower does not reasonably accept the opinion of counsel provided by the Holder with respect to the transfer of Securities pursuant to an exemption from registration (such as Rule 144), at the Deadline,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Except with respect to any transactions disclosed by the Borrower in any of its filings with the SEC prior to the date of this Note, at the option of the Holder, the sale, conveyance or disposition of all or 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be deemed to be an Event of Default (as defined in Article III) pursuant to which the Borrower shall be required to pay to the Holder upon the consummation of and as a condition to such transaction an amount equal to the Default Amount (as defined in Article III). “Person” shall mean any individual, corporation, limited liability company, partnership, association, trust or other entity or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the Note, there shall be any merger, consolidation, exchange of shares, recapitalization, reorganization, or other similar event, as a result of which shares of Class A Ordinary Shares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Class A Ordinary Shares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Section 1.6(b) unless (a) it first gives, to the extent practicable, ten (10) days prior written notice (but in any event at least five (5)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Note. The above provisions shall similarly apply to successive consolidations, mergers, sales, transfers or share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If the Borrower shall declare or make any distribution of its assets (or rights to acquire its assets) to holders of Class A Ordinary Shares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Class A Ordinary Shares issuable upon such conversion had such Holder been the holder of such shares of Class A Ordinary Shares on the record date for the determination of shareholders entitled to such Distribution. 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Notwithstanding anything to the contrary contained in this Note, at any time during the periods set forth on the table immediately following this paragraph (the “Prepayment Periods”) or as otherwise agreed to between the Borrower and the Holder, the Borrower shall have the right, exercisable on not more than three (3) Trading Days prior written notice to the Holder of the Note to prepay the outstanding Note (principal and accrued interest), in full, in accordance with this Section 1.7. Any notice of prepayment hereunder (an “Optional Prepayment Notice”) shall be delivered to the Holder of the Note at its registered addresses and shall state: (1) that the Borrower is exercising its right to prepay the Note, and (2) the date of prepayment which shall be not more than three (3) Trading Days from the date of the Optional Prepayment Notice. On the date fixed for prepayment (the “Optional Prepayment Date”), the Borrower shall make payment of the Optional Prepayment Amount (as defined below) to Holder, or upon the direction of the Holder as specified by the Holder in a writing to the Borrower (which shall direction to be sent to Borrower by the Holder at least one (1) business day prior to the Optional Prepayment Date). If the Borrower exercises its right to prepay the Note, the Borrower shall make payment to the Holder of an amount in cash equal to the percentage (“Prepayment Percentage”) as set forth in the table immediately following this paragraph opposite the applicable Prepayment Period, multiplied by the sum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Optional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 1.4 hereof (the “Optional Prepayment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60" w:type="dxa"/>
          <w:left w:w="60" w:type="dxa"/>
          <w:bottom w:w="60" w:type="dxa"/>
          <w:right w:w="60" w:type="dxa"/>
        </w:tblCellMar>
      </w:tblPr>
      <w:tblGrid>
        <w:gridCol w:w="8378"/>
        <w:gridCol w:w="1827"/>
      </w:tblGrid>
      <w:tr>
        <w:trPr/>
        <w:tc>
          <w:tcPr>
            <w:tcW w:w="837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u w:val="single"/>
              </w:rPr>
            </w:pPr>
            <w:r>
              <w:rPr>
                <w:b/>
                <w:u w:val="single"/>
              </w:rPr>
              <w:t>Prepayment Period</w:t>
            </w:r>
          </w:p>
        </w:tc>
        <w:tc>
          <w:tcPr>
            <w:tcW w:w="182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u w:val="single"/>
              </w:rPr>
            </w:pPr>
            <w:r>
              <w:rPr>
                <w:b/>
                <w:u w:val="single"/>
              </w:rPr>
              <w:t>Prepayment Percentage</w:t>
            </w:r>
          </w:p>
        </w:tc>
      </w:tr>
      <w:tr>
        <w:trPr/>
        <w:tc>
          <w:tcPr>
            <w:tcW w:w="83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1) the period beginning on the Issue Date and ending on the date which is one hundred ninety (90) days following the Issue Date.</w:t>
            </w:r>
          </w:p>
        </w:tc>
        <w:tc>
          <w:tcPr>
            <w:tcW w:w="18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120%</w:t>
            </w:r>
          </w:p>
        </w:tc>
      </w:tr>
      <w:tr>
        <w:trPr/>
        <w:tc>
          <w:tcPr>
            <w:tcW w:w="83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2) the period beginning on date which is ninety-one (91) days following the Issue Date and ending on the date which is one hundred eighty (180) days following the Issue Date.</w:t>
            </w:r>
          </w:p>
        </w:tc>
        <w:tc>
          <w:tcPr>
            <w:tcW w:w="18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So long as the Borrower shall have any obligation under this Note, the Borrower shall not, without the Holder’s written consent, sell, lease or otherwise dispose of any significant portion of its assets outside the ordinary course of business. Any consent to the disposition of any assets may be conditioned on a specified use of the proceeds of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Registration: Piggyback Rights</w:t>
      </w:r>
      <w:r>
        <w:rPr>
          <w:rFonts w:ascii="Times New Roman;Times;Serif" w:hAnsi="Times New Roman;Times;Serif"/>
          <w:b w:val="false"/>
          <w:i w:val="false"/>
          <w:caps w:val="false"/>
          <w:smallCaps w:val="false"/>
          <w:sz w:val="20"/>
        </w:rPr>
        <w:t>. If at any time during the period that this Note is outstanding, the Borrower shall determine to file with the SEC a registration statement relating to an offering for its own account or the account of others of any its Class A Ordinary Shares (“Registration Statement”)(other than on Form S-4 or Form S-8 or their then-equivalents relating to equity securities to be issued solely in connection with any acquisition of any entity or business or equity securities issuable in connection with stock option or other employee benefit plans), the Borrower shall send to the written notice of such determination and, unless objected to in writing by the Holder by written notice delivered to the Borrower within five (5) days after the date of such notice from the Borrower, the Borrower shall include in such Registration Statement all shares issuable upon conversion of this Note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of default (each, an “Event of Default”) shall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and Interest</w:t>
      </w:r>
      <w:r>
        <w:rPr>
          <w:rFonts w:ascii="Times New Roman;Times;Serif" w:hAnsi="Times New Roman;Times;Serif"/>
          <w:b w:val="false"/>
          <w:i w:val="false"/>
          <w:caps w:val="false"/>
          <w:smallCaps w:val="false"/>
          <w:sz w:val="20"/>
        </w:rPr>
        <w:t>. The Borrower fails to pay the principal hereof or interest thereon when due on this Note, whether at maturity or upon acceleration and such breach continues for a period of five (5) days after written notice from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The Borrower fails to issue shares of Class A Ordinary Shares to the Holder (or announces or threatens in writing that it will not honor its obligation to do so) upon exercise by the Holder of the conversion rights of the Holder in accordance with the terms of this Note, fails to transfer or cause its transfer agent to transfer (issue) (electronically or in certificated form) any certificate for shares of Class A Ordinary Shares issued to the Holder upon conversion of or otherwise pursuant to this Note as and when required by this Note, the Borrower directs its transfer agent not to transfer or delays, impairs, and/or hinders its transfer agent in transferring (or issuing) (electronically or in certificated form) any certificate for shares of Class A Ordinary Shares to be issued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shares of Class A Ordinary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three (3) business days after the Holder shall have delivered a Notice of Conversion. It is an obligation of the Borrower to remain current in its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paid by the Borrower to the Holder within forty-eight (48) hours of a demand from the Holder. Notwithstanding anything contained herein to the contrary, if such failure to timely issue shares of Class A Ordinary Shares to the Holder upon conversion is not a result of the action or inaction of the Borrower, direct or indirect, such failure to issue will not be an event of default (i.e., act of God).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The Borrower breaches any material covenant or other material term or condition contained in this Note and any collateral documents including but not limited to the Purchase Agreement and such breach continues for a period of twenty (20) days after written notice thereof to the Borrower from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Any representation or warranty of the Borrower made herein or in any agreement, statement or certificate given in writing pursuant hereto or in connection herewith (including, without limitation, the Purchase Agreement), shall be false or misleading in any material respect when made and the breach of which has (or with the passage of time will have)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Delisting of Class A Ordinary Shares</w:t>
      </w:r>
      <w:r>
        <w:rPr>
          <w:rFonts w:ascii="Times New Roman;Times;Serif" w:hAnsi="Times New Roman;Times;Serif"/>
          <w:b w:val="false"/>
          <w:i w:val="false"/>
          <w:caps w:val="false"/>
          <w:smallCaps w:val="false"/>
          <w:sz w:val="20"/>
        </w:rPr>
        <w:t>. The Borrower shall fail to maintain the listing of the Class A Ordinary Shares on the Nasdaq National Market, the Nasdaq SmallCap Market, the New York Stock Exchange, or the NYSE American Stock Exchange (collectively, the “Exchanges”) or the quotation platforms maintained by the OTC Markets Group or an equivalent replacement exchange (collectively with the Exchanges,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The Borrower shall fail to comply with the reporting requirements of the Exchange Act; and/or the Borrower shall cease to be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Any dissolution, liquidation, or winding up of Borrower or any substantial portion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Any cessation of operations by Borrower which would result in the Borrower becoming a “shell company” as such term is defined in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 The restatement of any financial statements filed by the Borrower with the SEC at any time after 180 days after the Issuance Date for any date or period until this Note is no longer outstanding, if the result of such restatement would, by comparison to the un-restated financial statement, have constituted a material adverse effect on the rights of the Holder with respect to this Note or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Class A Ordinary Shares in the Reserved Amount) signed by the successor transfer agent to Borrower and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Notwithstanding anything to the contrary contained in this Note or the other related or companion documents, a breach or default by the Borrower of any covenant or other term or condition contained in any of the Other Agreements, after the passage of all applicable notice and cure or grace periods, shall, at the option of the Holder, be considered a default under this Note and the Other Agreements, in which event the Holder shall be entitled (but in no event required) to apply all rights and remedies of the Holder under the terms of this Note and the Other Agreements by reason of a default under said Other Agreement or hereunder. “Other Agreements” means, collectively, all agreements and instruments between, among or by: (1) the Borrower, and, or for the benefit of, (2) the Holder and any affiliate of the Holder, including, without limitation, promissory notes; provided, however, the term “Other Agreements” shall not include the related or companion documents to this Note. Each of the loan transactions will be cross-defaulted with each other loan transaction and with all other existing and future debt of Borrower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continuation of any Event of Default specified in Section 3.1 (solely with respect to failure to pay the principal hereof or interest thereon when due at the Maturity Date), the Note shall become immediately due and payable and the Borrower shall pay to the Holder, in full satisfaction of its obligations hereunder, an amount equal to the Default Amount (as defined herein). UPON THE OCCURRENCE AND DURING THE CONTINUATION OF ANY EVENT OF DEFAULT SPECIFIED IN SECTION 3.2, THE NOTE SHALL BECOME IMMEDIATELY DUE AND PAYABLE AND THE BORROWER SHALL PAY TO THE HOLDER, IN FULL SATISFACTION OF ITS OBLIGATIONS HEREUNDER, AN AMOUNT EQUAL TO: (Y) THE DEFAULT AMOUNT (AS DEFINED HEREIN); MULTIPLIED BY (Z) TWO (2). Upon the occurrence and during the continuation of any Event of Default specified in this Article III (other than Section 3.2 as set forth above), the Note shall become immediately due and payable and the Borrower shall pay to the Holder, in full satisfaction of its obligations hereunder, an amount equal to 150%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date of payment (the “Mandatory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and/or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Sections 1.3 and 1.4(g) hereof (the then outstanding principal amount of this Note to the date of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amounts referred to in clauses (x), (y) and (z) shall collectively be known as the “Default Amount”) and all other amounts payable hereunder shall immediately become due and payable, all without demand, presentment or notice, all of which hereby are expressly waived, together with all costs, including, without limitation, legal fees and expenses, of collection, and the Holder shall be entitled to exercise all other rights and remedies available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pay the Default Amount within five (5) business days of written notice that such amount is due and payable, then the Holder shall have the right at any time, so long as the Borrower remains in default (and so long and to the extent that there are sufficient authorized shares), to require the Borrower, upon written notice, to immediately issue, in lieu of the Default Amount, the number of shares of Class A Ordinary Shares of the Borrower equal to the Default Amount divided by the Conversion Price then in effect.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or delivery by electronic mail,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 Khlong Toei Nuea Sub-district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 Thailand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Wing Fung Alfred Siu, Chief Executive Officer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Diagonal Road, Suite 623</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Alexandria VA 22314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Curt Kramer, President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ckramer6@bloomberg.net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Note and any provision hereof may only be amended by an instrument in writing signed by the Borrower and the Holder. The term “Note” and all reference thereto, as used throughout this instrument, shall mean this instrument (and the other Notes issued pursuant to the Purchase Agreement) as originally executed, or if later amended or supplemented, then as so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Each transferee of this Note must be an “accredited investor” (as defined in Rule 501(a) of the Securities and Exchange Commission). Notwithstanding anything in this Note to the contrary, this Note may be pledged as collateral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and may be assigned by the Holder without the consent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governed by and construed in accordance with the laws of the Commonwealth of Virginia without regard to principles of conflicts of laws. Any action brought by either party against the other concerning the transactions contemplated by this Note shall be brought only in the Circuit Court of Fairfax County, Virginia or in the Alexandria Division of the United States District Court for the Eastern District of Virginia. The parties to this Note hereby irrevocably waive any objection to jurisdiction and venue of any action instituted hereunder and shall not assert any objection or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Borrower and Holder waive trial by jury. The Holder shall be entitled to recover from the Borrower its reasonable attorney’s fees and costs incurred in connection with or related to any Event of Default by the Borrower, as defined in Article III hereof. In the event that any provision of this Note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hereof or any agreement delivered in connection herewith. Each party hereby irrevocably waives personal service of process and consents to process being served in any suit, action or proceeding in connection with this Note, any agreement or any other document delivered in connection with this Note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its acceptance of this Note, each party agrees to be bound by the applicable terms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has caused this Note to be signed in its name by its duly authorized officer this on November 4, 2025</w:t>
      </w:r>
    </w:p>
    <w:p>
      <w:pPr>
        <w:pStyle w:val="TextBody"/>
        <w:bidi w:val="0"/>
        <w:spacing w:before="0" w:after="0"/>
        <w:ind w:left="0" w:right="0" w:hanging="0"/>
        <w:jc w:val="both"/>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586"/>
        <w:gridCol w:w="3048"/>
        <w:gridCol w:w="75"/>
      </w:tblGrid>
      <w:tr>
        <w:trPr/>
        <w:tc>
          <w:tcPr>
            <w:tcW w:w="3634"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By: </w:t>
            </w:r>
          </w:p>
        </w:tc>
        <w:tc>
          <w:tcPr>
            <w:tcW w:w="3048"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3048"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3048"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principal amount of the Note (defined below) into that number of shares of Class A Ordinary Shares to be issued pursuant to the conversion of the Note (“Class A Ordinary Shares”) as set forth below, of NEWGENIVF GROUP LIMITED, a British Virgin Islands corporation (the “Borrower”) according to the conditions of the convertible note of the Borrower dated as of November 4, 2025 (the “Note”), as of the date written below. No fee will be charged to the Holder for any conversion, except for transfer taxes,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Class A Ordinary Shares issuable pursuant to this Notice of Conversion to the account of the undersigned or its nominee with DTC through its Deposit Withdrawal Agent Commission system (“DWAC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Class A Ordinary Shares set forth below (which numbers are based on the Holder’s calculation attached hereto) in the name(s) specified immediately below or, if additional space is necessary, on an attachment hereto:</w:t>
      </w:r>
    </w:p>
    <w:p>
      <w:pPr>
        <w:pStyle w:val="TextBody"/>
        <w:bidi w:val="0"/>
        <w:spacing w:before="0" w:after="0"/>
        <w:ind w:left="0" w:right="0" w:firstLine="720"/>
        <w:jc w:val="both"/>
        <w:rPr>
          <w:caps w:val="false"/>
          <w:smallCaps w:val="false"/>
        </w:rPr>
      </w:pPr>
      <w:r>
        <w:rPr>
          <w:caps w:val="false"/>
          <w:smallCaps w:val="false"/>
        </w:rPr>
        <w:t> </w:t>
      </w:r>
    </w:p>
    <w:tbl>
      <w:tblPr>
        <w:tblW w:w="9290" w:type="dxa"/>
        <w:jc w:val="left"/>
        <w:tblInd w:w="0" w:type="dxa"/>
        <w:tblLayout w:type="fixed"/>
        <w:tblCellMar>
          <w:top w:w="0" w:type="dxa"/>
          <w:left w:w="0" w:type="dxa"/>
          <w:bottom w:w="0" w:type="dxa"/>
          <w:right w:w="0" w:type="dxa"/>
        </w:tblCellMar>
      </w:tblPr>
      <w:tblGrid>
        <w:gridCol w:w="75"/>
        <w:gridCol w:w="9020"/>
        <w:gridCol w:w="195"/>
      </w:tblGrid>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Date of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Applicable Conversion Price:</w:t>
            </w:r>
          </w:p>
        </w:tc>
        <w:tc>
          <w:tcPr>
            <w:tcW w:w="1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both"/>
              <w:rPr/>
            </w:pPr>
            <w:r>
              <w:rPr/>
              <w:t>Number of shares of Class A Ordinary Shares to be issued pursuant to conversion of the Notes:</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605"/>
        <w:gridCol w:w="60"/>
        <w:gridCol w:w="75"/>
      </w:tblGrid>
      <w:tr>
        <w:trPr/>
        <w:tc>
          <w:tcPr>
            <w:tcW w:w="605" w:type="dxa"/>
            <w:tcBorders/>
            <w:vAlign w:val="center"/>
          </w:tcPr>
          <w:p>
            <w:pPr>
              <w:pStyle w:val="TableContents"/>
              <w:bidi w:val="0"/>
              <w:spacing w:before="0" w:after="283"/>
              <w:jc w:val="left"/>
              <w:rPr>
                <w:sz w:val="20"/>
              </w:rPr>
            </w:pPr>
            <w:r>
              <w:rPr>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right"/>
        <w:rPr>
          <w:b/>
        </w:rPr>
      </w:pPr>
      <w:bookmarkStart w:id="39" w:name="ea030132501ex10-35.htm"/>
      <w:bookmarkStart w:id="40" w:name="ksea030132501ex1035"/>
      <w:bookmarkEnd w:id="39"/>
      <w:bookmarkEnd w:id="40"/>
      <w:r>
        <w:rPr>
          <w:b/>
        </w:rPr>
        <w:t>Exhibit 10.35</w:t>
      </w:r>
      <w:r>
        <w:br w:type="page"/>
      </w:r>
    </w:p>
    <w:p>
      <w:pPr>
        <w:pStyle w:val="TextBody"/>
        <w:bidi w:val="0"/>
        <w:ind w:left="0" w:right="0" w:hanging="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xml:space="preserve"> (the “Agreement”), dated as of January 22,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with its address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with its address at 1800 Diagonal Road, Suite 623, Alexandria VA 22314 (the “Lender”).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Lender are executing and delivering this Agreement in reliance upon the exemption from securities registration afforded by the rules and regulations as promulgated by the United States Securities and Exchange Commission (the “SEC”) under the Securities Act of 1933, as amended (the “1933 Act”);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desires to purchase and the Company desires to issue and sell, upon the terms and conditions set forth in this Agreement, a convertible promissory note of the Company, in the form attached hereto as Exhibit A, in the aggregate principal amount of $107,000.00 (the “Note”) with additional tranches of financing of up to $2,200,000.00 in the aggregate during the next twelve (12) months subject to further agreement by and between the Company and the Lender;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Company and the Lender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the Securities</w:t>
      </w:r>
      <w:r>
        <w:rPr>
          <w:rFonts w:ascii="Times New Roman;Times;Serif" w:hAnsi="Times New Roman;Times;Serif"/>
          <w:b w:val="false"/>
          <w:i w:val="false"/>
          <w:caps w:val="false"/>
          <w:smallCaps w:val="false"/>
          <w:sz w:val="20"/>
        </w:rPr>
        <w:t>. On the Closing Date (as defined below), the Company shall issue and sell to the Lender and the Lender agrees to purchase from the Company the Securities as is set forth immediately below the Lender’s name on the signature pages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On the Closing Date (as defined below), (i) the Lender shall pay the purchase price for the Securities be issued and sold to it at the Closing (as defined below) (the “Purchase Price”) by wire transfer of immediately available funds to the Company, in accordance with the Company’s written wiring instructions, against delivery of the Securities, and (ii) the Company shall deliver such duly executed Note on behalf of the Company against delivery of such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satisfaction (or written waiver) of the conditions thereto set forth in Section 6 and Section 7 below, the date and time of the issuance and sale of the Securities pursuant to this Agreement (the “Closing Date”) shall be 12:00 noon, Eastern Standard Time on or about January 22, 2026, or such other mutually agreed upon time. The closing of the transactions contemplated by this Agreement (the “Closing”) shall occur on the Closing Date at such location as may be agreed to by the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Lender’s Representations and Warranties.</w:t>
      </w:r>
      <w:r>
        <w:rPr>
          <w:rFonts w:ascii="Times New Roman;Times;Serif" w:hAnsi="Times New Roman;Times;Serif"/>
          <w:b w:val="false"/>
          <w:i w:val="false"/>
          <w:caps w:val="false"/>
          <w:smallCaps w:val="false"/>
          <w:sz w:val="20"/>
        </w:rPr>
        <w:t xml:space="preserve"> The Lender represents and warrants to the Company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As of the date hereof, the Lender is purchasing the Note and the shares of Class A Ordinary Shares of the Company (“Class A Ordinary Shares”) issuable upon conversion of or otherwise pursuant to the Note (such shares of Class A Ordinary Shares being collectively referred to herein as the “Conversion Shares” and, collectively with the Note, the “Securities”) for its own account and not with a present view towards the public sale or distribution thereof, except pursuant to sales registered or exempted from registration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Lender is an “accredited investor” as that term is defined in Rule 501(a) of Regulation D (an “Accredited Investor”). Lender, either alone or together with its representatives, has such knowledge, sophistication and experience in business and financial matters so as to be capable of evaluating the merits and risks of the prospective investment in the Note and the Conversion Shares, and has so evaluated the merits and risks of such investment. Lender is able to bear the economic risk of an investment in the Note and Conversion Share and, at the present time, is able to afford a complete loss of such investment. Lender acknowledges that it has had the opportunity to review the reports filed by the Company with the Securities and Exchange Commission, and has been afforded: (i) the opportunity to ask such questions as it has deemed necessary of, and to receive answers from, representatives of the Company concerning the terms and conditions of the offering of the Note and Conversion Shares and the merits and risks of investing in the Note and Conversion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Lender understands that the Securities are being offered and sold to it in reliance upon specific exemptions from the registration requirements of United States federal and state securities laws and that the Company is relying upon the truth and accuracy of, and the Lender’s compliance with, the representations, warranties, agreements, acknowledgments and understandings of the Lender set forth herein in order to determine the availability of such exemptions and the eligibility of the Lender to acquire the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Company has not disclosed to the Lender any material nonpublic information and will not disclose such information unless such information is disclosed to the public prior to or promptly following such disclosure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Lender understands that the Securities have not been registered under the 1933 Act; and may bear a restrictive legend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INSTRUMENT HAVE NOT BEEN REGISTERED UNDER THE SECURITIES ACT OF 1933, AS AMENDED (THE “SECURITIES ACT”), OR UNDER ANY STATE SECURITIES LAWS, AND MAY NOT BE PLEDGED, SOLD, ASSIGNED, HYPOTHECATED OR OTHERWISE TRANSFERRED UNLESS (1) A REGISTRATION STATEMENT WITH RESPECT THERETO IS EFFECTIVE UNDER THE SECURITIES ACT AND ANY APPLICABLE STATE SECURITIES LAWS OR (2) THE ISSUER OF SUCH SECURITIES RECEIVES AN OPINION OF COUNSEL TO THE BUYER OF SUCH SECURITIES, WHICH COUNSEL AND OPINION ARE REASONABLY ACCEPTABLE TO THE ISSUER’S TRANSFER AGENT, THAT SUCH SECURITIES MAY BE PLEDGED, SOLD, ASSIGNED, HYPOTHECATED OR OTHERWISE TRANSFERRED WITHOUT AN EFFECTIVE REGISTRATION STATEMENT UNDER THE SECURITIES ACT AND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without such legend to the Lender of any Security upon which it is stamped, if, unless otherwise required by applicable state securities laws, (a) such Security is registered for sale under an effective registration statement filed under the 1933 Act or otherwise may be sold pursuant to an exemption from registration without any restriction as to the number of securities as of a particular date that can then be immediately sold, or (b) such Lender provides the Company with an opinion of counsel, in form, substance and scope customary for opinions of counsel in comparable transactions, to the effect that a public sale or transfer of such Security may be made without registration under the 1933 Act, which opinion shall be accepted by the Company so that the sale or transfer is effected. The Lender agrees to sell all Securities, including those represented by a certificate(s) from which the legend has been removed, in compliance with applicable prospectus delivery requirements, if any. In the event that the Company does not reasonably accept the opinion of counsel that properly conforms to applicable securities laws provided by the Lender with respect to the transfer of any Securities pursuant to an exemption from registration, such as Rule 144, at the Deadline,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This Agreement has been duly executed and delivered on behalf of the Lender, and this Agreement constitutes a valid and binding agreement of the Lender enforceable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Lender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its Subsidiaries (as defined below), if any, is a corporation duly organized, validly existing and in good standing under the laws of the jurisdiction in which it is incorporated, with full power and authority (corporate and other) to own, lease, use and operate its properties and to carry on its business as and where now owned, leased, used, operated and conducted.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(i)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the Note by the Company and the consummation by it of the transactions contemplated hereby and thereby (including without limitation, the issuance of the Note has been duly authorized by the Company’s Board of Directors and no further consent or authorization of the Company, its Board of Directors, or its shareholders is required, (iii) this Agreement has been duly executed and delivered by the Company by its authorized representative, and such authorized representative is the true and official representative with authority to sign this Agreement and the other documents executed in connection herewith and bind the Company accordingly, and (iv) this Agreement constitutes, and upon execution and delivery by the Company of the Note, each of such instruments will constitute, a legal, valid and binding obligation of the Company enforceable against the Company in accordance with its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the date hereof, the authorized Class A Ordinary Shares of the Company consists of 50,000,000 authorized shares, no par value per share, of which 1,277,956 shares are issued and outstanding. All of such outstanding shares of capital stock are, or upon issuance will be, duly authorized,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Securities are duly authorized and reserved for issuance in accordance with its respective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Lender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the Note by the Company and the consummation by the Company of the transactions contemplated hereby and thereby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are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The businesses of the Company and its Subsidiaries, if any, are not being conducted, and shall not be conducted so long as the Lender owns any of the Securities, in violation of any law, ordinance or regulation of any governmental entity.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This Note is subordinate to the currently outstanding Series A Preferred Stock, solely with respect to dividend rights and rights on the distribution of assets on any voluntary or involuntary liquidation, dissolution or winding up of the affairs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it with the SEC pursuant to the reporting requirements of the Exchange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or if amended, as of the dates of the amendments,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or if amended, as of the dates of the amendments,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The Company is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2024, except as set forth in the SEC Documents, there has been no material adverse change and no material adverse development in the assets, liabilities, business, properties, operations, financial condition, results of operations, prospects or Exchange Act reporting status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Except as set forth in the SEC Documents,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Company and its Subsidiaries are unaware of any facts or circumstances which might give rise to any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Lender. The issuance of the Securities to the Lender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Brokers</w:t>
      </w:r>
      <w:r>
        <w:rPr>
          <w:rFonts w:ascii="Times New Roman;Times;Serif" w:hAnsi="Times New Roman;Times;Serif"/>
          <w:b w:val="false"/>
          <w:i w:val="false"/>
          <w:caps w:val="false"/>
          <w:smallCaps w:val="false"/>
          <w:sz w:val="20"/>
        </w:rPr>
        <w:t>. The Company has taken no action which would give rise to any claim by any person for brokerage commissions, transaction fees or similar payments relating to this Agreement or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If the Company breaches any of the material representations or warranties set forth in this Section 3 which is continuing after the applicable cure period as set forth in the Note, if any, and in addition to any other remedies available to the Lender pursuant to this Agreement, it will be considered an Event of default under Section 4.4 of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Reasonable Commercial Efforts</w:t>
      </w:r>
      <w:r>
        <w:rPr>
          <w:rFonts w:ascii="Times New Roman;Times;Serif" w:hAnsi="Times New Roman;Times;Serif"/>
          <w:b w:val="false"/>
          <w:i w:val="false"/>
          <w:caps w:val="false"/>
          <w:smallCaps w:val="false"/>
          <w:sz w:val="20"/>
        </w:rPr>
        <w:t>. The Company shall use its reasonable commercial efforts to satisfy timely each of the conditions described in Section 7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proceeds for general working capital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At the Closing, the Company’s obligation with respect to the transactions contemplated by this Agreement is to reimburse Lender’s expenses shall be $27,000.00 for Lender’s legal fees; due diligence fee and the Company’s investment bankers.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So long as the Lender beneficially owns any Note, the Company shall maintain its corporate existence and shall not sell all or substantially all of the Company’s assets in one or a series of transactions the result of which would render the Company a “shell company” as such term in defined in Rule 144.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If the Company breaches any of the material covenants set forth in this Section 4, and in addition to any other remedies available to the Lender pursuant to this Agreement which is continuing after the applicable cure period as set forth in the Note, it will be considered an event of default under Section 4.4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So long as the Lender beneficially owns the Note, the Company shall comply with the reporting requirements of the Exchange Act; and the Company shall continue to be subject to the reporting requirements of the Exchange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The Company has not engaged the Lender to perform “Dealer” actions</w:t>
      </w:r>
      <w:r>
        <w:rPr>
          <w:rFonts w:ascii="Times New Roman;Times;Serif" w:hAnsi="Times New Roman;Times;Serif"/>
          <w:b w:val="false"/>
          <w:i w:val="false"/>
          <w:caps w:val="false"/>
          <w:smallCaps w:val="false"/>
          <w:sz w:val="20"/>
        </w:rPr>
        <w:t>. The Lender and the Company hereby acknowledge and agree that the Company has not engaged the Lender to: (i) act as an underwriter; (ii) act as a market maker or specialist; (iii) act as “de facto” market maker; or (iv) conduct any other professional market activities such as providing investment advice, extending credit and lending securities in connection.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issue irrevocable instructions to its transfer agent to issue certificates, registered in the name of the Lender or its nominee, for the shares underlying any conversion of the Note upon default of the Note (the “Conversion Shares”) in such amounts as specified from time to time by the Lender to the Company upon conversion of the Note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 shares of Class A Ordinary Shares in the Reserved Amount as such term is defined in the Note) signed by the successor transfer agent to Company and the Company. Prior to registration of the Conversion Shares under the 1933 Act or the date on which the Conversion Shares may be sold pursuant to an exemption from registration, all such certificates shall bear the restrictive legend specified in Section 2(e)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Conversion Shares to be issued to the Lender upon conversion of or otherwise pursuant to the Note as and when required by the Note and this Agreement; and (iii) it will not fail to remove (or directs its transfer agent not to remove or impairs, delays, and/or hinders its transfer agent from removing) any restrictive legend (or to withdraw any stop transfer instructions in respect thereof) on any certificate for any Conversion Shares issued to the Lender upon conversion of or otherwise pursuant to the Note as and when required by the Note and/or this Agreement. If the Lender provides the Company and the Company’s transfer, at the cost of the Lender, with an opinion of counsel in form, substance and scope customary for opinions in comparable transactions, to the effect that a public sale or transfer of such Securities may be made without registration under the 1933 Act, the Company shall permit the transfer, and, in the case of the Conversion Shares, promptly instruct its transfer agent to issue one or more certificates, free from restrictive legend, in such name and in such denominations as specified by the Lender. The Company acknowledges that a breach by it of its obligations hereunder will cause irreparable harm to the Lender,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Lender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The obligation of the Company hereunder to issue and sell the Securities to the Lender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shall have executed this Agreement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Lender shall be true and correct in all material respects as of the date when made and as of the Closing Date as though made at that time (except for representations and warranties that speak as of a specific date), and the Lender shall have performed, satisfied and complied in all material respects with the covenants, agreements and conditions required by this Agreement to be performed, satisfied or complied with by the Lender at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Lender’s Obligation to Purchase</w:t>
      </w:r>
      <w:r>
        <w:rPr>
          <w:rFonts w:ascii="Times New Roman;Times;Serif" w:hAnsi="Times New Roman;Times;Serif"/>
          <w:b w:val="false"/>
          <w:i w:val="false"/>
          <w:caps w:val="false"/>
          <w:smallCaps w:val="false"/>
          <w:sz w:val="20"/>
        </w:rPr>
        <w:t>. The obligation of the Lender hereunder to purchase the Securities at the Closing is subject to the satisfaction, at or before the Closing Date of each of the following conditions, provided that these conditions are for the Lender’s sole benefit and may be waived by the Lender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executed this Agreement and delivered the same to the Lender.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Lender the duly executed Note,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Lender, shall have been delivered to and acknowledged in writing by the Company’s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the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 The Lender shall have received a certificate or certificates, executed by the chief executive officer of the Company, dated as of the Closing Date, to the foregoing effect and as to such other matters as may be reasonably requested by the Lender including, but not limited to certificates with respect to the Board of Directors’ resolutions relating to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Exchange Act reporting status of the Company or the failure of the Company to be timely in its Exchange Act reporting obligations.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615"/>
        <w:gridCol w:w="9474"/>
      </w:tblGrid>
      <w:tr>
        <w:trPr/>
        <w:tc>
          <w:tcPr>
            <w:tcW w:w="11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pPr>
            <w:r>
              <w:rPr/>
              <w:t>8.</w:t>
            </w:r>
          </w:p>
        </w:tc>
        <w:tc>
          <w:tcPr>
            <w:tcW w:w="9474" w:type="dxa"/>
            <w:tcBorders/>
            <w:vAlign w:val="center"/>
          </w:tcPr>
          <w:p>
            <w:pPr>
              <w:pStyle w:val="TableContents"/>
              <w:bidi w:val="0"/>
              <w:spacing w:before="0" w:after="283"/>
              <w:jc w:val="both"/>
              <w:rPr/>
            </w:pPr>
            <w:r>
              <w:rPr>
                <w:u w:val="single"/>
              </w:rPr>
              <w:t>Governing Law; Miscellaneous</w:t>
            </w:r>
            <w:r>
              <w:rPr/>
              <w:t>.</w:t>
            </w:r>
          </w:p>
        </w:tc>
      </w:tr>
    </w:tbl>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Commonwealth of Virginia without regard to principles of conflicts of laws. Any action brought by either party against the other concerning the transactions contemplated by this Agreement shall be brought only in the Circuit Court of Fairfax County, Virginia or in the Alexandria Division of the United States District Court for the Eastern District of Virginia. The parties to this Agreement hereby irrevocably waive any objection to jurisdiction and venue of any action instituted hereunder and shall not assert any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Company and Lender waive trial by jury. The Lender shall be entitled to recover from the Company its reasonable attorney’s fees and costs. In the event that any provision of this Agreement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 Each party hereby irrevocably waives personal service of process and consents to process being served in any suit, action or proceeding in connection with this Agreement, the Note or any related document or agreement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shall constitute one and the same agreement and shall become effective when counterparts have been signed by each party and delivered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instruments referenced herein contain the entire understanding of the parties with respect to the matters covered herein and therein and, except as specifically set forth herein or therein, neither the Company nor the Lender makes any representation, warranty, covenant or undertaking with respect to such matters. No provision of this Agreement may be waived or amended other than by an instrument in writing signed by the majority in interest of the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facsimile, addressed as set forth below or to such other address as such party shall have specified most recently by written notice. Any notice or other communication required or permitted to be given hereunder shall be deemed effective (a) upon hand delivery or delivery by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 as set forth in the heading of this Agreement with a copy by fax only to (which copy shall not constitute notice) to Naidich Wurman LLP, 111 Great Neck Road, Suite 214, Great Neck, NY 11021, Attn: Allison Naidich, facsimile: 516-466-3555, e-mail: allison@nwlaw.com. Each party shall provide notice to the other party of any change in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assigns. Neither the Company nor the Lender shall assign this Agreement or any rights or obligations hereunder without the prior written consent of the other. Notwithstanding the foregoing, the Lender may assign its rights hereunder to any person that purchases Securities in a private transaction from the Lender or to any of its “affiliates,” as that term is defined under the Exchange Act, without the consent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agreements and covenants set forth in this Agreement shall survive the closing hereunder notwithstanding any due diligence investigation conducted by or on behalf of the Lender. The Company agrees to indemnify and hold harmless the Lender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Lender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Lender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Lender and the Company have caused this Agreement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454"/>
        <w:gridCol w:w="2445"/>
        <w:gridCol w:w="75"/>
      </w:tblGrid>
      <w:tr>
        <w:trPr/>
        <w:tc>
          <w:tcPr>
            <w:tcW w:w="2899" w:type="dxa"/>
            <w:gridSpan w:val="2"/>
            <w:tcBorders/>
            <w:vAlign w:val="center"/>
          </w:tcPr>
          <w:p>
            <w:pPr>
              <w:pStyle w:val="TableContents"/>
              <w:bidi w:val="0"/>
              <w:spacing w:before="0" w:after="283"/>
              <w:jc w:val="left"/>
              <w:rPr>
                <w:b/>
                <w:sz w:val="20"/>
              </w:rPr>
            </w:pPr>
            <w:r>
              <w:rPr>
                <w:b/>
                <w:sz w:val="20"/>
              </w:rPr>
              <w:t>NEWGENIVF GROUP LIMITED</w:t>
            </w:r>
          </w:p>
        </w:tc>
        <w:tc>
          <w:tcPr>
            <w:tcW w:w="75" w:type="dxa"/>
            <w:tcBorders/>
            <w:vAlign w:val="center"/>
          </w:tcPr>
          <w:p>
            <w:pPr>
              <w:pStyle w:val="TableContents"/>
              <w:bidi w:val="0"/>
              <w:spacing w:before="0" w:after="283"/>
              <w:jc w:val="left"/>
              <w:rPr/>
            </w:pPr>
            <w:r>
              <w:rPr/>
              <w:t> </w:t>
            </w:r>
          </w:p>
        </w:tc>
      </w:tr>
      <w:tr>
        <w:trPr/>
        <w:tc>
          <w:tcPr>
            <w:tcW w:w="28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4" w:type="dxa"/>
            <w:tcBorders/>
            <w:vAlign w:val="center"/>
          </w:tcPr>
          <w:p>
            <w:pPr>
              <w:pStyle w:val="TableContents"/>
              <w:bidi w:val="0"/>
              <w:spacing w:before="0" w:after="283"/>
              <w:jc w:val="left"/>
              <w:rPr>
                <w:sz w:val="20"/>
              </w:rPr>
            </w:pPr>
            <w:r>
              <w:rPr>
                <w:sz w:val="20"/>
              </w:rPr>
              <w:t>By: </w:t>
            </w:r>
          </w:p>
        </w:tc>
        <w:tc>
          <w:tcPr>
            <w:tcW w:w="244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Wing Fung Alfred Siu</w:t>
            </w:r>
          </w:p>
        </w:tc>
        <w:tc>
          <w:tcPr>
            <w:tcW w:w="75" w:type="dxa"/>
            <w:tcBorders/>
            <w:vAlign w:val="center"/>
          </w:tcPr>
          <w:p>
            <w:pPr>
              <w:pStyle w:val="TableContents"/>
              <w:bidi w:val="0"/>
              <w:spacing w:before="0" w:after="283"/>
              <w:jc w:val="left"/>
              <w:rPr/>
            </w:pPr>
            <w:r>
              <w:rPr/>
              <w:t> </w:t>
            </w:r>
          </w:p>
        </w:tc>
      </w:tr>
      <w:tr>
        <w:trPr/>
        <w:tc>
          <w:tcPr>
            <w:tcW w:w="454" w:type="dxa"/>
            <w:tcBorders/>
            <w:vAlign w:val="center"/>
          </w:tcPr>
          <w:p>
            <w:pPr>
              <w:pStyle w:val="TableContents"/>
              <w:bidi w:val="0"/>
              <w:spacing w:before="0" w:after="283"/>
              <w:jc w:val="left"/>
              <w:rPr/>
            </w:pPr>
            <w:r>
              <w:rPr/>
              <w:t> </w:t>
            </w:r>
          </w:p>
        </w:tc>
        <w:tc>
          <w:tcPr>
            <w:tcW w:w="2445" w:type="dxa"/>
            <w:tcBorders/>
            <w:vAlign w:val="center"/>
          </w:tcPr>
          <w:p>
            <w:pPr>
              <w:pStyle w:val="TableContents"/>
              <w:bidi w:val="0"/>
              <w:spacing w:before="0" w:after="283"/>
              <w:jc w:val="left"/>
              <w:rPr>
                <w:sz w:val="20"/>
              </w:rPr>
            </w:pPr>
            <w:r>
              <w:rPr>
                <w:sz w:val="20"/>
              </w:rPr>
              <w:t>Wing Fung Alfred Siu</w:t>
            </w:r>
          </w:p>
        </w:tc>
        <w:tc>
          <w:tcPr>
            <w:tcW w:w="75" w:type="dxa"/>
            <w:tcBorders/>
            <w:vAlign w:val="center"/>
          </w:tcPr>
          <w:p>
            <w:pPr>
              <w:pStyle w:val="TableContents"/>
              <w:bidi w:val="0"/>
              <w:spacing w:before="0" w:after="283"/>
              <w:jc w:val="left"/>
              <w:rPr/>
            </w:pPr>
            <w:r>
              <w:rPr/>
              <w:t> </w:t>
            </w:r>
          </w:p>
        </w:tc>
      </w:tr>
      <w:tr>
        <w:trPr/>
        <w:tc>
          <w:tcPr>
            <w:tcW w:w="454" w:type="dxa"/>
            <w:tcBorders/>
            <w:vAlign w:val="center"/>
          </w:tcPr>
          <w:p>
            <w:pPr>
              <w:pStyle w:val="TableContents"/>
              <w:bidi w:val="0"/>
              <w:spacing w:before="0" w:after="283"/>
              <w:jc w:val="left"/>
              <w:rPr/>
            </w:pPr>
            <w:r>
              <w:rPr/>
              <w:t> </w:t>
            </w:r>
          </w:p>
        </w:tc>
        <w:tc>
          <w:tcPr>
            <w:tcW w:w="2445"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592"/>
        <w:gridCol w:w="1947"/>
        <w:gridCol w:w="75"/>
      </w:tblGrid>
      <w:tr>
        <w:trPr/>
        <w:tc>
          <w:tcPr>
            <w:tcW w:w="2539" w:type="dxa"/>
            <w:gridSpan w:val="2"/>
            <w:tcBorders/>
            <w:vAlign w:val="center"/>
          </w:tcPr>
          <w:p>
            <w:pPr>
              <w:pStyle w:val="TableContents"/>
              <w:bidi w:val="0"/>
              <w:spacing w:before="0" w:after="283"/>
              <w:jc w:val="left"/>
              <w:rPr>
                <w:b/>
                <w:sz w:val="20"/>
              </w:rPr>
            </w:pPr>
            <w:r>
              <w:rPr>
                <w:b/>
                <w:sz w:val="20"/>
              </w:rPr>
              <w:t>Vanquish Funding Group Inc.</w:t>
            </w:r>
          </w:p>
        </w:tc>
        <w:tc>
          <w:tcPr>
            <w:tcW w:w="75" w:type="dxa"/>
            <w:tcBorders/>
            <w:vAlign w:val="center"/>
          </w:tcPr>
          <w:p>
            <w:pPr>
              <w:pStyle w:val="TableContents"/>
              <w:bidi w:val="0"/>
              <w:spacing w:before="0" w:after="283"/>
              <w:jc w:val="left"/>
              <w:rPr/>
            </w:pPr>
            <w:r>
              <w:rPr/>
              <w:t> </w:t>
            </w:r>
          </w:p>
        </w:tc>
      </w:tr>
      <w:tr>
        <w:trPr/>
        <w:tc>
          <w:tcPr>
            <w:tcW w:w="253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left"/>
              <w:rPr>
                <w:sz w:val="20"/>
              </w:rPr>
            </w:pPr>
            <w:r>
              <w:rPr>
                <w:sz w:val="20"/>
              </w:rPr>
              <w:t>By: </w:t>
            </w:r>
          </w:p>
        </w:tc>
        <w:tc>
          <w:tcPr>
            <w:tcW w:w="1947"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Curt Kramer</w:t>
            </w:r>
          </w:p>
        </w:tc>
        <w:tc>
          <w:tcPr>
            <w:tcW w:w="75"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left"/>
              <w:rPr/>
            </w:pPr>
            <w:r>
              <w:rPr/>
              <w:t> </w:t>
            </w:r>
          </w:p>
        </w:tc>
        <w:tc>
          <w:tcPr>
            <w:tcW w:w="1947" w:type="dxa"/>
            <w:tcBorders/>
            <w:vAlign w:val="center"/>
          </w:tcPr>
          <w:p>
            <w:pPr>
              <w:pStyle w:val="TableContents"/>
              <w:bidi w:val="0"/>
              <w:spacing w:before="0" w:after="283"/>
              <w:jc w:val="left"/>
              <w:rPr>
                <w:sz w:val="20"/>
              </w:rPr>
            </w:pPr>
            <w:r>
              <w:rPr>
                <w:sz w:val="20"/>
              </w:rPr>
              <w:t>Curt Kramer</w:t>
            </w:r>
          </w:p>
        </w:tc>
        <w:tc>
          <w:tcPr>
            <w:tcW w:w="75"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left"/>
              <w:rPr/>
            </w:pPr>
            <w:r>
              <w:rPr/>
              <w:t> </w:t>
            </w:r>
          </w:p>
        </w:tc>
        <w:tc>
          <w:tcPr>
            <w:tcW w:w="1947"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3605"/>
        <w:gridCol w:w="60"/>
        <w:gridCol w:w="140"/>
        <w:gridCol w:w="1100"/>
        <w:gridCol w:w="75"/>
      </w:tblGrid>
      <w:tr>
        <w:trPr/>
        <w:tc>
          <w:tcPr>
            <w:tcW w:w="3605" w:type="dxa"/>
            <w:tcBorders/>
            <w:vAlign w:val="center"/>
          </w:tcPr>
          <w:p>
            <w:pPr>
              <w:pStyle w:val="TableContents"/>
              <w:bidi w:val="0"/>
              <w:spacing w:before="0" w:after="283"/>
              <w:jc w:val="left"/>
              <w:rPr/>
            </w:pPr>
            <w:r>
              <w:rPr/>
              <w:t>Aggregate Principal Amount of Note: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107,000.00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34"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(WHICH COUNSEL SHALL BE SELECTED BY THE HOLDER), IN A GENERALLY ACCEPTABLE FORM, THAT REGISTRATION IS NOT REQUIRED UNDER SAID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 PRICE OF THIS NOTE IS $107,000.00</w:t>
      </w:r>
    </w:p>
    <w:p>
      <w:pPr>
        <w:pStyle w:val="TextBody"/>
        <w:bidi w:val="0"/>
        <w:spacing w:before="0" w:after="0"/>
        <w:ind w:left="0" w:right="0" w:hanging="0"/>
        <w:jc w:val="center"/>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2690"/>
        <w:gridCol w:w="2525"/>
      </w:tblGrid>
      <w:tr>
        <w:trPr/>
        <w:tc>
          <w:tcPr>
            <w:tcW w:w="2690" w:type="dxa"/>
            <w:tcBorders/>
            <w:vAlign w:val="center"/>
          </w:tcPr>
          <w:p>
            <w:pPr>
              <w:pStyle w:val="TableContents"/>
              <w:bidi w:val="0"/>
              <w:spacing w:before="0" w:after="283"/>
              <w:jc w:val="both"/>
              <w:rPr>
                <w:b/>
                <w:sz w:val="20"/>
              </w:rPr>
            </w:pPr>
            <w:r>
              <w:rPr>
                <w:b/>
                <w:sz w:val="20"/>
              </w:rPr>
              <w:t>Principal Amount: $107,000.00</w:t>
            </w:r>
          </w:p>
        </w:tc>
        <w:tc>
          <w:tcPr>
            <w:tcW w:w="2525" w:type="dxa"/>
            <w:tcBorders/>
            <w:vAlign w:val="center"/>
          </w:tcPr>
          <w:p>
            <w:pPr>
              <w:pStyle w:val="TableContents"/>
              <w:bidi w:val="0"/>
              <w:spacing w:before="0" w:after="283"/>
              <w:jc w:val="right"/>
              <w:rPr>
                <w:b/>
                <w:sz w:val="20"/>
              </w:rPr>
            </w:pPr>
            <w:r>
              <w:rPr>
                <w:b/>
                <w:sz w:val="20"/>
              </w:rPr>
              <w:t xml:space="preserve">Issue Date: January 22, 2026 </w:t>
            </w:r>
          </w:p>
        </w:tc>
      </w:tr>
      <w:tr>
        <w:trPr/>
        <w:tc>
          <w:tcPr>
            <w:tcW w:w="2690" w:type="dxa"/>
            <w:tcBorders/>
            <w:vAlign w:val="center"/>
          </w:tcPr>
          <w:p>
            <w:pPr>
              <w:pStyle w:val="TableContents"/>
              <w:bidi w:val="0"/>
              <w:spacing w:before="0" w:after="283"/>
              <w:jc w:val="both"/>
              <w:rPr>
                <w:b/>
                <w:sz w:val="20"/>
              </w:rPr>
            </w:pPr>
            <w:r>
              <w:rPr>
                <w:b/>
                <w:sz w:val="20"/>
              </w:rPr>
              <w:t>107,000.00107,000.00</w:t>
            </w:r>
          </w:p>
        </w:tc>
        <w:tc>
          <w:tcPr>
            <w:tcW w:w="252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(hereinafter called the “Borrower”), hereby promises to pay to the order of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or registered assigns (the “Holder”) the sum of $107,000.00 together with any interest as set forth herein, on October 30, 2026 (the “Maturity Date”), and to pay interest on the unpaid principal balance hereof at the rate of ten percent (10%) (the “Interest Rate”) per annum from the date hereof (the “Issue Date”) until the same becomes due and payable, whether at maturity or upon acceleration or by prepayment or otherwise. This Note may not be prepaid in whole or in part except as otherwise explicitly set forth herein. Any amount of principal or interest on this Note which is not paid when due shall bear interest at the rate of twenty two percent (22%) per annum (or the highest amount of legally permitted interest under applicable usury statutes) from the due date thereof until the same is paid (“Default Interest”). Interest shall be computed on the basis of a 365 day year and the actual number of days elapsed. Interest shall commence accruing on the Issue Date but shall not be payable until the Note becomes payable (whether at Maturity Date or upon acceleration or by prepayment). All payments due hereunder (to the extent not converted into Class A Ordinary Shares of the Borrower, no par value per share (the “Class A Ordinary Shares”) in accordance with the terms hereof) shall be made in lawful money of the United States of America. All payments shall be made at such address as the Holder shall hereafter give to the Borrower by written notice made in accordance with the provisions of this Note. Each capitalized term used herein, and not otherwise defined, shall have the meaning ascribed thereto in that certain Securities Purchase Agreement dated the date hereof, pursuant to which this Note was originally issued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apply to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xml:space="preserve">. The Holder shall have the right from time to time, </w:t>
      </w:r>
      <w:r>
        <w:rPr>
          <w:rFonts w:ascii="Times New Roman;Times;Serif" w:hAnsi="Times New Roman;Times;Serif"/>
          <w:b w:val="false"/>
          <w:i w:val="false"/>
          <w:caps w:val="false"/>
          <w:smallCaps w:val="false"/>
          <w:sz w:val="20"/>
          <w:u w:val="single"/>
        </w:rPr>
        <w:t>and at any time during the period beginning on the date which is one hundred eighty (180) days following the date of this Note and ending on the later of: (i) the Maturity Date, or (ii) the date of payment of the Default Amount (as defined in Article III)</w:t>
      </w:r>
      <w:r>
        <w:rPr>
          <w:rFonts w:ascii="Times New Roman;Times;Serif" w:hAnsi="Times New Roman;Times;Serif"/>
          <w:b w:val="false"/>
          <w:i w:val="false"/>
          <w:caps w:val="false"/>
          <w:smallCaps w:val="false"/>
          <w:sz w:val="20"/>
        </w:rPr>
        <w:t xml:space="preserve">, each in respect of the remaining outstanding amount of this Note to convert all or any part of the outstanding and unpaid amount of this Note into fully paid and non-assessable shares of Class A Ordinary Shares, as such Class A Ordinary Shares exists on the Issue Date, or any shares of capital stock or other securities of the Borrower into which such Class A Ordinary Shares shall hereafter be changed or reclassified at the conversion price (the “Conversion Price”) determined as provided herein (a “Conversion”);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Holder be entitled to convert any portion of this Note in excess of that portion of this Note upon conversion of which the sum of (1) the number of shares of Class A Ordinary Shares beneficially owned by the Holder and its affiliates (other than shares of Class A Ordinary Shares which may be deemed beneficially owned through the ownership of the unconverted portion of the Notes or the unexercised or unconverted portion of any other security of the Borrower subject to a limitation on conversion or exercise analogous to the limitations contained herein) and (2) the number of shares of Class A Ordinary Shares issuable upon the conversion of the portion of this Note with respect to which the determination of this proviso is being made, would result in beneficial ownership by the Holder and its affiliates of more than 4.99% of the outstanding shares of Class A Ordinary Shares. For purposes of the proviso to the immediately preceding sentence, beneficial ownership shall be determined in accordance with Section 13(d) of the Securities Exchange Act of 1934, as amended (the “Exchange Act”), and Regulations 13D-G thereunder, except as otherwise provided in clause (1) of such proviso. </w:t>
      </w:r>
      <w:r>
        <w:rPr>
          <w:rFonts w:ascii="Times New Roman;Times;Serif" w:hAnsi="Times New Roman;Times;Serif"/>
          <w:b w:val="false"/>
          <w:i w:val="false"/>
          <w:caps w:val="false"/>
          <w:smallCaps w:val="false"/>
          <w:sz w:val="20"/>
          <w:u w:val="single"/>
        </w:rPr>
        <w:t>The beneficial ownership limitations on conversion as set forth in the section may NOT be waived by the Holder</w:t>
      </w:r>
      <w:r>
        <w:rPr>
          <w:rFonts w:ascii="Times New Roman;Times;Serif" w:hAnsi="Times New Roman;Times;Serif"/>
          <w:b w:val="false"/>
          <w:i w:val="false"/>
          <w:caps w:val="false"/>
          <w:smallCaps w:val="false"/>
          <w:sz w:val="20"/>
        </w:rPr>
        <w:t xml:space="preserve">. The number of shares of Class A Ordinary Shares to be issued upon each conversion of this Note shall be determined by dividing the Conversion Amount (as defined below) by the applicable Conversion Price then in effect on the date specified in the notice of conversion, in the form attached hereto as Exhibit A (the “Notice of Conversion”), delivered to the Borrower by the Holder in accordance with Section 1.4 below; provided that the Notice of Conversion is submitted by facsimile or e-mail (or by other means resulting in, or reasonably expected to result in, notice) to the Borrower before 6:00 p.m., New York, New York time on such conversion date (the “Conversion Date”); however, if the Notice of Conversion is sent after 6:00pm, New York, New York time the Conversion Date shall be the next business day. The term “Conversion Amount”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rates provided in this Note to the Conversion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at the Holder’s option, Default Interest, if any, on the amounts referred to in the immediately preceding clauses (1) and/or (2)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(4) at the Holder’s option, any amounts owed to the Holder pursuant to Sections 1.4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be entitled to deduct $1,500.00 from the conversion amount in each Notice of Conversion to cover Holder’s deposit fees associated with each Notice of Conversion. Any additional expenses incurred by Holder with respect to the Borrower’s transfer agent, for the issuance of the Class A Ordinary Shares into which this Note is convertible into, shall immediately and automatically be added to the balance of the Note at such time as the expenses are incurred by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shall equal 75% multiplied by the Market Price (as defined herein) (representing a discount rate of 25%). “Market Price” means the lowest Trading Price (as defined below) for the Class A Ordinary Shares during the ten (10) Trading Day period ending on the latest complete Trading Day prior to the Conversion Date. “Trading Price” means, for any security as of any date, the closing bid price on the OTCQB, OTCQX, Pink Sheets electronic quotation system or applicable trading market (the “OTC”) as reported by a reliable reporting service (“Reporting Service”) designated by the Holder (i.e. Bloomberg) or, if the OTC is not the principal trading market for such security, the closing bid price of such security on the principal securities exchange or trading market where such security is listed or traded or, if no closing bid price of such security is available in any of the foregoing manners, the average of the closing bid prices of any market makers for such security that are listed in the “pink sheets”. If the Trading Price cannot be calculated for such security on such date in the manner provided above, the Trading Price shall be the fair market value as mutually determined by the Borrower and the holders of a majority in interest of the Notes being converted for which the calculation of the Trading Price is required in order to determine the Conversion Price of such Notes. “Trading Day” shall mean any day on which the Class A Ordinary Shares is tradable for any period on the OTC, or on the principal securities exchange or other securities market on which the Class A Ordinary Shares is then being traded.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Borrower covenants that during the period the conversion right exists, the Borrower will reserve from its authorized and unissued Class A Ordinary Shares a sufficient number of shares, free from preemptive rights, to provide for the issuance of Class A Ordinary Shares upon the full conversion of this Note issued pursuant to the Purchase Agreement. The Borrower is required at all times to have authorized and reserved four times the number of shares that is actually issuable upon full conversion of the Note (based on the Conversion Price of the Note in effect from time to time)(the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Class A Ordinary Shares into which the Notes shall be convertible at the then current Conversion Price, the Borrower shall at the same time make proper provision so that thereafter there shall be a sufficient number of shares of Class A Ordinary Shares authorized and reserved, free from preemptive rights, for conversion of the outstanding Note. The Borrower (i) acknowledges that it has irrevocably instructed its transfer agent to issue certificates for the Class A Ordinary Shares issuable upon conversion of this Note, and (ii) agrees that its issuance of this Note shall constitute full authority to its officers and agents who are charged with the duty of executing stock certificates to execute and issue the necessary certificates for shares of Class A Ordinary Shares in accordance with the terms and conditions of this Note. If, at any time the Borrower does not maintain the Reserved Amount it will be considered an Event of Default under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As set forth in Section 1.1 hereof, from time to time, and at any time during the period beginning on the date which is one hundred eighty (180) days following the date of this Note and ending on the later of: (i) the Maturity Date and (ii) the date of payment of the Default Amount</w:t>
      </w:r>
      <w:r>
        <w:rPr>
          <w:rFonts w:ascii="Times New Roman;Times;Serif" w:hAnsi="Times New Roman;Times;Serif"/>
          <w:b w:val="false"/>
          <w:i w:val="false"/>
          <w:caps w:val="false"/>
          <w:smallCaps w:val="false"/>
          <w:sz w:val="20"/>
        </w:rPr>
        <w:t>, this Note may be converted by the Holder in whole or in part at any time from time to time after the Issue Date, by (A) submitting to the Borrower a Notice of Conversion (by facsimile, e-mail or other reasonable means of communication dispatched on the Conversion Date prior to 6:00 p.m., New York, New York time) and (B) subject to Section 1.4(b), surrendering this Note at the principal office of the Borrower (upon payment in full of any amounts owed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Notwithstanding anything to the contrary set forth herein, upon conversion of 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Class A Ordinary Shares Upon Conversion</w:t>
      </w:r>
      <w:r>
        <w:rPr>
          <w:rFonts w:ascii="Times New Roman;Times;Serif" w:hAnsi="Times New Roman;Times;Serif"/>
          <w:b w:val="false"/>
          <w:i w:val="false"/>
          <w:caps w:val="false"/>
          <w:smallCaps w:val="false"/>
          <w:sz w:val="20"/>
        </w:rPr>
        <w:t>. Upon receipt by the Borrower from the Holder of a facsimile transmission or e-mail (or other reasonable means of communication) of a Notice of Conversion meeting the requirements for conversion as provided in this Section 1.4, the Borrower shall issue and deliver or cause to be issued and delivered to or upon the order of the Holder certificates for the Class A Ordinary Shares issuable upon such conversion within three (3) business days after such receipt (the “Deadline”) (and, solely in the case of conversion of the entire unpaid principal amount hereof, surrender of this Note) in accordance with the terms hereof and the Purchase Agreement. Upon receipt by the Borrower of a Notice of Conversion, the Holder shall be deemed to be the holder of record of the Class A Ordinary Shares issuable upon such conversion, the outstanding principal amount and the amount of accrued and unpaid interest on this Note shall be reduced to reflect such conversion, and, unless the Borrower defaults on its obligations hereunder, all rights with respect to the portion of this Note being so converted shall forthwith terminate except the right to receive the Class A Ordinary Shares or other securities, cash or other assets, as herein provided, on such conversion. If the Holder shall have given a Notice of Conversion as provided herein, the Borrower’s obligation to issue and deliver the certificates for Class A Ordinary Shares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Class A Ordinary Shares by Electronic Transfer</w:t>
      </w:r>
      <w:r>
        <w:rPr>
          <w:rFonts w:ascii="Times New Roman;Times;Serif" w:hAnsi="Times New Roman;Times;Serif"/>
          <w:b w:val="false"/>
          <w:i w:val="false"/>
          <w:caps w:val="false"/>
          <w:smallCaps w:val="false"/>
          <w:sz w:val="20"/>
        </w:rPr>
        <w:t>. In lieu of delivering physical certificates representing the Class A Ordinary Shares issuable upon conversion, provided the Borrower is participating in the Depository Trust Company (“DTC”) Fast Automated Securities Transfer (“FAST”) program, upon request of the Holder and its compliance with the provisions set forth herein, the Borrower shall use its best efforts to cause its transfer agent to electronically transmit the Class A Ordinary Shares issuable upon conversion to the Holder by crediting the account of Holder’s Prime Broker with DTC through its Deposit and Withdrawal at Custodian (“DWAC”)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Failure to Deliver Class A Ordinary Shares Prior to Deadline</w:t>
      </w:r>
      <w:r>
        <w:rPr>
          <w:rFonts w:ascii="Times New Roman;Times;Serif" w:hAnsi="Times New Roman;Times;Serif"/>
          <w:b w:val="false"/>
          <w:i w:val="false"/>
          <w:caps w:val="false"/>
          <w:smallCaps w:val="false"/>
          <w:sz w:val="20"/>
        </w:rPr>
        <w:t>. Without in any way limiting the Holder’s right to pursue other remedies, including actual damages and/or equitable relief, the parties agree that if delivery of the Class A Ordinary Shares issuable upon conversion of this Note is not delivered by the Deadline due to action and/or inaction of the Borrower, the Borrower shall pay to the Holder $2,000 per day in cash, for each day beyond the Deadline that the Borrower fails to deliver such Class A Ordinary Shares (the “Fail to Deliver Fee”); provided; however that the Fail to Deliver Fee shall not be due if the failure is a result of a third party (i.e., transfer agent; and not the result of any failure to pay such transfer agent) despite the best efforts of the Borrower to effect delivery of such Class A Ordinary Shares.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Class A Ordinary Shares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Section 1.4(e) are justified.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shares of Class A Ordinary Shares issuable upon conversion of this Note may not be sold or transferred unless: (i) such shares are sold pursuant to an effective registration statement under the Act or (ii) the Borrower or its transfer agent shall have been furnished with an opinion of counsel (which opinion shall be in form, substance and scope customary for opinions of counsel in comparable transactions) to the effect that the shares to be sold or transferred may be sold or transferred pursuant to an exemption from such registration (such as Rule 144 or a successor rule) (“Rule 144”); or (iii) such shares are transferred to an “affiliate” (as defined in Rule 144) of the Borrower who agrees to sell or otherwise transfer the shares only in accordance with this Section 1.5 and who is an Accredited Investor (as defined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legend on certificates representing shares of Class A Ordinary Shares issuable upon conversion of this Note shall be removed and the Borrower shall issue to the Holder a new certificate therefore free of any transfer legend if the Borrower or its transfer agent shall have received an opinion of counsel from Holder’s counsel, in form, substance and scope customary for opinions of counsel in comparable transactions, to the effect that (i) a public sale or transfer of such Class A Ordinary Shares may be made without registration under the Act, which opinion shall be accepted by the Borrower so that the sale or transfer is effected; or (ii) in the case of the Class A Ordinary Shares issuable upon conversion of this Note, such security is registered for sale by the Holder under an effective registration statement filed under the Act; or otherwise may be sold pursuant to an exemption from registration. In the event that the Borrower does not reasonably accept the opinion of counsel provided by the Holder with respect to the transfer of Securities pursuant to an exemption from registration (such as Rule 144), at the Deadline, it will be considered an Event of Default pursuant to Section 3.2 of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Except with respect to any transactions disclosed by the Borrower in any of its filings with the SEC prior to the date of this Note, at the option of the Holder, the sale, conveyance or disposition of all or 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be deemed to be an Event of Default (as defined in Article III) pursuant to which the Borrower shall be required to pay to the Holder upon the consummation of and as a condition to such transaction an amount equal to the Default Amount (as defined in Article III). “Person” shall mean any individual, corporation, limited liability company, partnership, association, trust or other entity or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the Note, there shall be any merger, consolidation, exchange of shares, recapitalization, reorganization, or other similar event, as a result of which shares of Class A Ordinary Shares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Class A Ordinary Shares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Section 1.6(b) unless (a) it first gives, to the extent practicable, ten (10) days prior written notice (but in any event at least five (5)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Note. The above provisions shall similarly apply to successive consolidations, mergers, sales, transfers or share exchanges.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If the Borrower shall declare or make any distribution of its assets (or rights to acquire its assets) to holders of Class A Ordinary Shares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Class A Ordinary Shares issuable upon such conversion had such Holder been the holder of such shares of Class A Ordinary Shares on the record date for the determination of shareholders entitled to such Distribution. 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Notwithstanding anything to the contrary contained in this Note, at any time during the periods set forth on the table immediately following this paragraph (the “Prepayment Periods”) or as otherwise agreed to between the Borrower and the Holder, the Borrower shall have the right, exercisable on not more than three (3) Trading Days prior written notice to the Holder of the Note to prepay the outstanding Note (principal and accrued interest), in full, in accordance with this Section 1.7. Any notice of prepayment hereunder (an “Optional Prepayment Notice”) shall be delivered to the Holder of the Note at its registered addresses and shall state: (1) that the Borrower is exercising its right to prepay the Note, and (2) the date of prepayment which shall be not more than three (3) Trading Days from the date of the Optional Prepayment Notice. On the date fixed for prepayment (the “Optional Prepayment Date”), the Borrower shall make payment of the Optional Prepayment Amount (as defined below) to Holder, or upon the direction of the Holder as specified by the Holder in a writing to the Borrower (which shall direction to be sent to Borrower by the Holder at least one (1) business day prior to the Optional Prepayment Date). If the Borrower exercises its right to prepay the Note, the Borrower shall make payment to the Holder of an amount in cash equal to the percentage (“Prepayment Percentage”) as set forth in the table immediately following this paragraph opposite the applicable Prepayment Period, multiplied by the sum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Optional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 1.4 hereof (the “Optional Prepayment Amount”).</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60" w:type="dxa"/>
          <w:left w:w="60" w:type="dxa"/>
          <w:bottom w:w="60" w:type="dxa"/>
          <w:right w:w="60" w:type="dxa"/>
        </w:tblCellMar>
      </w:tblPr>
      <w:tblGrid>
        <w:gridCol w:w="8653"/>
        <w:gridCol w:w="1552"/>
      </w:tblGrid>
      <w:tr>
        <w:trPr/>
        <w:tc>
          <w:tcPr>
            <w:tcW w:w="865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u w:val="single"/>
              </w:rPr>
            </w:pPr>
            <w:r>
              <w:rPr>
                <w:b/>
                <w:sz w:val="20"/>
                <w:u w:val="single"/>
              </w:rPr>
              <w:t>Prepayment Period</w:t>
            </w:r>
          </w:p>
        </w:tc>
        <w:tc>
          <w:tcPr>
            <w:tcW w:w="15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center"/>
              <w:rPr>
                <w:b/>
                <w:sz w:val="20"/>
                <w:u w:val="single"/>
              </w:rPr>
            </w:pPr>
            <w:r>
              <w:rPr>
                <w:b/>
                <w:sz w:val="20"/>
                <w:u w:val="single"/>
              </w:rPr>
              <w:t>Prepayment Percentage</w:t>
            </w:r>
          </w:p>
        </w:tc>
      </w:tr>
      <w:tr>
        <w:trPr/>
        <w:tc>
          <w:tcPr>
            <w:tcW w:w="865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1) the period beginning on the Issue Date and ending on the date which is one hundred ninety (90) days following the Issue Date.</w:t>
            </w:r>
          </w:p>
        </w:tc>
        <w:tc>
          <w:tcPr>
            <w:tcW w:w="1552"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sz w:val="20"/>
              </w:rPr>
            </w:pPr>
            <w:r>
              <w:rPr>
                <w:sz w:val="20"/>
              </w:rPr>
              <w:t>120%</w:t>
            </w:r>
          </w:p>
        </w:tc>
      </w:tr>
      <w:tr>
        <w:trPr/>
        <w:tc>
          <w:tcPr>
            <w:tcW w:w="865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2) the period beginning on date which is ninety-one (91) days following the Issue Date and ending on the date which is one hundred eighty (180) days following the Issue Date.</w:t>
            </w:r>
          </w:p>
        </w:tc>
        <w:tc>
          <w:tcPr>
            <w:tcW w:w="15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So long as the Borrower shall have any obligation under this Note, the Borrower shall not, without the Holder’s written consent, sell, lease or otherwise dispose of any significant portion of its assets outside the ordinary course of business. Any consent to the disposition of any assets may be conditioned on a specified use of the proceeds of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Registration: Piggyback Rights</w:t>
      </w:r>
      <w:r>
        <w:rPr>
          <w:rFonts w:ascii="Times New Roman;Times;Serif" w:hAnsi="Times New Roman;Times;Serif"/>
          <w:b w:val="false"/>
          <w:i w:val="false"/>
          <w:caps w:val="false"/>
          <w:smallCaps w:val="false"/>
          <w:sz w:val="20"/>
        </w:rPr>
        <w:t>. If at any time during the period that this Note is outstanding, the Borrower shall determine to file with the SEC a registration statement relating to an offering for its own account or the account of others of any its Class A Ordinary Shares (“Registration Statement”)(other than on Form S-4 or Form S-8 or their then-equivalents relating to equity securities to be issued solely in connection with any acquisition of any entity or business or equity securities issuable in connection with stock option or other employee benefit plans), the Borrower shall send to the written notice of such determination and, unless objected to in writing by the Holder by written notice delivered to the Borrower within five (5) days after the date of such notice from the Borrower, the Borrower shall include in such Registration Statement all shares issuable upon conversion of this Note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of default (each, an “Event of Default”) shall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and Interest</w:t>
      </w:r>
      <w:r>
        <w:rPr>
          <w:rFonts w:ascii="Times New Roman;Times;Serif" w:hAnsi="Times New Roman;Times;Serif"/>
          <w:b w:val="false"/>
          <w:i w:val="false"/>
          <w:caps w:val="false"/>
          <w:smallCaps w:val="false"/>
          <w:sz w:val="20"/>
        </w:rPr>
        <w:t>. The Borrower fails to pay the principal hereof or interest thereon when due on this Note, whether at maturity or upon acceleration and such breach continues for a period of five (5) days after written notice from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The Borrower fails to issue shares of Class A Ordinary Shares to the Holder (or announces or threatens in writing that it will not honor its obligation to do so) upon exercise by the Holder of the conversion rights of the Holder in accordance with the terms of this Note, fails to transfer or cause its transfer agent to transfer (issue) (electronically or in certificated form) any certificate for shares of Class A Ordinary Shares issued to the Holder upon conversion of or otherwise pursuant to this Note as and when required by this Note, the Borrower directs its transfer agent not to transfer or delays, impairs, and/or hinders its transfer agent in transferring (or issuing) (electronically or in certificated form) any certificate for shares of Class A Ordinary Shares to be issued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shares of Class A Ordinary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three (3) business days after the Holder shall have delivered a Notice of Conversion. It is an obligation of the Borrower to remain current in its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paid by the Borrower to the Holder within forty-eight (48) hours of a demand from the Holder. Notwithstanding anything contained herein to the contrary, if such failure to timely issue shares of Class A Ordinary Shares to the Holder upon conversion is not a result of the action or inaction of the Borrower, direct or indirect, such failure to issue will not be an event of default (i.e., act of God).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The Borrower breaches any material covenant or other material term or condition contained in this Note and any collateral documents including but not limited to the Purchase Agreement and such breach continues for a period of twenty (20) days after written notice thereof to the Borrower from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Any representation or warranty of the Borrower made herein or in any agreement, statement or certificate given in writing pursuant hereto or in connection herewith (including, without limitation, the Purchase Agreement), shall be false or misleading in any material respect when made and the breach of which has (or with the passage of time will have)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Delisting of Class A Ordinary Shares</w:t>
      </w:r>
      <w:r>
        <w:rPr>
          <w:rFonts w:ascii="Times New Roman;Times;Serif" w:hAnsi="Times New Roman;Times;Serif"/>
          <w:b w:val="false"/>
          <w:i w:val="false"/>
          <w:caps w:val="false"/>
          <w:smallCaps w:val="false"/>
          <w:sz w:val="20"/>
        </w:rPr>
        <w:t>. The Borrower shall fail to maintain the listing of the Class A Ordinary Shares on the Nasdaq National Market, the Nasdaq SmallCap Market, the New York Stock Exchange, or the NYSE American Stock Exchange (collectively, the “Exchanges”) or the quotation platforms maintained by the OTC Markets Group or an equivalent replacement exchange (collectively with the Exchanges,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The Borrower shall fail to comply with the reporting requirements of the Exchange Act; and/or the Borrower shall cease to be subject to the reporting requirements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Any dissolution, liquidation, or winding up of Borrower or any substantial portion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Any cessation of operations by Borrower which would result in the Borrower becoming a “shell company” as such term is defined in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 The restatement of any financial statements filed by the Borrower with the SEC at any time after 180 days after the Issuance Date for any date or period until this Note is no longer outstanding, if the result of such restatement would, by comparison to the un-restated financial statement, have constituted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Class A Ordinary Shares in the Reserved Amount) signed by the successor transfer agent to Borrower and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Notwithstanding anything to the contrary contained in this Note or the other related or companion documents, a breach or default by the Borrower of any covenant or other term or condition contained in any of the Other Agreements, after the passage of all applicable notice and cure or grace periods, shall, at the option of the Holder, be considered a default under this Note and the Other Agreements, in which event the Holder shall be entitled (but in no event required) to apply all rights and remedies of the Holder under the terms of this Note and the Other Agreements by reason of a default under said Other Agreement or hereunder. “Other Agreements” means, collectively, all agreements and instruments between, among or by: (1) the Borrower, and, or for the benefit of, (2) the Holder and any affiliate of the Holder, including, without limitation, promissory notes; provided, however, the term “Other Agreements” shall not include the related or companion documents to this Note. Each of the loan transactions will be cross-defaulted with each other loan transaction and with all other existing and future debt of Borrower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continuation of any Event of Default specified in Section 3.1 (solely with respect to failure to pay the principal hereof or interest thereon when due at the Maturity Date), the Note shall become immediately due and payable and the Borrower shall pay to the Holder, in full satisfaction of its obligations hereunder, an amount equal to the Default Amount (as defined herein). UPON THE OCCURRENCE AND DURING THE CONTINUATION OF ANY EVENT OF DEFAULT SPECIFIED IN SECTION 3.2, THE NOTE SHALL BECOME IMMEDIATELY DUE AND PAYABLE AND THE BORROWER SHALL PAY TO THE HOLDER, IN FULL SATISFACTION OF ITS OBLIGATIONS HEREUNDER, AN AMOUNT EQUAL TO: (Y) THE DEFAULT AMOUNT (AS DEFINED HEREIN); MULTIPLIED BY (Z) TWO (2). Upon the occurrence and during the continuation of any Event of Default specified in this Article III (other than Section 3.2 as set forth above), the Note shall become immediately due and payable and the Borrower shall pay to the Holder, in full satisfaction of its obligations hereunder, an amount equal to 150%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date of payment (the “Mandatory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and/or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Sections 1.3 and 1.4(g) hereof (the then outstanding principal amount of this Note to the date of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amounts referred to in clauses (x), (y) and (z) shall collectively be known as the “Default Amount”) and all other amounts payable hereunder shall immediately become due and payable, all without demand, presentment or notice, all of which hereby are expressly waived, together with all costs, including, without limitation, legal fees and expenses, of collection, and the Holder shall be entitled to exercise all other rights and remedies available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pay the Default Amount within five (5) business days of written notice that such amount is due and payable, then the Holder shall have the right at any time, so long as the Borrower remains in default (and so long and to the extent that there are sufficient authorized shares), to require the Borrower, upon written notice, to immediately issue, in lieu of the Default Amount, the number of shares of Class A Ordinary Shares of the Borrower equal to the Default Amount divided by the Conversion Price then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or delivery by electronic mail,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 Khlong Toei Nuea Sub-district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 Thailand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Wing Fung Alfred Siu, Chief Executive Officer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Diagonal Road, Suite 623</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Alexandria VA 22314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Curt Kramer, President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ckramer6@bloomberg.net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Note and any provision hereof may only be amended by an instrument in writing signed by the Borrower and the Holder. The term “Note” and all reference thereto, as used throughout this instrument, shall mean this instrument (and the other Notes issued pursuant to the Purchase Agreement) as originally executed, or if later amended or supplemented, then as so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Each transferee of this Note must be an “accredited investor” (as defined in Rule 501(a) of the Securities and Exchange Commission). Notwithstanding anything in this Note to the contrary, this Note may be pledged as collateral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and may be assigned by the Holder without the consent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governed by and construed in accordance with the laws of the Commonwealth of Virginia without regard to principles of conflicts of laws. Any action brought by either party against the other concerning the transactions contemplated by this Note shall be brought only in the Circuit Court of Fairfax County, Virginia or in the Alexandria Division of the United States District Court for the Eastern District of Virginia. The parties to this Note hereby irrevocably waive any objection to jurisdiction and venue of any action instituted hereunder and shall not assert any objection or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Borrower and Holder waive trial by jury. The Holder shall be entitled to recover from the Borrower its reasonable attorney’s fees and costs incurred in connection with or related to any Event of Default by the Borrower, as defined in Article III hereof. In the event that any provision of this Note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hereof or any agreement delivered in connection herewith. Each party hereby irrevocably waives personal service of process and consents to process being served in any suit, action or proceeding in connection with this Note, any agreement or any other document delivered in connection with this Note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its acceptance of this Note, each party agrees to be bound by the applicable terms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has caused this Note to be signed in its name by its duly authorized officer this on January 22, 2026</w:t>
      </w:r>
    </w:p>
    <w:p>
      <w:pPr>
        <w:pStyle w:val="TextBody"/>
        <w:bidi w:val="0"/>
        <w:spacing w:before="0" w:after="0"/>
        <w:ind w:left="0" w:right="0" w:hanging="0"/>
        <w:jc w:val="both"/>
        <w:rPr>
          <w:caps w:val="false"/>
          <w:smallCaps w:val="false"/>
        </w:rPr>
      </w:pPr>
      <w:r>
        <w:rPr>
          <w:caps w:val="false"/>
          <w:smallCaps w:val="false"/>
        </w:rPr>
        <w:t> </w:t>
      </w:r>
    </w:p>
    <w:tbl>
      <w:tblPr>
        <w:tblW w:w="2975" w:type="dxa"/>
        <w:jc w:val="left"/>
        <w:tblInd w:w="0" w:type="dxa"/>
        <w:tblLayout w:type="fixed"/>
        <w:tblCellMar>
          <w:top w:w="0" w:type="dxa"/>
          <w:left w:w="0" w:type="dxa"/>
          <w:bottom w:w="0" w:type="dxa"/>
          <w:right w:w="0" w:type="dxa"/>
        </w:tblCellMar>
      </w:tblPr>
      <w:tblGrid>
        <w:gridCol w:w="475"/>
        <w:gridCol w:w="2425"/>
        <w:gridCol w:w="75"/>
      </w:tblGrid>
      <w:tr>
        <w:trPr/>
        <w:tc>
          <w:tcPr>
            <w:tcW w:w="2900" w:type="dxa"/>
            <w:gridSpan w:val="2"/>
            <w:tcBorders/>
            <w:vAlign w:val="center"/>
          </w:tcPr>
          <w:p>
            <w:pPr>
              <w:pStyle w:val="TableContents"/>
              <w:bidi w:val="0"/>
              <w:spacing w:before="0" w:after="283"/>
              <w:jc w:val="left"/>
              <w:rPr>
                <w:b/>
                <w:sz w:val="20"/>
              </w:rPr>
            </w:pPr>
            <w:r>
              <w:rPr>
                <w:b/>
                <w:sz w:val="20"/>
              </w:rPr>
              <w:t>NEWGENIVF GROUP LIMITED</w:t>
            </w:r>
          </w:p>
        </w:tc>
        <w:tc>
          <w:tcPr>
            <w:tcW w:w="75" w:type="dxa"/>
            <w:tcBorders/>
            <w:vAlign w:val="center"/>
          </w:tcPr>
          <w:p>
            <w:pPr>
              <w:pStyle w:val="TableContents"/>
              <w:bidi w:val="0"/>
              <w:spacing w:before="0" w:after="283"/>
              <w:jc w:val="left"/>
              <w:rPr/>
            </w:pPr>
            <w:r>
              <w:rPr/>
              <w:t> </w:t>
            </w:r>
          </w:p>
        </w:tc>
      </w:tr>
      <w:tr>
        <w:trPr/>
        <w:tc>
          <w:tcPr>
            <w:tcW w:w="29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5" w:type="dxa"/>
            <w:tcBorders/>
            <w:vAlign w:val="center"/>
          </w:tcPr>
          <w:p>
            <w:pPr>
              <w:pStyle w:val="TableContents"/>
              <w:bidi w:val="0"/>
              <w:spacing w:before="0" w:after="283"/>
              <w:jc w:val="left"/>
              <w:rPr>
                <w:sz w:val="20"/>
              </w:rPr>
            </w:pPr>
            <w:r>
              <w:rPr>
                <w:sz w:val="20"/>
              </w:rPr>
              <w:t>By: </w:t>
            </w:r>
          </w:p>
        </w:tc>
        <w:tc>
          <w:tcPr>
            <w:tcW w:w="24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5" w:type="dxa"/>
            <w:tcBorders/>
            <w:vAlign w:val="center"/>
          </w:tcPr>
          <w:p>
            <w:pPr>
              <w:pStyle w:val="TableContents"/>
              <w:bidi w:val="0"/>
              <w:spacing w:before="0" w:after="283"/>
              <w:jc w:val="left"/>
              <w:rPr/>
            </w:pPr>
            <w:r>
              <w:rPr/>
              <w:t> </w:t>
            </w:r>
          </w:p>
        </w:tc>
        <w:tc>
          <w:tcPr>
            <w:tcW w:w="2425" w:type="dxa"/>
            <w:tcBorders/>
            <w:vAlign w:val="center"/>
          </w:tcPr>
          <w:p>
            <w:pPr>
              <w:pStyle w:val="TableContents"/>
              <w:bidi w:val="0"/>
              <w:spacing w:before="0" w:after="283"/>
              <w:jc w:val="left"/>
              <w:rPr>
                <w:sz w:val="20"/>
              </w:rPr>
            </w:pPr>
            <w:r>
              <w:rPr>
                <w:sz w:val="20"/>
              </w:rPr>
              <w:t>Wing Fung Alfred Siu</w:t>
            </w:r>
          </w:p>
        </w:tc>
        <w:tc>
          <w:tcPr>
            <w:tcW w:w="75" w:type="dxa"/>
            <w:tcBorders/>
            <w:vAlign w:val="center"/>
          </w:tcPr>
          <w:p>
            <w:pPr>
              <w:pStyle w:val="TableContents"/>
              <w:bidi w:val="0"/>
              <w:spacing w:before="0" w:after="283"/>
              <w:jc w:val="left"/>
              <w:rPr/>
            </w:pPr>
            <w:r>
              <w:rPr/>
              <w:t> </w:t>
            </w:r>
          </w:p>
        </w:tc>
      </w:tr>
      <w:tr>
        <w:trPr/>
        <w:tc>
          <w:tcPr>
            <w:tcW w:w="475" w:type="dxa"/>
            <w:tcBorders/>
            <w:vAlign w:val="center"/>
          </w:tcPr>
          <w:p>
            <w:pPr>
              <w:pStyle w:val="TableContents"/>
              <w:bidi w:val="0"/>
              <w:spacing w:before="0" w:after="283"/>
              <w:jc w:val="left"/>
              <w:rPr/>
            </w:pPr>
            <w:r>
              <w:rPr/>
              <w:t> </w:t>
            </w:r>
          </w:p>
        </w:tc>
        <w:tc>
          <w:tcPr>
            <w:tcW w:w="2425"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principal amount of the Note (defined below) into that number of shares of Class A Ordinary Shares to be issued pursuant to the conversion of the Note (“Class A Ordinary Shares”) as set forth below, of NEWGENIVF GROUP LIMITED, a British Virgin Islands corporation (the “Borrower”) according to the conditions of the convertible note of the Borrower dated as of January 22, 2026 (the “Note”), as of the date written below. No fee will be charged to the Holder for any conversion, except for transfer taxes,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Class A Ordinary Shares issuable pursuant to this Notice of Conversion to the account of the undersigned or its nominee with DTC through its Deposit Withdrawal Agent Commission system (“DWAC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Class A Ordinary Shares set forth below (which numbers are based on the Holder’s calculation attached hereto) in the name(s) specified immediately below or, if additional space is necessary, on an attachment hereto:</w:t>
      </w:r>
    </w:p>
    <w:p>
      <w:pPr>
        <w:pStyle w:val="TextBody"/>
        <w:bidi w:val="0"/>
        <w:spacing w:before="0" w:after="0"/>
        <w:ind w:left="720" w:right="0" w:firstLine="720"/>
        <w:jc w:val="both"/>
        <w:rPr>
          <w:caps w:val="false"/>
          <w:smallCaps w:val="false"/>
        </w:rPr>
      </w:pPr>
      <w:r>
        <w:rPr>
          <w:caps w:val="false"/>
          <w:smallCaps w:val="false"/>
        </w:rPr>
        <w:t> </w:t>
      </w:r>
    </w:p>
    <w:tbl>
      <w:tblPr>
        <w:tblW w:w="9290" w:type="dxa"/>
        <w:jc w:val="left"/>
        <w:tblInd w:w="0" w:type="dxa"/>
        <w:tblLayout w:type="fixed"/>
        <w:tblCellMar>
          <w:top w:w="0" w:type="dxa"/>
          <w:left w:w="0" w:type="dxa"/>
          <w:bottom w:w="0" w:type="dxa"/>
          <w:right w:w="0" w:type="dxa"/>
        </w:tblCellMar>
      </w:tblPr>
      <w:tblGrid>
        <w:gridCol w:w="75"/>
        <w:gridCol w:w="9020"/>
        <w:gridCol w:w="195"/>
      </w:tblGrid>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Date of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Applicable Conversion Price:</w:t>
            </w:r>
          </w:p>
        </w:tc>
        <w:tc>
          <w:tcPr>
            <w:tcW w:w="1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pPr>
            <w:r>
              <w:rPr/>
              <w:t>Number of shares of Class A Ordinary Shares to be issued pursuant to conversion of the Notes:</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sz w:val="20"/>
              </w:rPr>
            </w:pPr>
            <w:r>
              <w:rPr>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41" w:name="ea030132501ex10-36.htm"/>
      <w:bookmarkStart w:id="42" w:name="ksea030132501ex1036"/>
      <w:bookmarkEnd w:id="41"/>
      <w:bookmarkEnd w:id="42"/>
      <w:r>
        <w:rPr>
          <w:b/>
        </w:rPr>
        <w:t>Exhibit 10.36</w:t>
      </w:r>
      <w:r>
        <w:br w:type="page"/>
      </w:r>
    </w:p>
    <w:p>
      <w:pPr>
        <w:pStyle w:val="TextBody"/>
        <w:bidi w:val="0"/>
        <w:jc w:val="both"/>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November 12, 2025,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with headquarters located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LABRYS FUND II, L.P.</w:t>
      </w:r>
      <w:r>
        <w:rPr>
          <w:rFonts w:ascii="Times New Roman;Times;Serif" w:hAnsi="Times New Roman;Times;Serif"/>
          <w:b w:val="false"/>
          <w:i w:val="false"/>
          <w:caps w:val="false"/>
          <w:smallCaps w:val="false"/>
          <w:sz w:val="20"/>
        </w:rPr>
        <w:t>, a Delaware limited partnership, with its address at 145 Tremont Street, Suite 201-1408, Boston, MA 02111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Section 4(a)(2) of the Securities Act of 1933, as amended (the “1933 Act”) and Rule 506(b) promulgated by the United States Securities and Exchange Commission (the “SEC”)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desires to purchase from the Company, and the Company desires to issue and sell to the Buyer, upon the terms and conditions set forth in this Agreement, a promissory note of the Company, in the aggregate principal amount of $250,000.00 (as the principal amount thereof may be increased pursuant to the terms thereof, and together with any note(s) issued in replacement thereof or as a dividend thereon or otherwise with respect thereto in accordance with the terms thereof,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“Note”), convertible into Class A ordinary shares of the Company, no par value per share (the “Common Stock”), upon the terms and subject to the limitations and conditions set forth in such Note; and</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the Note as is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agreements and covenants herein contained, and for other good and valuable consideration, the receipt and sufficiency of which is hereby acknowledged, the Company and the Buyer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of Note.</w:t>
      </w:r>
      <w:r>
        <w:rPr>
          <w:rFonts w:ascii="Times New Roman;Times;Serif" w:hAnsi="Times New Roman;Times;Serif"/>
          <w:b w:val="false"/>
          <w:i w:val="false"/>
          <w:caps w:val="false"/>
          <w:smallCaps w:val="false"/>
          <w:sz w:val="20"/>
        </w:rPr>
        <w:t xml:space="preserve"> On the Closing Date (as defined below), the Company shall issue and sell to the Buyer, and the Buyer agrees to purchase from the Company, the Note, as further provided herein. As used in this Agreement, the term “business day” shall mean any day other than a Saturday, Sunday, or a day on which commercial banks in the city of New York, New York are authorized or required by law or executive order to remain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On the Closing Date: (i) the Buyer shall pay the purchase price of $232,500.00 (the “Purchase Price”) for the Note, to be issued and sold to it at the Closing (as defined below), by wire transfer of immediately available funds to the Company, in accordance with the Company’s written wiring instructions, against delivery of the Note, and (ii) the Company shall deliver such duly executed Note on behalf of the Company, to the Buyer, against delivery of such Purchase Price. On the Closing, the Buyer shall withhold (i) $6,000.00 from the Purchase Price to cover the Buyer’s legal fees in connection with the transactions contemplated by this Agreement and (ii) $5,000.00 from the Purchase Price to be paid to Labrys II Management, LLC to cover the Holder’s due diligence costs in connection with the transactions contemplated by this Agreement. On the Closing, the Buyer shall also withhold a sum of $15,000.00 from the Purchase Price to cover the payment of the Company’s fees owed to Enclave Capital LLC, a registered broker-dealer (CRD #22732) (the “Placement Agent”) in connection with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satisfaction (or written waiver) of the conditions thereto set forth in Section 6 and Section 7 below, the date and time of the issuance and sale of the Note pursuant to this Agreement (the “Closing Date”) shall be on the date that the Purchase Price for the Note is paid by Buyer pursuant to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(the “Closing”) shall occur on the Closing Date at such location as may be agreed to by the parties (including via exchange of electronic signatures).</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300" w:right="0" w:firstLine="216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Closing Date, the Buyer is purchasing the Note (the Note and shares of Common Stock issuable upon conversion of or otherwise pursuant to the Note (the “Conversion Shares”) shall collectively be referred to herein as the “Securities”) for its own account and not with a present view towards the public sale or distribution thereof, except pursuant to sales registered or exempted from registration under the 1933 Act; provided, however, that by making the representations herein, the Buyer does not agree to hold any of the Securities for any minimum or other specific term and reserves the right to dispose of the Securities at any time in accordance with or pursuant to a registration statement or an exemption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The Buyer is an “accredited investor” as that term is defined in Rule 501(a) of Regulation D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xml:space="preserve">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Buyer and its advisors, if any, have been, and for so long as the Note remains outstanding will continue to be, furnished with all materials relating to the business, finances and operations of the Company and materials relating to the offer and sale of the Securities which have been requested by the Buyer or its advisors. The Buyer and its advisors, if any, have been, and for so long as the Note remains outstanding will continue to be, afforded the opportunity to ask questions of the Company regarding its business and affairs. Notwithstanding the foregoing, the Company has not disclosed to the Buyer any material nonpublic information regarding the Company or otherwise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xml:space="preserve"> The Buyer understands that no United States federal or state agency or any other government or governmental agency has passed upon or made any recommendation or endorsement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Company, an opinion of counsel (which may be the Legal Counsel Opinion (as defined below)) that shall be in form, substance and scope customary for opinions of counsel in comparable transactions to the effect that the Securities to be sold or transferred may be sold or transferred pursuant to an exemption from such registration, which opinion shall be accepted by the Company,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(d) the Securities are sold pursuant to Rule 144 or other applicable exemption, or (e) the Securities are sold pursuant to Regulation S under the 1933 Act (or a successor rule) (“Regulation S”), and the Buyer shall have delivered to the Company, at the cost of the Company, an opinion of counsel that shall be in form, substance and scope customary for opinions of counsel in corporate transactions, which opinion shall be accepted by the Company; (ii) any sale of such Securities made in reliance on Rule 144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 Notwithstanding the foregoing or anything else contained herein to the contrary, the Securities may be pledged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secured by the Securities, and such pledge of Securities shall not be deemed to be a transfer, sale or assignment of the Securities hereunder, and the Buyer in effecting such pledge of Securities shall not be required to provide the Company with any notice thereof or otherwise make any delivery to the Company pursuant to this Agreement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Buyer understands that until such time as the Note and/or Conversion Shares have been registered under the 1933 Act or may be sold pursuant to Rule 144, Rule 144A under the 1933 Act, Regulation S, or other applicable exemption without any restriction as to the number of securities as of a particular date that can then be immediately sold, the Securities may bear a restrictive legend in substantially the following form (and a stop-transfer order may be placed against transfer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RULE 144A, REGULATION S, OR OTHER APPLICABLE EXEMPTION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or book entry statement for the applicable shares of Common Stock without such legend to the holder of any Security upon which it is stamped or (as requested by such holder) issue the applicable shares of Common Stock to such holder by electronic delivery by crediting the account of such holder’s broker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if, unless otherwise required by applicable state securities laws, (a) such Security is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Buyer provides the Legal Counsel Opinion (as contemplated by and in accordance with Section 4(l) hereof) to the effect that a public sale or transfer of such Security may be made without registration under the 1933 Act, which opinion shall be accepted by the Company so that the sale or transfer is effected. The Company shall be responsible for the fees of its transfer agent and all DTC fees associated with any such issuance. The Buyer agrees to sell all Securities, including those represented by a certificate(s) from which the legend has been removed, in compliance with applicable prospectus delivery requirements, if any. In the event that the Company does not accept the opinion of counsel provided by the Buyer with respect to the transfer of Securities pursuant to an exemption from registration, such as Rule 144, Rule 144A, Regulation S, or other applicable exemption at the Deadline (as defined in the Note),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This Agreement has been duly and validly authorized by the Buyer and has been duly executed and delivered on behalf of the Buyer, and this Agreement constitutes a valid and binding agreement of the Buyer enforceable in accordance with its terms, except as enforcement may be limited by bankruptcy, insolvency, reorganization, moratorium or other similar laws affecting creditors’ rights generally and except as may be limited by the exercise of judicial discretion in applying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represents and warrants to the Buyer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(as defined below), if any, is a corporation duly organized, validly existing and in good standing under the laws of the jurisdiction in which it is incorporated or formed, with full power and authority (corporate and other) to own, lease, use and operate its properties and to carry on its business as and where now owned, leased, used, operated and conducted. The SEC Documents set forth a list of all of the Subsidiaries of the Company and the jurisdiction in which each is incorporated. The Company and each of its Subsidiaries is duly qualified to do business and is in good standing in every jurisdiction in which its ownership or use of property or the nature of the business conducted by it makes such qualification necessary except where the failure to be so qualified or in good standing would not have a Material Adverse Effect.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The Company and Subsidiaries have all requisite corporate power and authority to enter into and perform the Transaction Documents and to consummate the transactions contemplated hereby and thereby and to issue the Securities, in accordance with the terms hereof and thereof. The Company represents and warrants that (i) the execution and delivery of the Transaction Documents, the Note, and Conversion Shares by the Company and the consummation by it of the transactions contemplated hereby and thereby (including without limitation, the issuance of the Note as well as the issuance and reservation for issuance of the Conversion Shares issuable upon conversion of the Note) have been duly authorized by the Company’s Board of Directors and no further consent or authorization of the Company, its Board of Directors, its shareholders, or its debt holders is required, (i) the Transaction Documents (together with any other instruments executed in connection herewith or therewith) have been duly executed and delivered by the Company and Subsidiaries by its authorized representatives, and such authorized representatives are the true and official representative with authority to sign the Transaction Documents and the other instruments documents executed in connection herewith or therewith and bind the Company and Subsidiaries accordingly, and (iii) the Transaction Documents constitute, and upon execution and delivery by the Company and Subsidiaries as applicable, each of such instruments will constitute, a legal, valid and binding obligation of the Company and Subsidiaries, enforceable against the Company and Subsidiaries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Capitalization; Governing Documents.</w:t>
      </w:r>
      <w:r>
        <w:rPr>
          <w:rFonts w:ascii="Times New Roman;Times;Serif" w:hAnsi="Times New Roman;Times;Serif"/>
          <w:b w:val="false"/>
          <w:i w:val="false"/>
          <w:caps w:val="false"/>
          <w:smallCaps w:val="false"/>
          <w:sz w:val="20"/>
        </w:rPr>
        <w:t xml:space="preserve"> As of November 12, 2025, the authorized capital stock of the Company consists of: (i) unlimited authorized shares of Common Stock, of which 5,948,596 shares were issued and outstanding, (ii) unlimited authorized shares of Class B ordinary shares, of which 4,106 shares were issued and outstanding, and (iii) unlimited authorized shares of preferred stock, of which 0 shares were issued and outstanding. All of such outstanding shares of capital stock of the Company and the Conversion Shares are, or upon issuance will be, duly authorized, validly issued, fully paid, as applicable, and non-assessable. No shares of capital stock of the Company are subject to preemptive rights or any other similar rights of the shareholders of the Company or any liens or encumbrances imposed through the actions or failure to act of the Company. As of the effective date of this Agreement, other than as publicly announced prior to such date and reflected in the SEC Documents of the Company (i) there are no outstanding options, warrants, scrip, rights to subscribe for, puts, calls, rights of first refusal, agreements, understandings, claims or other commitments or rights of any character whatsoever relating to, or securities or rights convertible into or exchangeable for any shares of capital stock of the Company or any of its Subsidiaries, or arrangements by which the Company or any of its Subsidiaries is or may become bound to issue additional shares of capital stock of the Company or any of its Subsidiaries, (ii) there are no agreements or arrangements under which the Company or any of its Subsidiaries is obligated to register the sale of any of its or their securities under the 1933 Act and (iii) there are no anti-dilution or price adjustment provisions contained in any security issued by the Company (or in any agreement providing rights to security holders) that will be triggered by the issuance of any of the Securities. The Company has furnished to the Buyer true and correct copies of the Company’s Certificate of Incorporation as in effect on the date hereof (“Certificate of Incorporation”), the Company’s By-laws, as in effect on the date hereof (the “By-laws”), and the terms of all securities convertible into or exercisable for Common Stock of the Company and the material rights of the holders thereof in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Conversion Shares.</w:t>
      </w:r>
      <w:r>
        <w:rPr>
          <w:rFonts w:ascii="Times New Roman;Times;Serif" w:hAnsi="Times New Roman;Times;Serif"/>
          <w:b w:val="false"/>
          <w:i w:val="false"/>
          <w:caps w:val="false"/>
          <w:smallCaps w:val="false"/>
          <w:sz w:val="20"/>
        </w:rPr>
        <w:t xml:space="preserve"> The Conversion Shares are duly authorized and reserved for issuance and, upon conversion of the Note in accordance with its terms, will be validly issued, fully paid, as applicable,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xml:space="preserve"> The Company understands and acknowledges the potentially dilutive effect of the Conversion Shares upon the conversion of the Note to the Common Stock. The Company further acknowledges that its obligation to issue, upon conversion of the Note, the Conversion Shares, are absolute and unconditional regardless of the dilutive effect that such issuance may have on the ownership interests of other shareholders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Documents by the Company and Subsidiaries, and the consummation by the Company and Subsidiaries of the transactions contemplated hereby and thereby (including, without limitation, the issuance and reservation for issuance of the Conversion Shares)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note, evidence of indebtedness,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is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or (iv) trigger any anti-dilution and/or ratchet provision contained in any other contract in which the Company is a party thereto or any security issued by the Company. Neither the Company nor any of its Subsidiaries is in violation of its Certificate of Incorporation, By-laws or other organizational documents and neither the Company nor any of its Subsidiaries is in default (and no event has occurred which with notice or lapse of time or both could put the Company or any of its Subsidiaries in default) under, and neither the Company nor any of its Subsidiaries has taken any action or failed to take any action that would give to others any rights of termination, amendment, acceleration or cancellation of, any agreement, indenture or instrument to which the Company or any of its Subsidiaries is a party or by which any property or assets of the Company or any of its Subsidiaries is bound or affected, except for possible defaults as would not, individually or in the aggregate, have a Material Adverse Effect. The businesses of the Company and its Subsidiaries, if any, are not being conducted, and shall not be conducted so long as the Buyer owns any of the Securities, in violation of any law, ordinance or regulation of any governmental entity. Except as specifically contemplated by this Agreement and as required under the 1933 Act and any applicable state securities laws, the Company is not required to obtain any consent, authorization or order of, or make any filing or registration with, any court, governmental agency, regulatory agency, self-regulatory organization or stock market or any third party in order for it to execute, deliver or perform any of its obligations under this Agreement and the Note in accordance with the terms hereof or thereof or to issue and sell the Note in accordance with the terms hereof and, upon conversion of the Note, issue Conversion Shares. All consents, authorizations, orders, filings and registrations which the Company is required to obtain pursuant to the preceding sentence have been obtained or effected on or prior to the date hereof. The Company is not in violation of the listing requirements of the Principal Market (as defined herein) and does not reasonably anticipate that the Common Stock will be delisted by the Principal Market in the foreseeable future. The Company and its Subsidiaries are unaware of any facts or circumstances which might give rise to any of the foregoing. The “Principal Market” shall mean the principal securities exchange or trading market where such Common Stock is listed or traded, including but not limited to any tier of the OTC Markets, any tier of the NASDAQ Stock Market (including NASDAQ Capital Market), or the NYSE American, or any successor to such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financial statements of the Company included in the SEC Documents, the Company has no liabilities, contingent or otherwise, other than (i) liabilities incurred in the ordinary course of business subsequent to December 31, 2024,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The Company is subject to the reporting requirements of the 1934 Act. The Company has never been a “shell company” as described in Rule 144(i)(1)(i).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2024, there has been no material adverse change and no material adverse development in the assets, liabilities, business, properties, operations, financial condition, results of operations, prospects or 1934 Act reporting status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SEC Documents contain a complete list and summary description of any pending or, to the knowledge of the Company, threatened proceeding against or affecting the Company or any of its Subsidiaries, without regard to whether it would have a Material Adverse Effect. The Company and its Subsidiaries are unaware of any facts or circumstances which might give rise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each of its Subsidiaries owns or possesses the requisite licenses or rights to use all patents, patent applications, patent rights, inventions, know-how, trade secrets, trademarks, trademark applications, service marks, service names, trade names and copyrights (“Intellectual Property”) necessary to enable it to conduct its business as now operated (and, as presently contemplated to be operated in the future); there is no claim or action by any person pertaining to, or proceeding pending, or to the Company’s knowledge threatened, which challenges the right of the Company or of a Subsidiary with respect to any Intellectual Property necessary to enable it to conduct its business as now operated (and, as presently contemplated to be operated in the future); to the best of the Company’s knowledge, the Company’s or its Subsidiaries’ current and intended products, services and processes do not infringe on any Intellectual Property or other rights held by any person; and the Company is unaware of any facts or circumstances which might give rise to any of the foregoing. The Company and each of its Subsidiaries have taken reasonable security measures to protect the secrecy, confidentiality and value of their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Materially Adverse Contracts, Etc.</w:t>
      </w:r>
      <w:r>
        <w:rPr>
          <w:rFonts w:ascii="Times New Roman;Times;Serif" w:hAnsi="Times New Roman;Times;Serif"/>
          <w:b w:val="false"/>
          <w:i w:val="false"/>
          <w:caps w:val="false"/>
          <w:smallCaps w:val="false"/>
          <w:sz w:val="20"/>
        </w:rPr>
        <w:t xml:space="preserve"> Neither the Company nor any of its Subsidiaries is subject to any charter, corporate or other legal restriction, or any judgment, decree, order, rule or regulation which in the judgment of the Company’s officers has or is expected in the future to have a Material Adverse Effect. Neither the Company nor any of its Subsidiaries is a party to any contract or agreement which in the judgment of the Company’s officers has or is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and each of its Subsidiaries has made or filed all federal, state and foreign income and all other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for arm’s length transactions pursuant to which the Company or any of its Subsidiaries makes payments in the ordinary course of business upon terms no less favorable than the Company or any of its Subsidiaries could obtain from third parties and other than the grant of stock options described in the SEC Documents, none of the officers, directors, or employees of the Company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pursuant to Section 2(d) hereof and otherwise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1934 Act are being incorporated into an effective registration statement filed by the Company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xml:space="preserve"> The Company acknowledges and agrees that the Buyer is acting solely in the capacity of arm’s length purchaser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Buyer’s purchase of the Securities. The Company further represents to the Buyer that the Company’s decision to enter into this Agreement has been based solely on the independent evaluation of the Company and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 The issuance of the Securities to the Buyer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No Brokers; No Solicitation.</w:t>
      </w:r>
      <w:r>
        <w:rPr>
          <w:rFonts w:ascii="Times New Roman;Times;Serif" w:hAnsi="Times New Roman;Times;Serif"/>
          <w:b w:val="false"/>
          <w:i w:val="false"/>
          <w:caps w:val="false"/>
          <w:smallCaps w:val="false"/>
          <w:sz w:val="20"/>
        </w:rPr>
        <w:t xml:space="preserve"> Except with respect to the Placement Agent, the Company has taken no action which would give rise to any claim by any person for brokerage commissions, transaction fees or similar payments relating to this Agreement or the transactions contemplated hereby. The Company represents and warrants that neither the Buyer nor its employee(s), member(s), beneficial owner(s), or partner(s) solicited the Company to enter into this Agreement and consummate the transactions described in this Agreement. The Company represents and warrants that neither the Buyer nor its employee(s), member(s), beneficial owner(s), or partner(s) is required to be registered as a broker-dealer under the Securities Exchange Act of 1934 in order to (i) enter into or consummate the transactions encompassed by this Agreement, the Note, and the related transaction documents entered into in connection herewith (the “Transaction Documents”), (ii) fulfill the Buyer’s obligations under the Transaction Documents, or (iii) exercise any of the Buyer’s rights under the Transaction Documents (including but not limited to the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xml:space="preserve">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“Company Permits”),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Since December 31, 2024,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to the Company’s knowledge, with respect to the Company or any of its Subsidiaries or any predecessor of the Company, no past or present violations of Environmental Laws (as defined below), releases of any material into the environment, actions, activities, circumstances, conditions, events, incidents, or contractual obligations which may give rise to any common law environmental liability or any liability under the Comprehensive Environmental Response, Compensation and Liability Act of 1980 or similar federal, state, local or foreign laws and neither the Company nor any of its Subsidiaries has received any notice with respect to any of the foregoing, nor is any action pending or, to the Company’s knowledge, threatened in connection with any of the foregoing.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those that are or were stored, used or disposed of in compliance with applicable law, no Hazardous Materials are contained on or about any real property currently owned, leased or used by the Company or any of its Subsidiaries, and no Hazardous Materials were released on or about any real property previously owned, leased or used by the Company or any of its Subsidiaries during the period the property was owned, leased or used by the Company or any of its Subsidiaries, except in the normal course of the Company’s or any of its Subsidiaries’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underground storage tanks on or under any real property owned, leased or used by the Company or any of its Subsidiaries that are not in compliance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xml:space="preserv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Upon written request the Company will provide to the Buyer true and correct copies of all policies relating to directors’ and officers’ liability coverage, errors and omissions coverage, and commercial general liability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of its Subsidiaries, nor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The Company (after giving effect to the transactions contemplated by this Agreement) is solvent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its assets have a fair market value in excess of the amount required to pay its probable liabilities on its existing debts as they become absolute and matured) and currently the Company has no information that would lead it to reasonably conclude that the Company would not, after giving effect to the transaction contemplated by this Agreement, have the ability to, nor does it intend to take any action that would impair its ability to, pay its debts from time to time incurred in connection therewith as such debts mature. The Company’s financial statements for its most recent fiscal year end and interim financial statements have been prepared assuming the Company will continue as a going concern, which contemplates the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xml:space="preserve">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or that could reasonably be expected to cause or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Illegal or Unauthorized Payments; Political Contributions</w:t>
      </w:r>
      <w:r>
        <w:rPr>
          <w:rFonts w:ascii="Times New Roman;Times;Serif" w:hAnsi="Times New Roman;Times;Serif"/>
          <w:b w:val="false"/>
          <w:i w:val="false"/>
          <w:caps w:val="false"/>
          <w:smallCaps w:val="false"/>
          <w:sz w:val="20"/>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The Company agrees that if the Company breaches any of the representations or warranties set forth in this Section 3 and in addition to any other remedies available to the Buyer pursuant to this Agreement, it will be considered an Event of Default under Section 3.4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COVENANTS, AGREEMENTS AND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xml:space="preserve"> The parties shall use their best efforts to satisfy timely each of the conditions described in Section 6 and 7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The Company agrees to file a Form D with respect to the Securities if required under Regulation D and to provide a copy thereof to the Buyer promptly after such filing. The Company shall, on or before the Closing Date, take such action as the Company shall reasonably determine is necessary to qualify the Securities for sale to the Buyer at the applicable closing pursuant to this Agreement under applicable securities or “blue sky” laws of the states of the United States (or to obtain an exemption from such qualification), and shall provide evidence of any such action so taken to the Buyer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Purchase Price for business development and general working capital, and not for any other purpose, including but not limited to (i) the repayment of any indebtedness owed to officers, directors or employees of the Company or their affiliates, (ii) the repayment of any debt issued in corporate finance transactions (including but not limited to promissory notes that have the ability to be converted into Common Stock), (iii) any loan to or investment in any other corporation, partnership, enterprise or other person (except in connection with the Company’s currently existing operations), (iv) any loan, credit, or advance to any officers, directors, employees, or affiliates of the Company, or (v) in violation or contravention of any applicable law, rule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Buyer in order to enforce any right or remedy under this Agreement, the Note and any document, agreement or instrument contemplated thereby. Notwithstanding any provision to the contrary contained in this Agreement, the Note and any document, agreement or instrument contemplated thereby, it is expressly agreed and provided that the total liability of the Company under this Agreement, the Note or any document, agreement or instrument contemplated thereby for payments which under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applicable law in the nature of interest that the Company may be obligated to pay under this Agreement, the Note and any document, agreement or instrument contemplated thereby exceed such Maximum Rate. It is agreed that if the maximum contract rate of interest allowed by law applicable to this Agreement, the Note and any document, agreement or instrument contemplated thereby is increased or decreased by statute or any official governmental action subsequent to the date hereof, the new maximum contract rate of interest allowed by law will be the Maximum Rate applicable to this Agreement, the Note and any document, agreement or instrument contemplated thereby from the effective date thereof forward, unless such application is precluded by applicable law. If under any circumstances whatsoever, interest in excess of the Maximum Rate is paid by the Company to the Buyer with respect to indebtedness evidenced by this Agreement, the Note and any document, agreement or instrument contemplated thereby, such excess shall be applied by the Buyer to the unpaid principal balance of any such indebtedness or be refunded to the Company, the manner of handling such excess to be at the Buyer’s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 on Activities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Buyer’s prior written consent, which consent shall not be unreasonably withheld: (a) change the nature of its business; or (b) sell, divest, acquire, change the structure of any material assets other than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will, so long as the Buyer owns any of the Securities, maintain the listing and trading of its Common Stock on the Principal Market or any equivalent replacement exchange or electronic quotation system (including but not limited to the Pink Sheets electronic quotation system)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from the Principal Market and any other exchanges or electronic quotation systems on which the Common Stock is then traded regarding the continued eligibility of the Common Stock for listing on such exchanges and quotation systems if requested in writing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The Company will, so long as the Buyer beneficially owns any of the Securities, maintain its corporate existence and shall not sell all or substantially all of the Company’s assets, except in the event of a merger or consolidation or sale of all or substantially all of the Company’s assets, where the surviving or successor entity in such transaction (i) assumes the Company’s obligations hereunder and under the agreements and instruments entered into in connection herewith and (ii) is a publicly traded corporation whose Common Stock is listed for trading or quotation on the Principal Market, any tier of the NASDAQ Stock Market, the New York Stock Exchange or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xml:space="preserve">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Compliance with 1934 Act; Public Information Failures.</w:t>
      </w:r>
      <w:r>
        <w:rPr>
          <w:rFonts w:ascii="Times New Roman;Times;Serif" w:hAnsi="Times New Roman;Times;Serif"/>
          <w:b w:val="false"/>
          <w:i w:val="false"/>
          <w:caps w:val="false"/>
          <w:smallCaps w:val="false"/>
          <w:sz w:val="20"/>
        </w:rPr>
        <w:t xml:space="preserve"> For so long as the Buyer beneficially owns the Note or any Conversion Shares, the Company shall comply with the reporting requirements of the 1934 Act; and the Company shall continue to be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Legal Counsel Opinions</w:t>
      </w:r>
      <w:r>
        <w:rPr>
          <w:rFonts w:ascii="Times New Roman;Times;Serif" w:hAnsi="Times New Roman;Times;Serif"/>
          <w:b w:val="false"/>
          <w:i w:val="false"/>
          <w:caps w:val="false"/>
          <w:smallCaps w:val="false"/>
          <w:sz w:val="20"/>
        </w:rPr>
        <w:t>. Upon the request of the Buyer from to time to time, the Company shall be responsible (at its cost) for promptly supplying to the Company’s transfer agent and the Buyer a customary legal opinion letter of its counsel (the “Legal Counsel Opinion”) to the effect that the resale of the Conversion Shares by the Buyer or its affiliates, successors and assigns is exempt from the registration requirements of the 1933 Act pursuant to Rule 144 (provided the requirements of Rule 144 are satisfied and provided the Conversion Shares are not then registered under the 1933 Act for resale pursuant to an effective registration statement) or other applicable exemption (provided the requirements of such other applicable exemption are satisfied). In addition, the Buyer may (at the Company’s cost) at any time secure its own legal counsel to issue the Legal Counsel Opinion, and the Company will instruct its transfer agent to accept such opinion. The Company hereby agrees that it may never take the position that it is a “shell company” in connection with its obligations under this Agreement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neither it, nor any other person acting on its behalf will provide the Buyer or its agents or counsel with any information that constitutes, or the Company reasonably believes constitutes, material non-public information, unless prior thereto the Buyer shall have consented to the receipt of such information and agreed with the Company to keep such information confidential. The Company understands and confirms that the Buyer shall be relying on the foregoing covenant in effecting transactions in securities of the Company. To the extent that the Company delivers any material, non-public information to the Buyer without such Buyer’s consent, the Company hereby covenants and agrees that such Buyer shall not have any duty of confidentiality to the Company, any of its Subsidiaries, or any of their respective officers, directors, agents, employees or affiliates, not to trade on the basis of, such material, non- public information, provided that the Buyer shall remain subject to applicable law. To the extent that any notice provided, information provided, or any other communications made by the Company, to the Buyer, constitutes or contains material non-public information regarding the Company or any Subsidiaries, the Company shall simultaneously file such notice or other material information with the SEC pursuant to a Current Report on Form 8-K. In addition to any other remedies provided by this Agreement or the related transaction documents, if the Company provides any material non-public information to the Buyer without their prior written consent, and it fails to immediately (no later than that business day) file a Form 8-K disclosing this material non-public information, it shall pay the Buyer as partial liquidated damages and not as a penalty a sum equal to $3,000 per day beginning with the day the information is disclosed to the Buyer and ending and including the day the Form 8-K disclosing this information is filed.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Buyer is currently, or ever has been, a broker-dealer under the Securities Exchange Act of 1934.</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xml:space="preserve"> The Company acknowledges and agrees that if the Company breaches any of the covenants set forth in this Section 4, in addition to any other remedies available to the Buyer pursuant to this Agreement, it will be considered an Event of Default under Section 3.3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issue irrevocable instructions to the Company’s transfer agent to issue certificates and/or issue shares electronically at the Buyer’s option, registered in the name of the Buyer or its nominee, upon conversion of the Note, the Conversion Shares, in such amounts as specified from time to time by the Buyer to the Company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reserved shares of Common Stock in the Reserved Amount (as defined in the Note)) signed by the successor transfer agent to the Company and the Company. Prior to registration of the Conversion Shares under the 1933 Act or the date on which the Conversion Shares may be sold pursuant to Rule 144, Rule 144A, Regulation S, or other applicable exemption without any restriction as to the number of Securities as of a particular date that can then be immediately sold, all such certificates or book entry shares shall bear the restrictive legend specified in Section 2(g)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Securities to be issued to the Buyer upon conversion of or otherwise pursuant to the Note as and when required by the Note and this Agreement; (iii) it will not fail to remove (or directs its transfer agent not to remove or impairs, delays, and/or hinders its transfer agent from removing) any restrictive legend (or to withdraw any stop transfer instructions in respect thereof) on any certificate for any Securities issued to the Buyer upon conversion of or otherwise pursuant to the Note as and when required by the Note and/or this Agreement and (iv) it will provide any required corporate resolutions and issuance approvals to its transfer agent within 6 hours of each conversion of the Note. Nothing in this Section shall affect in any way the Buyer’s obligations and agreement set forth in Section 2(g) hereof to comply with all applicable prospectus delivery requirements, if any, upon re-sale of the Securities. If the Buyer provides the Company, at the cost of the Company, with (i) an opinion of counsel in form, substance and scope customary for opinions in comparable transactions, to the effect that a public sale or transfer of such Securities may be made without registration under the 1933 Act and such sale or transfer is effected or (ii) the Buyer provides reasonable assurances that the Securities can be sold pursuant to 144, Rule 144A, Regulation S, or other applicable exemption, the Company shall permit the transfer, and, in the case of the Securities, promptly instruct its transfer agent to issue one or more certificates, free from restrictive legend, in such name and in such denominations as specified by the Buyer.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xml:space="preserve"> The obligation of the Company hereunder to issue and sell the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have executed the Transaction Documents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Buyer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Buyer shall have delivered to the Company all information reasonably necessary and requested by the Company to comply with applicable federal and state securities laws in connection with the Agreement, which shall include, but not be limited to, the Buyer’s principal place of residence or domicile for tax and securities law purposes and sufficient information to verify the Buyer’s status as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Conditions to The Buyer’s Obligation to Purchase.</w:t>
      </w:r>
      <w:r>
        <w:rPr>
          <w:rFonts w:ascii="Times New Roman;Times;Serif" w:hAnsi="Times New Roman;Times;Serif"/>
          <w:b w:val="false"/>
          <w:i w:val="false"/>
          <w:caps w:val="false"/>
          <w:smallCaps w:val="false"/>
          <w:sz w:val="20"/>
        </w:rPr>
        <w:t xml:space="preserve"> The obligation of the Buyer hereunder to purchase the Note, on the Closing Date, is subject to the satisfaction, at or before the Closing Date, of each of the following conditions, provided that these conditions are for the Buyer’s sole benefit and may be waived by the Buyer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Subsidiaries, as applicable, shall have executed the Transaction Documents and delivered the same to the Buyer.</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Buyer the duly executed Note in such denominations as the Buyer shall request and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Buyer, shall have been delivered to and acknowledged in writing by the Company’s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Trading in the Common Stock on the Principal Market shall not have been suspended by the SEC, FINRA or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Buyer (i) a certificate evidencing the formation and good standing of the Company in such entity’s jurisdiction of formation issued by the Secretary of State (or comparable office) of such jurisdiction, as of a date within ten (10) days of the Closing Date and (ii) resolutions adopted by the Company’s Board of Directors at a duly called meeting or by unanimous written consent authorizing this Agreement and all other documents, instruments and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Arbitration of Claims; Governing Law; Venue</w:t>
      </w:r>
      <w:r>
        <w:rPr>
          <w:rFonts w:ascii="Times New Roman;Times;Serif" w:hAnsi="Times New Roman;Times;Serif"/>
          <w:b w:val="false"/>
          <w:i w:val="false"/>
          <w:caps w:val="false"/>
          <w:smallCaps w:val="false"/>
          <w:sz w:val="20"/>
        </w:rPr>
        <w:t xml:space="preserve">. The Company and Buyer shall submit all Claims (as defined in Exhibit B of this Purchase Agreement) (the “Claims”) arising under this Agreement or any other agreement between the Company and Buyer or their respective affiliates (including but not limited to the Transaction Documents) or any Claim relating to the relationship of the Company and Buyer or their respective affiliates to binding arbitration pursuant to the arbitration provisions set forth in Exhibit B of the Purchase Agreement (the “Arbitration Provisions”). The Company and Buyer hereby acknowledge and agree that the Arbitration Provisions are unconditionally binding on the Company and Buyer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Buyer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Buyer consent to and expressly agree that the exclusive venue for arbitration of any Claims arising under this Agreement or any other agreement between the Company and Buyer or their respective affiliates (including but not limited to the Transaction Documents) or any Claim relating to the relationship of the Company and Buyer or their respective affiliates shall be in the Commonwealth of Massachusetts. Without modifying the Company’s and Buyer’s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or otherwise related to Buyer in any way (specifically including, without limitation, any action where Company seeks to obtain an injunction, temporary restraining order, or otherwise prohibit the Company’s transfer agent from issuing shares of Common Stock to Buyer for any reason)), each party hereto hereby (i) consents to and expressly submits to the exclusive personal jurisdiction of any state or federal court sitting in the Commonwealth of Massachusetts,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Buyer for any reason) outside of any state or federal court sitting in the Commonwealth of Massachusetts,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Buyer to realize on any collateral or any other security, or to enforce a judgment or other court ruling in favor of the Buyer,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but all of which shall constitute one and the same agreement and shall become effective when counterparts have been signed by each party and delivered to the other party. A facsimile or .pdf signature shall be considered due execution and shall be binding upon the signatory thereto with the same force and effect as if the signature were an original, not a facsimile or .pdf signature. Delivery of a counterpart signature hereto by facsimile or email/.pdf transmission shall be deemed validly delivery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xml:space="preserve"> This Agreement shall be deemed to be jointly drafted by the Company and the Buyer and shall not be construed against any person as the drafter hereof.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Agreement, the Note, or any other agreement or instrument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Agreement, the Note, or any other agreement, certificate, instrument or document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the Note,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or any agreement or instrument contemplated hereby may be waived or amended other than by an instrument in writing signed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29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LABRYS FUND II, L.P.</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Tremont Street, Suite 201-1408</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admin@labrysii.com</w:t>
      </w:r>
    </w:p>
    <w:p>
      <w:pPr>
        <w:pStyle w:val="TextBody"/>
        <w:bidi w:val="0"/>
        <w:spacing w:before="0" w:after="0"/>
        <w:ind w:left="1308" w:right="0" w:hanging="0"/>
        <w:jc w:val="both"/>
        <w:rPr>
          <w:caps w:val="false"/>
          <w:smallCaps w:val="false"/>
        </w:rPr>
      </w:pPr>
      <w:r>
        <w:rPr>
          <w:caps w:val="false"/>
          <w:smallCaps w:val="false"/>
        </w:rPr>
        <w:t> </w:t>
      </w:r>
    </w:p>
    <w:p>
      <w:pPr>
        <w:pStyle w:val="TextBody"/>
        <w:bidi w:val="0"/>
        <w:spacing w:before="0" w:after="0"/>
        <w:ind w:left="1308"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1308"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assigns. The Company shall not assign this Agreement or any rights or obligations hereunder without the prior written consent of the Buyer. The Buyer may assign its rights hereunder to any “accredited investor” (as defined in Rule 501(a) of the 1933 Act) in a private transaction from the Buyer or to any of its “affiliates,” as that term is defined under the 1934 Act, without the consent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The Company, and the Buyer shall have the right to review a reasonable period of time before issuance of any press releases, SEC, Principal Market or FINRA filings, or any other public statements with respect to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without the prior approval of the Buyer, to make any press release or SEC, Principal Market (or other applicable trading market) or FINRA filings with respect to such transactions as is required by applicable law and regulations (although the Buyer shall be consulted by the Company in connection with any such press release prior to its release and shall be provided with a copy thereof and be given an opportunity to comment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xml:space="preserve">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Buyer’s execution and delivery of this Agreement and acquiring the Securities hereunder, and in addition to all of the Company’s other obligations under this Agreement or the Note, the Company shall defend, protect, indemnify and hold harmless the Buyer and its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the Note or any other agreement, certificate, instrument or document contemplated hereby or thereby, (b) any breach of any covenant, agreement or obligation of the Company contained in this Agreement, the Note or any other agreement,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this Agreement, the Note or any other agreement, certificate, instrument or document contemplated hereby or thereby, (ii) any transaction financed or to be financed in whole or in part, directly or indirectly, with the proceeds of the issuance of the Securities, or (iii) the status of the Buyer or holder of the Securities as an investor in the Company pursuant to the transactions contemplated by this Agreement. To the extent that the foregoing undertaking by the Company may be unenforceable for any reason, the Company shall make the maximum contribution to the payment and satisfaction of each of the Indemnified Liabilities that is permissible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the Note, or any other agreement, certificate, instrument or document contemplated hereby or thereby will be inadequate and agrees, in the event of a breach or threatened breach by the Company of the provisions of this Agreement, the Note, or any other agreement, certificate, instrument or document contemplated hereby or thereby, that the Buyer shall be entitled, in addition to all other available remedies at law or in equity, and in addition to the penalties assessable herein, to an injunction or injunctions restraining, preventing or curing any breach of this Agreement, the Note, or any other agreement, certificate, instrument or document contemplated hereby or thereby, and to enforce specifically the terms and provisions hereof and thereof,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(i) Company makes a payment or payments to the Buyer hereunder, pursuant to the Note or pursuant to any other agreement, certificate, instrument or document contemplated hereby or thereby, or (ii) the Buyer enforces or exercises its rights hereunder or pursuant to the Note, or pursuant to any other agreement, certificate, instrument or document contemplated hereby or thereby,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Buyer,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Buyer a dollar amount equal to the amount that was for any reason (i) subsequently invalidated, declared to be fraudulent or preferential, set aside, recovered from, or disgorged by the Buyer,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Buyer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Buyer existing hereunder are cumulative to, and not exclusive of, any rights or remedies otherwise available.</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35"/>
        <w:gridCol w:w="545"/>
        <w:gridCol w:w="2543"/>
        <w:gridCol w:w="75"/>
      </w:tblGrid>
      <w:tr>
        <w:trPr/>
        <w:tc>
          <w:tcPr>
            <w:tcW w:w="3423" w:type="dxa"/>
            <w:gridSpan w:val="3"/>
            <w:tcBorders/>
            <w:vAlign w:val="center"/>
          </w:tcPr>
          <w:p>
            <w:pPr>
              <w:pStyle w:val="TableContents"/>
              <w:bidi w:val="0"/>
              <w:spacing w:before="0" w:after="283"/>
              <w:jc w:val="both"/>
              <w:rPr>
                <w:b/>
                <w:caps/>
                <w:sz w:val="20"/>
              </w:rPr>
            </w:pPr>
            <w:r>
              <w:rPr>
                <w:b/>
                <w:caps/>
                <w:sz w:val="20"/>
              </w:rPr>
              <w:t>NewGenIvf Group Limited</w:t>
            </w:r>
          </w:p>
        </w:tc>
        <w:tc>
          <w:tcPr>
            <w:tcW w:w="75" w:type="dxa"/>
            <w:tcBorders/>
            <w:vAlign w:val="center"/>
          </w:tcPr>
          <w:p>
            <w:pPr>
              <w:pStyle w:val="TableContents"/>
              <w:bidi w:val="0"/>
              <w:spacing w:before="0" w:after="283"/>
              <w:jc w:val="both"/>
              <w:rPr/>
            </w:pPr>
            <w:r>
              <w:rPr/>
              <w:t> </w:t>
            </w:r>
          </w:p>
        </w:tc>
      </w:tr>
      <w:tr>
        <w:trPr/>
        <w:tc>
          <w:tcPr>
            <w:tcW w:w="3423" w:type="dxa"/>
            <w:gridSpan w:val="3"/>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088" w:type="dxa"/>
            <w:gridSpan w:val="2"/>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5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WING FUNG ALFRED SIU</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5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both"/>
              <w:rPr/>
            </w:pPr>
            <w:r>
              <w:rPr/>
              <w:t> </w:t>
            </w:r>
          </w:p>
        </w:tc>
      </w:tr>
      <w:tr>
        <w:trPr/>
        <w:tc>
          <w:tcPr>
            <w:tcW w:w="3423" w:type="dxa"/>
            <w:gridSpan w:val="3"/>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423"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LABRYS FUND II, L.P.</w:t>
            </w:r>
          </w:p>
        </w:tc>
        <w:tc>
          <w:tcPr>
            <w:tcW w:w="75" w:type="dxa"/>
            <w:tcBorders/>
            <w:vAlign w:val="center"/>
          </w:tcPr>
          <w:p>
            <w:pPr>
              <w:pStyle w:val="TableContents"/>
              <w:bidi w:val="0"/>
              <w:spacing w:before="0" w:after="283"/>
              <w:jc w:val="both"/>
              <w:rPr/>
            </w:pPr>
            <w:r>
              <w:rPr/>
              <w:t> </w:t>
            </w:r>
          </w:p>
        </w:tc>
      </w:tr>
      <w:tr>
        <w:trPr/>
        <w:tc>
          <w:tcPr>
            <w:tcW w:w="3423" w:type="dxa"/>
            <w:gridSpan w:val="3"/>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423"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Labrys II GP, LLC, its General Partner</w:t>
            </w:r>
          </w:p>
        </w:tc>
        <w:tc>
          <w:tcPr>
            <w:tcW w:w="75" w:type="dxa"/>
            <w:tcBorders/>
            <w:vAlign w:val="center"/>
          </w:tcPr>
          <w:p>
            <w:pPr>
              <w:pStyle w:val="TableContents"/>
              <w:bidi w:val="0"/>
              <w:spacing w:before="0" w:after="283"/>
              <w:jc w:val="both"/>
              <w:rPr/>
            </w:pPr>
            <w:r>
              <w:rPr/>
              <w:t> </w:t>
            </w:r>
          </w:p>
        </w:tc>
      </w:tr>
      <w:tr>
        <w:trPr/>
        <w:tc>
          <w:tcPr>
            <w:tcW w:w="3423" w:type="dxa"/>
            <w:gridSpan w:val="3"/>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088" w:type="dxa"/>
            <w:gridSpan w:val="2"/>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5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THOMAS SILVERMAN</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OR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3980"/>
        <w:gridCol w:w="2645"/>
      </w:tblGrid>
      <w:tr>
        <w:trPr/>
        <w:tc>
          <w:tcPr>
            <w:tcW w:w="3980" w:type="dxa"/>
            <w:tcBorders/>
            <w:vAlign w:val="center"/>
          </w:tcPr>
          <w:p>
            <w:pPr>
              <w:pStyle w:val="TableContents"/>
              <w:bidi w:val="0"/>
              <w:spacing w:before="0" w:after="283"/>
              <w:jc w:val="both"/>
              <w:rPr>
                <w:b/>
                <w:sz w:val="20"/>
              </w:rPr>
            </w:pPr>
            <w:r>
              <w:rPr>
                <w:b/>
                <w:sz w:val="20"/>
              </w:rPr>
              <w:t>Principal Amount: $250,000.00</w:t>
            </w:r>
          </w:p>
        </w:tc>
        <w:tc>
          <w:tcPr>
            <w:tcW w:w="2645" w:type="dxa"/>
            <w:tcBorders/>
            <w:vAlign w:val="center"/>
          </w:tcPr>
          <w:p>
            <w:pPr>
              <w:pStyle w:val="TableContents"/>
              <w:bidi w:val="0"/>
              <w:spacing w:before="0" w:after="283"/>
              <w:jc w:val="right"/>
              <w:rPr>
                <w:b/>
                <w:sz w:val="20"/>
              </w:rPr>
            </w:pPr>
            <w:r>
              <w:rPr>
                <w:b/>
                <w:sz w:val="20"/>
              </w:rPr>
              <w:t>Issue Date: November 12, 2025</w:t>
            </w:r>
          </w:p>
        </w:tc>
      </w:tr>
      <w:tr>
        <w:trPr/>
        <w:tc>
          <w:tcPr>
            <w:tcW w:w="3980" w:type="dxa"/>
            <w:tcBorders/>
            <w:vAlign w:val="center"/>
          </w:tcPr>
          <w:p>
            <w:pPr>
              <w:pStyle w:val="TableContents"/>
              <w:bidi w:val="0"/>
              <w:spacing w:before="0" w:after="283"/>
              <w:jc w:val="both"/>
              <w:rPr>
                <w:b/>
                <w:sz w:val="20"/>
              </w:rPr>
            </w:pPr>
            <w:r>
              <w:rPr>
                <w:b/>
                <w:sz w:val="20"/>
              </w:rPr>
              <w:t>Actual Amount of Purchase Price: $232,500.00</w:t>
            </w:r>
          </w:p>
        </w:tc>
        <w:tc>
          <w:tcPr>
            <w:tcW w:w="2645" w:type="dxa"/>
            <w:tcBorders/>
            <w:vAlign w:val="center"/>
          </w:tcPr>
          <w:p>
            <w:pPr>
              <w:pStyle w:val="TableContents"/>
              <w:bidi w:val="0"/>
              <w:spacing w:before="0" w:after="283"/>
              <w:jc w:val="both"/>
              <w:rPr/>
            </w:pPr>
            <w:r>
              <w:rPr/>
              <w:t> </w:t>
            </w:r>
          </w:p>
        </w:tc>
      </w:tr>
    </w:tbl>
    <w:p>
      <w:pPr>
        <w:pStyle w:val="TextBody"/>
        <w:bidi w:val="0"/>
        <w:spacing w:before="0" w:after="0"/>
        <w:ind w:left="2486"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(hereinafter called the “Borrower” or the “Company”), hereby promises to pay to the order of </w:t>
      </w:r>
      <w:r>
        <w:rPr>
          <w:rFonts w:ascii="Times New Roman;Times;Serif" w:hAnsi="Times New Roman;Times;Serif"/>
          <w:b/>
          <w:i w:val="false"/>
          <w:caps w:val="false"/>
          <w:smallCaps w:val="false"/>
          <w:sz w:val="20"/>
        </w:rPr>
        <w:t>LABRYS FUND II, L.P.</w:t>
      </w:r>
      <w:r>
        <w:rPr>
          <w:rFonts w:ascii="Times New Roman;Times;Serif" w:hAnsi="Times New Roman;Times;Serif"/>
          <w:b w:val="false"/>
          <w:i w:val="false"/>
          <w:caps w:val="false"/>
          <w:smallCaps w:val="false"/>
          <w:sz w:val="20"/>
        </w:rPr>
        <w:t>, a Delaware limited partnership, or registered assigns (the “Holder”), in the form of lawful money of the United States of America, the principal sum of $250,000.00 (the “Principal Amount”) (subject to adjustment herein), which includes the purchase price of $232,500.00 plus an original issue discount in the amount of $17,500.00 (the “OID”), and to pay a one-time interest charge on the Principal Amount hereof at the rate of ten percent (10%) (the “Interest Rate”) (which is equal to $25,000.00 and shall be guaranteed and earned in full as of the date hereof (the “Issue Date”)), when such amounts become due and payable, whether at maturity or upon acceleration or by prepayment or otherwise, as further provided herein. The maturity date shall be twelve (12) months from the Issue Date (the “Maturity Date”), and is the date upon which the Principal Amount (which includes the OID) and any accrued and unpaid interest and other fees, shall be due and payable (in addition to all payment obligations under Section 4.14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prepaid or repaid in whole or in part except as otherwise explicitly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Principal Amount or interest on this Note which is not paid when due shall bear interest at the rate of the lesser of (i) twenty-two percent (22%) per annum and (ii) the maximum amount permitted by law from the due date thereof until the same is paid (“Default Interest”). Interest and Default Interest shall be computed on the basis of a 365-day year and the actual number of days elapsed.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(to the extent not converted into Class A ordinary shares of the Borrower, no par value per share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herein, and not otherwise defined, shall have the meaning ascribed thereto in that certain Securities Purchase Agreement, dated as of the Issue Date, pursuant to which this Note was originally issued (the “Purchase Agreement”). As used in this Note, the term “business day” shall mean any day other than a Saturday, Sunday or a day on which commercial banks in the city of New York, New York are authorized or required by law or executive order to remain closed. As used herein, the term “Trading Day” means any day that shares of Common Stock are listed for trading or quotation on the Principal Market (as defined in the Purchase Agreement), provided, however, that if the Common Stock is not then listed or quoted on any Principal Market, then any calendar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also apply to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pPr>
      <w:r>
        <w:rPr/>
        <w:t xml:space="preserve">1.1 </w:t>
      </w:r>
      <w:r>
        <w:rPr>
          <w:u w:val="single"/>
        </w:rPr>
        <w:t>Conversion Right.</w:t>
      </w:r>
      <w:r>
        <w:rPr/>
        <w:t xml:space="preserve"> The Holder shall have the right, on any calendar day, at any time on or following the date that is one hundred eighty (180) calendar days after the Issue Date, to convert all or any portion of the then outstanding and unpaid Principal Amount and interest (including any Default Interest)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determined as provided herein (a “Conversion”), by submitting to the Borrower a Notice of Conversion (as defined in this Note) by facsimile, e-mail or other reasonable means of communication dispatched on the Conversion Date (as defined in this Note) prior to 11:59 p.m., New York, New York time; </w:t>
      </w:r>
      <w:r>
        <w:rPr>
          <w:i/>
        </w:rPr>
        <w:t>provided, however</w:t>
      </w:r>
      <w:r>
        <w:rPr/>
        <w:t xml:space="preserve">, that notwithstanding anything to the contrary contained herein, the Holder shall not have the right to convert any portion of this Note, pursuant to Section 1 or otherwise, to the extent that after giving effect to such issuance after conversion as set forth on the applicable Notice of Conversion, the Holder (together with the Holder’s affiliates (the “Affiliates”), and any other Persons (as defined below)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nonconverted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Securities Exchange Act of 1934, as amended (the “1934 Act”) and the rules and regulations promulgated thereunder, it being acknowledged by the Holder that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Section 1.1,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“Beneficial Ownership Limitation” shall be 4.99% of the number of shares of the Common Stock outstanding at the time of the respective calculation hereunder, provided, however, that the Holder may from time to time increase or decrease the Beneficial Ownership Limitation to any other percentage not in excess of 9.99% by delivering written notice of such to the Company, with such increase or decrease not effective until the sixty-first (61st) day after delivery of such written notice. “Person” and “Persons” means an individual, a limited liability company, a partnership, a joint venture, a corporation, a trust, an unincorporated organization, any other entity and any governmental entity or any department or agency thereof. The limitations contained in this paragraph shall apply to a successor holder of this Note. The number of Conversion Shares to be issued upon each conversion of this Note shall be determined by dividing the Conversion Amount (as defined below) by the applicable Conversion Price then in effect on the date specified in the notice of conversion, in the form attached hereto as </w:t>
      </w:r>
      <w:r>
        <w:rPr>
          <w:u w:val="single"/>
        </w:rPr>
        <w:t>Exhibit A</w:t>
      </w:r>
      <w:r>
        <w:rPr/>
        <w:t xml:space="preserve"> (the “Notice of Conversion”), delivered to the Borrower by the Holder in accordance with the terms of this Note; provided that the Notice of Conversion is submitted by facsimile or e-mail (or by other means resulting in, or reasonably expected to result in, notice) to the Borrower before 11:59 p.m., New York, New York time on such conversion date (the “Conversion Date”). The term “Conversion Amount” means, with respect to any conversion of this Note, the sum of (1) the Principal Amount of this Note to be converted in such conversion </w:t>
      </w:r>
      <w:r>
        <w:rPr>
          <w:u w:val="single"/>
        </w:rPr>
        <w:t>plus</w:t>
      </w:r>
      <w:r>
        <w:rPr/>
        <w:t xml:space="preserve"> (2) at the Holder’s option, accrued and unpaid interest, if any, on such Principal Amount at the Interest Rate to the Conversion Date, </w:t>
      </w:r>
      <w:r>
        <w:rPr>
          <w:u w:val="single"/>
        </w:rPr>
        <w:t>plus</w:t>
      </w:r>
      <w:r>
        <w:rPr/>
        <w:t xml:space="preserve"> (3) at the Holder’s option, Default Interest, if any, on the amounts referred to in the immediately preceding clauses (1) and/or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Calculation of Conversion Price.</w:t>
      </w:r>
      <w:r>
        <w:rPr>
          <w:rFonts w:ascii="Times New Roman;Times;Serif" w:hAnsi="Times New Roman;Times;Serif"/>
          <w:b w:val="false"/>
          <w:i w:val="false"/>
          <w:caps w:val="false"/>
          <w:smallCaps w:val="false"/>
          <w:sz w:val="20"/>
        </w:rPr>
        <w:t xml:space="preserve"> The per share conversion price into which Principal Amount and interest (including any Default Interest) under this Note shall be convertible into shares of Common Stock hereunder as further described in this Note (the “Conversion Price”) shall equal the Market Price (as defined in this Note), subject to adjustment as provided in this Note. “Market Price” shall mean 85% of the lowest traded price of the Common Stock on the Principal Market during the ten (10) Trading Day period immediately preceding the respective Conversion Date.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“Additional Principal”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Holder shall be entitled to deduct $750.00 from the conversion amount of not less than $50,000 in each Notice of Conversion to cover Holder’s fees associated with each Notice of Conversion. All such Conversion Price determinations are to be appropriately adjusted for any stock dividend, stock split, stock combination, rights offerings, reclassification or similar transaction that proportionately decreases or increases the Common Stock. If the Company, at any time while this Note is outstanding: (i) pays a stock dividend or otherwise makes a distribution or distributions payable in shares of Common Stock on shares of Common Stock or any Common Stock Equivalents,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Price shall be multiplied by a fraction of which the numerator shall be the number of shares of Common Stock (excluding any treasury shares of the Company) outstanding immediately before such event, and of which the denominator shall be the number of shares of Common Stock outstanding immediately after such event. Any adjustment made pursuant to the immediately preceding sentence shall become effective immediately after the record date for the determination of shareholders entitled to receive such dividend or distribution and shall become effective immediately after the effective date in the case of a subdivision, combination or re-classification. “Common Stock Equivalents” means any securities of the Company or the Company’s Subsidiaries (as defined in the Purchase Agreement)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while this Note is outstanding, with the prior written consent of the Holder, reduce the then applicable Conversion Price to any amount and for any period of time deemed appropriate by the Board of Directors of the Company. For the avoidance of doubt, the Holder shall not be required to effectuate such conversion in the event of any reduction in Conversion Price by the Company.</w:t>
      </w:r>
    </w:p>
    <w:p>
      <w:pPr>
        <w:pStyle w:val="TextBody"/>
        <w:bidi w:val="0"/>
        <w:spacing w:before="0" w:after="0"/>
        <w:ind w:left="299"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Authorized and Reserved Shares.</w:t>
      </w:r>
      <w:r>
        <w:rPr>
          <w:rFonts w:ascii="Times New Roman;Times;Serif" w:hAnsi="Times New Roman;Times;Serif"/>
          <w:b w:val="false"/>
          <w:i w:val="false"/>
          <w:caps w:val="false"/>
          <w:smallCaps w:val="false"/>
          <w:sz w:val="20"/>
        </w:rPr>
        <w:t xml:space="preserve"> The Borrower shall use commercially reasonable endeavors to ensure that at all times beginning on the Issue Date and continuing until the Note is extinguished in the entirety, the Borrower will reserve from its authorized and unissued Common Stock a sufficient number of shares, free from preemptive rights, to provide for the issuance of a number of Conversion Shares equal to the greater of: (a) 2,412,281 shares of Common Stock or (b) the sum of (i) the number of Conversion Shares issuable upon the full conversion of this Note at a conversion price equal to the Conversion Price (assuming no payment of Principal Amount or interest)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(ii) four (4) (the “Reserved Amount”). For the avoidance of doubt, the Reserved Amount shall be required to be reserved by the Borrower pursuant to the immediately preceding sentence even if the Note is not yet convertible into Common Stock by the Holder under Section 1.1 of this Note. The Borrower represents that upon issuance, the Conversion Shares will be duly and validly issued, fully paid, as applicable, and non-assessable. The Borrower (i) acknowledges that it has irrevocably instructed its transfer agent to issue certificates for the Conversion Shares or instructions to have the Conversion Shares issued as contemplated by Section 1.4(e) hereof, and (ii) agrees that its issuance of this Note shall constitute full authority to its officers and agents who are charged with the duty of executing stock certificates or cause the Company to electronically issue shares of Common Stock to execute and issue the necessary certificates for the Conversion Shares or cause the Conversion Shares to be issued as contemplated by Section 1.4(e) hereof in accordance with the terms and conditions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xml:space="preserve"> Notwithstanding anything to the contrary set forth herein, upon conversion of this Note in accordance with the terms hereof, the Holder shall not be required to physically surrender this Note to the Borrower unless the entire unpaid Principal Amount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rFonts w:ascii="Times New Roman;Times;Serif" w:hAnsi="Times New Roman;Times;Serif"/>
          <w:b w:val="false"/>
          <w:i/>
          <w:caps w:val="false"/>
          <w:smallCaps w:val="false"/>
          <w:sz w:val="20"/>
        </w:rPr>
        <w:t xml:space="preserve">prima facie, </w:t>
      </w:r>
      <w:r>
        <w:rPr>
          <w:rFonts w:ascii="Times New Roman;Times;Serif" w:hAnsi="Times New Roman;Times;Serif"/>
          <w:b w:val="false"/>
          <w:i w:val="false"/>
          <w:caps w:val="false"/>
          <w:smallCaps w:val="false"/>
          <w:sz w:val="20"/>
        </w:rPr>
        <w:t>be controlling and determinative in the absence of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Borrower shall not be required to pay any tax which may be payable in respect of any transfer involved in the issue and delivery of shares of Common Stock or other securities or property on conversion of this Note in a name other than that of the Holder (or in street name), and the Borrower shall not be required to issue or deliver any such shares or other securities or property unless and until the person or persons (other than the Holder or the custodian in whose street name such shares are to be held for the Holder’s account) requesting the issuance thereof shall have paid to the Borrower the amount of any such tax or shall have established to the satisfaction of the Borrower that such tax has been paid.</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Delivery of Common Stock Upon Conversion</w:t>
      </w:r>
      <w:r>
        <w:rPr>
          <w:rFonts w:ascii="Times New Roman;Times;Serif" w:hAnsi="Times New Roman;Times;Serif"/>
          <w:b w:val="false"/>
          <w:i w:val="false"/>
          <w:caps w:val="false"/>
          <w:smallCaps w:val="false"/>
          <w:sz w:val="20"/>
        </w:rPr>
        <w:t>. Upon receipt by the Borrower from the Holder of an e-mail (or other reasonable means of communication) of a Notice of Conversion meeting the requirements for conversion as provided in this Section 1.4, the Borrower shall issue and deliver or cause to be issued and delivered to or upon the order of the Holder certificates for the Conversion Shares (or cause the electronic delivery of the Conversion Shares as contemplated by Section 1.4(e) hereof) within one (1) Trading Day after such receipt (the “Deadline”) (and, solely in the case of conversion of the entire unpaid Principal Amount and interest (including any Default Interest) under this Note, surrender of this Note). If the Company shall fail for any reason or for no reason to issue to the Holder on or prior to the Deadline a certificate for the number of Conversion Shares or to which the Holder is entitled hereunder and register such Conversion Shares on the Company’s share register or to credit the Holder’s balance account with DTC (as defined below) for such number of Conversion Shares to which the Holder is entitled upon the Holder’s conversion of this Note (a “Conversion Failure”), then, in addition to all other remedies available to the Holder, (i) the Company shall pay in cash to the Holder on each day after the Deadline and during such Conversion Failure an amount equal to 2.0% of the product of (A) the sum of the number of Conversion Shares not issued to the Holder on or prior to the Deadline and to which the Holder is entitled and (B) the closing sale price of the Common Stock on the Trading Day immediately preceding the last possible date which the Company could have issued such Conversion Shares to the Holder without violating this Section 1.4(c); and (ii) the Holder, upon written notice to the Company, may void all or any portion of such Notice of Conversion; provided that the voiding of all or any portion of a Notice of Conversion shall not affect the Company’s obligations to make any payments which have accrued prior to the date of such notice. In addition to the foregoing, if on or prior to the Deadline the Company shall fail to issue and deliver a certificate to the Holder and register such Conversion Shares on the Company’s share register or credit the Holder’s balance account with DTC for the number of Conversion Shares to which the Holder is entitled upon the Holder’s exercise hereunder or pursuant to the Company’s obligation pursuant to clause (ii) below, and if on or after such Trading Day the Holder purchases (in an open market transaction or otherwise) shares of Common Stock to deliver in satisfaction of a sale by the Holder of shares of Common Stock issuable upon such exercise that the Holder anticipated receiving from the Company, then the Company shall, within two (2) Trading Days after the Holder’s request and in the Holder’s discretion, either (i) pay cash to the Holder in an amount equal to the Holder’s total purchase price (including brokerage commissions and other reasonable and customary out-of-pocket expenses, if any) for the shares of Common Stock so purchased (the “Buy-In Price”), at which point the Company’s obligation to deliver such certificate (and to issue such Conversion Shares) or credit such Holder’s balance account with DTC for such Conversion Shares shall terminate, or (ii) promptly honor its obligation to deliver to the Holder a certificate or certificates representing such Conversion Shares or credit such Holder’s balance account with DTC and pay cash to the Holder in an amount equal to the excess (if any) of the Buy-In Price over the product of (A) such number of shares of Common Stock, times (B) the closing sales price of the Common Stock on the date of exercise.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Conversion Shares (or to electronically deliver such Conversion Shares) upon the conversion of this Note as required pursuant to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Obligation of Borrower to Deliver Common Stock.</w:t>
      </w:r>
      <w:r>
        <w:rPr>
          <w:rFonts w:ascii="Times New Roman;Times;Serif" w:hAnsi="Times New Roman;Times;Serif"/>
          <w:b w:val="false"/>
          <w:i w:val="false"/>
          <w:caps w:val="false"/>
          <w:smallCaps w:val="false"/>
          <w:sz w:val="20"/>
        </w:rPr>
        <w:t xml:space="preserve"> At the time that the Holder submits the Notice of Conversion to the Borrower, the Holder shall be deemed to be the holder of record of the Conversion Shares issuable upon such conversion, the outstanding Principal Amount and the amount of accrued and unpaid interest (including any Default Interest) under this Note shall be reduced to reflect such conversion, and, unless the Borrower defaults on its obligations under this Article I,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the Conversion Shares (or cause the electronic delivery of the Conversion Shares as contemplated by Section 1.4(e) hereof)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sent to the Borrower before 11:59 p.m., New York, New York time, on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Delivery of Conversion Shares by Electronic Transfer</w:t>
      </w:r>
      <w:r>
        <w:rPr>
          <w:rFonts w:ascii="Times New Roman;Times;Serif" w:hAnsi="Times New Roman;Times;Serif"/>
          <w:b w:val="false"/>
          <w:i w:val="false"/>
          <w:caps w:val="false"/>
          <w:smallCaps w:val="false"/>
          <w:sz w:val="20"/>
        </w:rPr>
        <w:t>. In lieu of delivering physical certificates representing the Conversion Shares issuable upon conversion hereof, provided the Borrower is participating in the Depository Trust Company (“DTC”) Fast Automated Securities Transfer or Deposit/Withdrawal at Custodian programs, upon request of the Holder and its compliance with the provisions contained in Section 1.1 and in this Section 1.4, the Borrower shall use its best efforts to cause its transfer agent to electronically transmit the Conversion Shares issuable upon conversion hereof to the Holder by crediting the account of Holder’s Prime Broker with DTC through its Deposit Withdrawal Agent Commission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Conversion Shares issuable upon conversion of this Note may not be sold or transferred unless (i) such shares are sold pursuant to an effective registration statement under the 1933 Act or (ii) the Borrower or its transfer agent shall have been furnished with an opinion of counsel (which opinion shall be the Legal Counsel Opinion (as defined in the Purchase Agreement)) to the effect that the shares to be sold or transferred may be sold or transferred pursuant to an exemption from such registration or (iii) such shares are sold or transferred pursuant to Rule 144, Rule 144A, Regulation S, or other applicable exemption, or (iv) such shares are transferred to an “affiliate” (as defined in Rule 144) of the Borrower who agrees to sell or otherwise transfer the shares only in accordance with this Section 1.5 and who is an Accredited Investor (as defined in the Purchase Agreement). Except as otherwise provided in the Purchase Agreement (and subject to the removal provisions set forth below), until such time as the Conversion Shares have been registered under the 1933 Act or otherwise may be sold pursuant to Rule 144, Rule 144A, Regulation S, or other applicable exemption without any restriction as to the number of securities as of a particular date that can then be immediately sold, each certificate for the Conversion Shares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to the Holder a certificate for the applicable Conversion Shares without such legend upon which it is stamped or (as requested by the Holder) issue the applicable Conversion Shares by electronic delivery by crediting the account of such holder’s broker with DTC, if, unless otherwise required by applicable state securities laws: (a) such Conversion Shares are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Holder provides the Legal Counsel Opinion (as contemplated by and in accordance with Section 4(m) of the Purchase Agreement) to the effect that a public sale or transfer of such Conversion Shares may be made without registration under the 1933 Act, which opinion shall be accepted by the Company so that the sale or transfer is effected. The Company shall be responsible for the fees of its transfer agent and all DTC fees associated with any such issuance. The Holder agrees to sell all Conversion Shares, including those represented by a certificate(s) from which the legend has been removed, in compliance with applicable prospectus delivery requirements, if any. In the event that the Company does not accept the opinion of counsel provided by the Holder with respect to the transfer of Conversion Shares pursuant to an exemption from registration, such as Rule 144, Rule 144A, Regulation S, or other applicable exemption, at the Deadline, notwithstanding that the conditions of Rule 144, Rule 144A, Regulation S, or other applicable exemption, as applicable, have been met, it will be considered an Event of Default under this Note.</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29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At the option of the Holder, the sale, conveyance or disposition of all or substantially all of the assets of the Borrower, or the consolidation, merger or other business combination of the Borrower with or into any other Person (as defined below) or Persons when the Borrower is not the survivor shall either: (i) be deemed to be an Event of Default pursuant to which the Borrower shall be required to pay to the Holder upon the consummation of and as a condition to such transaction an amount equal to the Default Amount (as defined in this Note) or (ii) be treated pursuant to Section 1.6(b) hereof. “Person” shall mean any individual, corporation, limited liability company, partnership, association, trust or other entity or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this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(each a “Fundamental Transaction”),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w:t>
      </w:r>
    </w:p>
    <w:p>
      <w:pPr>
        <w:pStyle w:val="TextBody"/>
        <w:bidi w:val="0"/>
        <w:spacing w:before="0" w:after="0"/>
        <w:ind w:left="246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xml:space="preserve"> If the Borrower shall declare or make any distribution of its assets (or rights to acquire its assets) to holders of Common Stock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shareholders entitled to such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If, at any time when all or any portion of this Note is issued and outstanding, the Borrower issues any convertible securities or rights to purchase stock, warrants, securities or other property (the “Purchase Rights”)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Section 1.6 of this Note, the Borrower shall, at its expense and within one (1) calendar day after the occurrence of each respective adjustment or readjustment of the Conversion Price, compute such adjustment or readjustment and prepare and furnish to the Holder a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In addition, the Borrower shall, within one (1) calendar day after each written request from the Holder, furnish to such Holder a like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For the avoidance of doubt, each adjustment or readjustment of the Conversion Price as a result of the events described in Section 1.6 of this Note shall occur without any action by the Holder and regardless of whether the Borrower complied with the notification provisions in Section 1.6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the Holder, (i) the Conversion Shares covered thereby shall be deemed converted into shares of Common Stock and (ii) the Holder’s rights as the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the Holder has not received certificates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the Note has not been surrendered, adjust its records to reflect that such portion of this Note has not been converted. In all cases, the Holder shall retain all of its rights and remedies for the Borrower’s failure to convert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At any time prior to the date that is one hundred eighty-one (181) calendar days following the Issue Date, the Borrower shall have the right, exercisable on three (3) Trading Days prior written notice to the Holder of the Note, to prepay the outstanding Principal Amount and interest then due under this Note in accordance with this Section 1.8. Any notice of prepayment hereunder (an “Optional Prepayment Notice”) shall be delivered to the Holder of the Note at its registered addresses and shall state: (1) that the Borrower is exercising its right to prepay the Note, and (2) the date of prepayment which shall be three (3) Trading Days from the date of the Optional Prepayment Notice (the “Optional Prepayment Date”). The Holder shall have the right, during the period beginning on the date of Holder’s receipt of the Optional Prepayment Notice and until the Holder’s actual receipt of the full prepayment amount on the Optional Prepayment Date, to instead convert all or any portion of the Note pursuant to the terms of this Note, including the amount of this Note to be prepaid by the Borrower in accordance with this Section 1.8, even if the Note is not yet convertible into Common Stock by the Holder under Section 1.1 of this Note. On the Optional Prepayment Date, the Borrower shall make payment of the amounts designated below to or upon the order of the Holder as specified by the Holder in writing to the Borrower. If the Borrower exercises its right to prepay the Note in accordance with this Section 1.8, the Borrower shall make payment to the Holder of an amount in cash equal to the sum of: (w) the prepayment percentage set forth in the table immediately following this paragraph for the applicable prepayment period set forth in the table immediately following this paragraph (“Prepayment Percentage”) multiplied by the Principal Amount then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the Prepayment Percentage multiplied by the accrued and unpaid interest on the Principal Amount to the Optional Prepayment Date.</w:t>
      </w:r>
    </w:p>
    <w:p>
      <w:pPr>
        <w:pStyle w:val="TextBody"/>
        <w:bidi w:val="0"/>
        <w:spacing w:before="0" w:after="0"/>
        <w:ind w:left="173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52"/>
        <w:gridCol w:w="60"/>
        <w:gridCol w:w="1593"/>
      </w:tblGrid>
      <w:tr>
        <w:trPr/>
        <w:tc>
          <w:tcPr>
            <w:tcW w:w="8552" w:type="dxa"/>
            <w:tcBorders>
              <w:bottom w:val="single" w:sz="12" w:space="0" w:color="000000"/>
            </w:tcBorders>
            <w:vAlign w:val="center"/>
          </w:tcPr>
          <w:p>
            <w:pPr>
              <w:pStyle w:val="TableContents"/>
              <w:bidi w:val="0"/>
              <w:spacing w:before="0" w:after="283"/>
              <w:jc w:val="left"/>
              <w:rPr/>
            </w:pPr>
            <w:r>
              <w:rPr>
                <w:b/>
              </w:rPr>
              <w:t>Prepayment Period</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1593" w:type="dxa"/>
            <w:tcBorders>
              <w:bottom w:val="single" w:sz="12" w:space="0" w:color="000000"/>
            </w:tcBorders>
            <w:vAlign w:val="center"/>
          </w:tcPr>
          <w:p>
            <w:pPr>
              <w:pStyle w:val="TableContents"/>
              <w:bidi w:val="0"/>
              <w:spacing w:before="0" w:after="283"/>
              <w:jc w:val="center"/>
              <w:rPr>
                <w:b/>
                <w:sz w:val="20"/>
              </w:rPr>
            </w:pPr>
            <w:r>
              <w:rPr>
                <w:b/>
                <w:sz w:val="20"/>
              </w:rPr>
              <w:t>Prepayment Percentage</w:t>
            </w:r>
          </w:p>
        </w:tc>
      </w:tr>
      <w:tr>
        <w:trPr/>
        <w:tc>
          <w:tcPr>
            <w:tcW w:w="8552" w:type="dxa"/>
            <w:tcBorders/>
            <w:shd w:fill="CCEEFF" w:val="clear"/>
            <w:tcMar>
              <w:bottom w:w="0" w:type="dxa"/>
            </w:tcMar>
            <w:vAlign w:val="center"/>
          </w:tcPr>
          <w:p>
            <w:pPr>
              <w:pStyle w:val="TableContents"/>
              <w:bidi w:val="0"/>
              <w:spacing w:before="0" w:after="283"/>
              <w:jc w:val="both"/>
              <w:rPr>
                <w:sz w:val="20"/>
              </w:rPr>
            </w:pPr>
            <w:r>
              <w:rPr>
                <w:sz w:val="20"/>
              </w:rPr>
              <w:t>1.  The period beginning on the Issue Date and ending on the date which is thirty (30) calendar days following the Issue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3" w:type="dxa"/>
            <w:tcBorders/>
            <w:shd w:fill="CCEEFF" w:val="clear"/>
            <w:tcMar>
              <w:bottom w:w="0" w:type="dxa"/>
            </w:tcMar>
            <w:vAlign w:val="center"/>
          </w:tcPr>
          <w:p>
            <w:pPr>
              <w:pStyle w:val="TableContents"/>
              <w:bidi w:val="0"/>
              <w:spacing w:before="0" w:after="283"/>
              <w:jc w:val="center"/>
              <w:rPr>
                <w:sz w:val="20"/>
              </w:rPr>
            </w:pPr>
            <w:r>
              <w:rPr>
                <w:sz w:val="20"/>
              </w:rPr>
              <w:t>96%</w:t>
            </w:r>
          </w:p>
        </w:tc>
      </w:tr>
      <w:tr>
        <w:trPr/>
        <w:tc>
          <w:tcPr>
            <w:tcW w:w="8552" w:type="dxa"/>
            <w:tcBorders/>
            <w:shd w:fill="FFFFFF" w:val="clear"/>
            <w:tcMar>
              <w:bottom w:w="0" w:type="dxa"/>
            </w:tcMar>
            <w:vAlign w:val="center"/>
          </w:tcPr>
          <w:p>
            <w:pPr>
              <w:pStyle w:val="TableContents"/>
              <w:bidi w:val="0"/>
              <w:spacing w:before="0" w:after="283"/>
              <w:jc w:val="both"/>
              <w:rPr>
                <w:sz w:val="20"/>
              </w:rPr>
            </w:pPr>
            <w:r>
              <w:rPr>
                <w:sz w:val="20"/>
              </w:rPr>
              <w:t>2.  The period beginning on the date that is thirty-one (31) calendar days from the Issue Date and ending sixty (60) calendar days following the Issue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3" w:type="dxa"/>
            <w:tcBorders/>
            <w:shd w:fill="FFFFFF" w:val="clear"/>
            <w:tcMar>
              <w:bottom w:w="0" w:type="dxa"/>
            </w:tcMar>
            <w:vAlign w:val="center"/>
          </w:tcPr>
          <w:p>
            <w:pPr>
              <w:pStyle w:val="TableContents"/>
              <w:bidi w:val="0"/>
              <w:spacing w:before="0" w:after="283"/>
              <w:jc w:val="center"/>
              <w:rPr>
                <w:sz w:val="20"/>
              </w:rPr>
            </w:pPr>
            <w:r>
              <w:rPr>
                <w:sz w:val="20"/>
              </w:rPr>
              <w:t>97%</w:t>
            </w:r>
          </w:p>
        </w:tc>
      </w:tr>
      <w:tr>
        <w:trPr/>
        <w:tc>
          <w:tcPr>
            <w:tcW w:w="8552" w:type="dxa"/>
            <w:tcBorders/>
            <w:shd w:fill="CCEEFF" w:val="clear"/>
            <w:tcMar>
              <w:bottom w:w="0" w:type="dxa"/>
            </w:tcMar>
            <w:vAlign w:val="center"/>
          </w:tcPr>
          <w:p>
            <w:pPr>
              <w:pStyle w:val="TableContents"/>
              <w:bidi w:val="0"/>
              <w:spacing w:before="0" w:after="283"/>
              <w:jc w:val="both"/>
              <w:rPr>
                <w:sz w:val="20"/>
              </w:rPr>
            </w:pPr>
            <w:r>
              <w:rPr>
                <w:sz w:val="20"/>
              </w:rPr>
              <w:t>3.  The period beginning on the date that is sixty-one (61) calendar days from the Issue Date and ending one hundred twenty (120) calendar days following the Issue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3" w:type="dxa"/>
            <w:tcBorders/>
            <w:shd w:fill="CCEEFF" w:val="clear"/>
            <w:tcMar>
              <w:bottom w:w="0" w:type="dxa"/>
            </w:tcMar>
            <w:vAlign w:val="center"/>
          </w:tcPr>
          <w:p>
            <w:pPr>
              <w:pStyle w:val="TableContents"/>
              <w:bidi w:val="0"/>
              <w:spacing w:before="0" w:after="283"/>
              <w:jc w:val="center"/>
              <w:rPr>
                <w:sz w:val="20"/>
              </w:rPr>
            </w:pPr>
            <w:r>
              <w:rPr>
                <w:sz w:val="20"/>
              </w:rPr>
              <w:t>98%</w:t>
            </w:r>
          </w:p>
        </w:tc>
      </w:tr>
      <w:tr>
        <w:trPr/>
        <w:tc>
          <w:tcPr>
            <w:tcW w:w="8552" w:type="dxa"/>
            <w:tcBorders/>
            <w:shd w:fill="FFFFFF" w:val="clear"/>
            <w:tcMar>
              <w:bottom w:w="0" w:type="dxa"/>
            </w:tcMar>
            <w:vAlign w:val="center"/>
          </w:tcPr>
          <w:p>
            <w:pPr>
              <w:pStyle w:val="TableContents"/>
              <w:bidi w:val="0"/>
              <w:spacing w:before="0" w:after="283"/>
              <w:jc w:val="both"/>
              <w:rPr>
                <w:sz w:val="20"/>
              </w:rPr>
            </w:pPr>
            <w:r>
              <w:rPr>
                <w:sz w:val="20"/>
              </w:rPr>
              <w:t>4.  The period beginning on the date that is one hundred twenty-one (121) calendar days from the Issue Date and ending one hundred eighty (180) calendar days following the Issue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3" w:type="dxa"/>
            <w:tcBorders/>
            <w:shd w:fill="FFFFFF" w:val="clear"/>
            <w:tcMar>
              <w:bottom w:w="0" w:type="dxa"/>
            </w:tcMar>
            <w:vAlign w:val="center"/>
          </w:tcPr>
          <w:p>
            <w:pPr>
              <w:pStyle w:val="TableContents"/>
              <w:bidi w:val="0"/>
              <w:spacing w:before="0" w:after="283"/>
              <w:jc w:val="center"/>
              <w:rPr>
                <w:sz w:val="20"/>
              </w:rPr>
            </w:pPr>
            <w:r>
              <w:rPr>
                <w:sz w:val="20"/>
              </w:rPr>
              <w:t>99%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RANKING AND 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This Note shall be an unsecured obligation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Distributions on Capital Stock.</w:t>
      </w:r>
      <w:r>
        <w:rPr>
          <w:rFonts w:ascii="Times New Roman;Times;Serif" w:hAnsi="Times New Roman;Times;Serif"/>
          <w:b w:val="false"/>
          <w:i w:val="false"/>
          <w:caps w:val="false"/>
          <w:smallCaps w:val="false"/>
          <w:sz w:val="20"/>
        </w:rPr>
        <w:t xml:space="preserve"> So long as the Borrower shall have any obligation under this Note, the Borrower shall not without the Holder’s written consent (a) pay, declare or set apart for such payment, any dividend or other distribution (whether in cash, property or other securities) on shares of capital stock other than dividends on shares of Common Stock solely in the form of additional shares of Common Stock or (b) directly or indirectly or through any subsidiary make any other payment or distribution in respect of its capital stock except for distributions pursuant to any shareholders’ rights plan which is approved by a majority of the Borrower’s disinterested directors.</w:t>
      </w:r>
    </w:p>
    <w:p>
      <w:pPr>
        <w:pStyle w:val="TextBody"/>
        <w:bidi w:val="0"/>
        <w:spacing w:before="0" w:after="0"/>
        <w:ind w:left="299"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considered an event of default if any of the following events listed in this Article III (each, an “Event of Default”) shall occur on or after the Issue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xml:space="preserve"> The Borrower fails to pay the Principal Amount hereof or interest thereon when due on this Note, whether at maturity, upon acceleration or otherwise, or fails to fully comply with Section 1.10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xml:space="preserve"> The Borrower (i) fails to issue Conversion Shares to the Holder (or announces or threatens in writing that it will not honor its obligation to do so) upon exercise by the Holder of the conversion rights of the Holder in accordance with the terms of this Note, (ii) fails to transfer or cause its transfer agent to transfer (issue) (electronically or in certificated form) any certificate for the Conversion Shares issuable to the Holder upon conversion of or otherwise pursuant to this Note as and when required by this Note, (iii) fails to reserve the Reserved Amount at all times, (iv) the Borrower directs its transfer agent not to transfer or delays, impairs, and/or hinders its transfer agent in transferring (or issuing) (electronically or in certificated form) any certificate for the Conversion Shares issuable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Conversion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Trading Days after the Holder shall have delivered a Notice of Conversion, and/or (v) fails to remain current in its obligations to its transfer agent (including but not limited to payment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added to the principal balance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Breach of Agreements and Covenants.</w:t>
      </w:r>
      <w:r>
        <w:rPr>
          <w:rFonts w:ascii="Times New Roman;Times;Serif" w:hAnsi="Times New Roman;Times;Serif"/>
          <w:b w:val="false"/>
          <w:i w:val="false"/>
          <w:caps w:val="false"/>
          <w:smallCaps w:val="false"/>
          <w:sz w:val="20"/>
        </w:rPr>
        <w:t xml:space="preserve"> The Borrower breaches any covenant, agreement, or other term or condition contained in the Purchase Agreement, this Note, Irrevocable Transfer Agent Instructions, or in any agreement, statement or certificate given in writing pursuant hereto or in connection herewith or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xml:space="preserve"> Any representation or warranty of the Borrower made in the Purchase Agreement, this Note, Irrevocable Transfer Agent Instructions, or in any agreement, statement or certificate given in writing pursuant hereto or in connection herewith or therewith shall be false or misleading in any material respect when made.</w:t>
      </w:r>
    </w:p>
    <w:p>
      <w:pPr>
        <w:pStyle w:val="TextBody"/>
        <w:bidi w:val="0"/>
        <w:spacing w:before="0" w:after="0"/>
        <w:ind w:left="0" w:right="0" w:firstLine="206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xml:space="preserv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xml:space="preserve"> Any money judgment, writ or similar process shall be entered or filed against the Borrower or any subsidiary of the Borrower or any of its property or other assets for more than $100,000, and shall remain unvacated, unbonded or unstayed for a period of twenty (20) days unless otherwise consented to by the Holder, which consent will not be unreasonably withheld.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Failure to Comply with the 1934 Act.</w:t>
      </w:r>
      <w:r>
        <w:rPr>
          <w:rFonts w:ascii="Times New Roman;Times;Serif" w:hAnsi="Times New Roman;Times;Serif"/>
          <w:b w:val="false"/>
          <w:i w:val="false"/>
          <w:caps w:val="false"/>
          <w:smallCaps w:val="false"/>
          <w:sz w:val="20"/>
        </w:rPr>
        <w:t xml:space="preserve"> At any time after the Issue Date, the Borrower shall fail to comply with the reporting requirements of the 1934 Act and/or the Borrower shall cease to be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xml:space="preserve"> Any dissolution, liquidation, or winding up of Borrower or any substantial portion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xml:space="preserve">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xml:space="preserve"> The failure by Borrower to maintain any material intellectual property rights, personal, real property or other assets which are necessary to conduct its business (whether now or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xml:space="preserve">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actual transmittal, conveyance, or disclosure by the Borrower or its officers, directors, and/or affiliates of, material non-public information concerning the Borrower, to the Holder or its successors and assigns, which is not cured by Borrower’s filing of a Form 6-K pursuant to Regulation FD.</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Unavailability of Rule 144</w:t>
      </w:r>
      <w:r>
        <w:rPr>
          <w:rFonts w:ascii="Times New Roman;Times;Serif" w:hAnsi="Times New Roman;Times;Serif"/>
          <w:b w:val="false"/>
          <w:i w:val="false"/>
          <w:caps w:val="false"/>
          <w:smallCaps w:val="false"/>
          <w:sz w:val="20"/>
        </w:rPr>
        <w:t>. If, at any time on or after the date that is six (6) calendar months after the Issue Date, the Holder is unable to (i) obtain a standard “144 legal opinion letter” from an attorney reasonably acceptable to the Borrower’s transfer agent in order to facilitate the Holder’s conversion of any portion of the Note into free trading shares of the Borrower’s Common Stock pursuant to Rule 144, and/or (ii) thereupon deposit such shares into the Holder’s brokerage account.</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Delisting, Suspension, or Quotation of Trading of Common Stock</w:t>
      </w:r>
      <w:r>
        <w:rPr>
          <w:rFonts w:ascii="Times New Roman;Times;Serif" w:hAnsi="Times New Roman;Times;Serif"/>
          <w:b w:val="false"/>
          <w:i w:val="false"/>
          <w:caps w:val="false"/>
          <w:smallCaps w:val="false"/>
          <w:sz w:val="20"/>
        </w:rPr>
        <w:t>. If, at any time on or after the Issue Date, the Borrower’s Common Stock (i) is suspended from trading, (ii) halted from trading, and/or (iii) fails to be listed or quoted on a Principal Market.</w:t>
      </w:r>
    </w:p>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173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Failure to Pay an Amortization Payment</w:t>
      </w:r>
      <w:r>
        <w:rPr>
          <w:rFonts w:ascii="Times New Roman;Times;Serif" w:hAnsi="Times New Roman;Times;Serif"/>
          <w:b w:val="false"/>
          <w:i w:val="false"/>
          <w:caps w:val="false"/>
          <w:smallCaps w:val="false"/>
          <w:sz w:val="20"/>
        </w:rPr>
        <w:t>. The Borrower fails to pay an Amortization Payment (as defined in this Note) when due as provided in Section 4.14 of this Note, and fails to pay such Amortization Payment within 5 business days of the Holder’s written notification of such failure to pay.</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val="false"/>
          <w:caps w:val="false"/>
          <w:smallCaps w:val="false"/>
          <w:sz w:val="20"/>
          <w:u w:val="single"/>
        </w:rPr>
        <w:t>Rights and Remedies Upon an Event of Default</w:t>
      </w:r>
      <w:r>
        <w:rPr>
          <w:rFonts w:ascii="Times New Roman;Times;Serif" w:hAnsi="Times New Roman;Times;Serif"/>
          <w:b w:val="false"/>
          <w:i w:val="false"/>
          <w:caps w:val="false"/>
          <w:smallCaps w:val="false"/>
          <w:sz w:val="20"/>
        </w:rPr>
        <w:t>. Upon the occurrence of any Event of Default specified in this Article III, this Note shall become immediately due and payable, and the Borrower shall pay to the Holder, in full satisfaction of its obligations hereunder, an amount equal to the Principal Amount then outstanding plus accrued interest (including any Default Interest) through the date of full repayment multiplied by 150% (collectively the “Default Amount”), as well as all costs, including, without limitation, legal fees and expenses, of collection, all without demand, presentment or notice, all of which hereby are expressly waived by the Borrower. Holder may, in Holder’s sole discretion, convert all or any portion of this Note (including the Default Amount) into Common Stock pursuant to the terms of this Note (for the avoidance of doubt, this shall apply even if such conversion occurs after the Maturity Date). The Holder shall be entitled to exercise all other rights and remedies available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Holder existing hereunder are cumulative to, and not exclusive of, any rights or remedies otherwise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130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LABRYS FUND II, L.P.</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Tremont Street, Suite 201-1408</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admin@labrysii.com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Note and any provision hereof may only be amended by an instrument in writing signed by the Borrower and the Holder. The term “Note” and all reference thereto, as used throughout this instrument, shall mean this instrument as originally executed, or if later amended or supplemented, then as so amended or supplemented.</w:t>
      </w:r>
    </w:p>
    <w:p>
      <w:pPr>
        <w:pStyle w:val="TextBody"/>
        <w:bidi w:val="0"/>
        <w:spacing w:before="0" w:after="0"/>
        <w:ind w:left="360" w:right="0" w:firstLine="1350"/>
        <w:jc w:val="both"/>
        <w:rPr>
          <w:caps w:val="false"/>
          <w:smallCaps w:val="false"/>
        </w:rPr>
      </w:pPr>
      <w:r>
        <w:rPr>
          <w:caps w:val="false"/>
          <w:smallCaps w:val="false"/>
        </w:rPr>
        <w:t> </w:t>
      </w:r>
    </w:p>
    <w:p>
      <w:pPr>
        <w:pStyle w:val="TextBody"/>
        <w:bidi w:val="0"/>
        <w:spacing w:before="0" w:after="0"/>
        <w:ind w:left="360" w:right="0" w:firstLine="135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ind w:left="360" w:right="0" w:firstLine="135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The Borrower shall not assign this Note or any rights or obligations hereunder without the prior written consent of the Holder. The Holder may assign its rights hereunder to any “accredited investor” (as defined in Rule 501(a) of the 1933 Act) in a private transaction from the Holder or to any of its “affiliates”, as that term is defined under the 1934 Act, without the consent of the Borrower.</w:t>
      </w:r>
    </w:p>
    <w:p>
      <w:pPr>
        <w:pStyle w:val="TextBody"/>
        <w:bidi w:val="0"/>
        <w:spacing w:before="0" w:after="0"/>
        <w:ind w:left="360" w:right="0" w:firstLine="135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xml:space="preserve"> If default is made in the payment of this Note, the Borrower shall pay the Holder hereof costs of collection, including reasonable attorneys’ fees.</w:t>
      </w:r>
    </w:p>
    <w:p>
      <w:pPr>
        <w:pStyle w:val="TextBody"/>
        <w:bidi w:val="0"/>
        <w:spacing w:before="0" w:after="0"/>
        <w:ind w:left="360" w:right="0" w:firstLine="135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Arbitration of Claims; Governing Law; Venue; Attorney’s Fees.</w:t>
      </w:r>
      <w:r>
        <w:rPr>
          <w:rFonts w:ascii="Times New Roman;Times;Serif" w:hAnsi="Times New Roman;Times;Serif"/>
          <w:b w:val="false"/>
          <w:i w:val="false"/>
          <w:caps w:val="false"/>
          <w:smallCaps w:val="false"/>
          <w:sz w:val="20"/>
        </w:rPr>
        <w:t xml:space="preserve"> The Company and Holder shall submit all Claims (as defined in Exhibit B of the Purchase Agreement) (the “Claims”) arising under this Note or any other agreement between the parties and their affiliates or any Claim relating to the relationship of the parties to binding arbitration pursuant to the arbitration provisions set forth in Exhibit B of the Purchase Agreement (the “Arbitration Provisions”). The Company and Holder hereby acknowledge and agree that the Arbitration Provisions are unconditionally binding on the Company and Holder hereto and are severable from all other provisions of this Note. By executing this Note,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The Company acknowledges and agrees that Holder may rely upon the foregoing representations and covenants of the Company regarding the Arbitration Provisions.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Holder consent to and expressly agree that the exclusive venue for arbitration of any Claims arising under this Note or any other agreement between the Company and Holder or their respective affiliates (including but not limited to the Transaction Documents) or any Claim relating to the relationship of the Company and Holder or their respective affiliates shall be in the Commonwealth of Massachusetts. Without modifying the Company’s and Holder’s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(as defined in the Purchase Agreement) or otherwise related to Holder in any way (specifically including, without limitation, any action where Company seeks to obtain an injunction, temporary restraining order, or otherwise prohibit the Company’s transfer agent from issuing shares of Common Stock to Holder for any reason)), each party hereto hereby (i) consents to and expressly submits to the exclusive personal jurisdiction of any state or federal court sitting in the Commonwealth of Massachusetts,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Holder for any reason) outside of any state or federal court sitting in the Commonwealth of Massachusetts,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Holder to realize on any collateral or any other security, or to enforce a judgment or other court ruling in favor of the Holder,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NOTE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Note or any other agreement, certificate, instrument or document contemplated hereby or thereby by mailing a copy thereof via registered or certified mail or overnight delivery (with evidence of delivery) to Company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Note or any other agreement, certificate, instrument or document contemplated hereby or thereby shall be entitled to recover from the other party its reasonable attorney’s fees and costs. If any provision of this Note shall be invalid or unenforceable in any jurisdiction, such invalidity or unenforceability shall not affect the validity or enforceability of the remainder of this Note in that jurisdiction or the validity or enforceability of any provision of this Note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xml:space="preserve"> Whenever pursuant to this Note the Borrower is required to pay an amount in excess of the outstanding Principal Amount (or the portion thereof required to be paid at that time) plus accrued and unpaid interest plus Default Interest on such interest, the Borrower and the Holder agree that the actual damages to the Holder from the receipt of cash payment on this Note may be difficult to determine and the amount to be so paid by the Borrower represents stipulated damages and not a penalty and is intended to compensate the Holder in part for loss of the opportunity to convert this Note and to earn a return from the sale of shares of Common Stock acquired upon conversion of this Note at a price in excess of the price paid for such shares pursuant to this Note. The Borrower and the Holder hereby agree that such amount of stipulated damages is not plainly disproportionate to the possible loss to the Holder from the receipt of a cash payment without the opportunity to convert this Note into shares of Common Stock.</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xml:space="preserve"> The Company and the Holder shall be bound by the applicable terms of the Purchase Agreement, and the Transaction Documents entered into in connection herewith and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all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Holder in order to enforce any right or remedy under this Note. Notwithstanding any provision to the contrary contained in this Note, it is expressly agreed and provided that the total liability of the Company under this Note for payments which under the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the applicable law in the nature of interest that the Company may be obligated to pay under this Note exceed such Maximum Rate. It is agreed that if the maximum contract rate of interest allowed by applicable law and applicable to this Note is increased or decreased by statute or any official governmental action subsequent to the Issue Date, the new maximum contract rate of interest allowed by law will be the Maximum Rate applicable to this Note from the effective date thereof forward, unless such application is precluded by applicable law. If under any circumstances whatsoever, interest in excess of the Maximum Rate is paid by the Company to the Holder with respect to indebtedness evidenced by this the Note, such excess shall be applied by the Holder to the unpaid principal balance of any such indebtedness or be refunded to the Company, the manner of handling such excess to be at the Holder’s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Note is invalid or unenforceable under any applicable statute or rule of law (including any judicial ruling),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Terms of Future Financings.</w:t>
      </w:r>
      <w:r>
        <w:rPr>
          <w:rFonts w:ascii="Times New Roman;Times;Serif" w:hAnsi="Times New Roman;Times;Serif"/>
          <w:b w:val="false"/>
          <w:i w:val="false"/>
          <w:caps w:val="false"/>
          <w:smallCaps w:val="false"/>
          <w:sz w:val="20"/>
        </w:rPr>
        <w:t xml:space="preserve"> So long as this Note is outstanding, upon any issuance by the Borrower or any of its Subsidiaries of any security, or amendment to a security that was originally issued before the Issue Date, with any term that the Holder reasonably believes is more favorable to the holder of such security or with a term in favor of the holder of such security that the Holder reasonably believes was not similarly provided to the Holder in this Note (even if the holder of such other security does not receive the benefit of such more favorable term until a default occurs under such other security), then (i) the Borrower shall notify the Holder of such additional or more favorable term within one (1) business day of the issuance and/or amendment (as applicable) of the respective security, and (ii) such term, at Holder’s option, shall become a part of the transaction documents with the Holder (regardless of whether the Borrower complied with the notification provision of this Section 4.13). The types of terms contained in another security that may be more favorable to the holder of such security include, but are not limited to, terms addressing prepayment rate, interest rates, conversion rate, and original issue discount.</w:t>
      </w:r>
    </w:p>
    <w:p>
      <w:pPr>
        <w:pStyle w:val="TextBody"/>
        <w:bidi w:val="0"/>
        <w:spacing w:before="0" w:after="0"/>
        <w:ind w:left="17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Amortization Payments</w:t>
      </w:r>
      <w:r>
        <w:rPr>
          <w:rFonts w:ascii="Times New Roman;Times;Serif" w:hAnsi="Times New Roman;Times;Serif"/>
          <w:b w:val="false"/>
          <w:i w:val="false"/>
          <w:caps w:val="false"/>
          <w:smallCaps w:val="false"/>
          <w:sz w:val="20"/>
        </w:rPr>
        <w:t>. In addition to all other payment obligations under this Note, the Borrower shall also make the following amortization payments (each an “Amortization Payment”) in cash to the Holder towards the repayment of this Note, as provided in the following table:</w:t>
      </w:r>
    </w:p>
    <w:p>
      <w:pPr>
        <w:pStyle w:val="TextBody"/>
        <w:bidi w:val="0"/>
        <w:spacing w:before="0" w:after="0"/>
        <w:ind w:left="0" w:right="0" w:hanging="0"/>
        <w:jc w:val="both"/>
        <w:rPr>
          <w:caps w:val="false"/>
          <w:smallCaps w:val="false"/>
        </w:rPr>
      </w:pPr>
      <w:r>
        <w:rPr>
          <w:caps w:val="false"/>
          <w:smallCaps w:val="false"/>
        </w:rPr>
        <w:t> </w:t>
      </w:r>
    </w:p>
    <w:tbl>
      <w:tblPr>
        <w:tblW w:w="6360" w:type="dxa"/>
        <w:jc w:val="left"/>
        <w:tblInd w:w="0" w:type="dxa"/>
        <w:tblLayout w:type="fixed"/>
        <w:tblCellMar>
          <w:top w:w="0" w:type="dxa"/>
          <w:left w:w="0" w:type="dxa"/>
          <w:bottom w:w="28" w:type="dxa"/>
          <w:right w:w="0" w:type="dxa"/>
        </w:tblCellMar>
      </w:tblPr>
      <w:tblGrid>
        <w:gridCol w:w="1940"/>
        <w:gridCol w:w="60"/>
        <w:gridCol w:w="140"/>
        <w:gridCol w:w="4145"/>
        <w:gridCol w:w="75"/>
      </w:tblGrid>
      <w:tr>
        <w:trPr/>
        <w:tc>
          <w:tcPr>
            <w:tcW w:w="1940" w:type="dxa"/>
            <w:tcBorders>
              <w:bottom w:val="single" w:sz="12" w:space="0" w:color="000000"/>
            </w:tcBorders>
            <w:vAlign w:val="center"/>
          </w:tcPr>
          <w:p>
            <w:pPr>
              <w:pStyle w:val="TableContents"/>
              <w:bidi w:val="0"/>
              <w:spacing w:before="0" w:after="283"/>
              <w:jc w:val="both"/>
              <w:rPr/>
            </w:pPr>
            <w:r>
              <w:rPr/>
              <w:t>Payment Date:</w:t>
            </w:r>
          </w:p>
        </w:tc>
        <w:tc>
          <w:tcPr>
            <w:tcW w:w="60" w:type="dxa"/>
            <w:tcBorders/>
            <w:tcMar>
              <w:bottom w:w="0" w:type="dxa"/>
            </w:tcMar>
            <w:vAlign w:val="center"/>
          </w:tcPr>
          <w:p>
            <w:pPr>
              <w:pStyle w:val="TableContents"/>
              <w:bidi w:val="0"/>
              <w:spacing w:before="0" w:after="283"/>
              <w:jc w:val="left"/>
              <w:rPr/>
            </w:pPr>
            <w:r>
              <w:rPr/>
              <w:t> </w:t>
            </w:r>
          </w:p>
        </w:tc>
        <w:tc>
          <w:tcPr>
            <w:tcW w:w="4285" w:type="dxa"/>
            <w:gridSpan w:val="2"/>
            <w:tcBorders>
              <w:bottom w:val="single" w:sz="12" w:space="0" w:color="000000"/>
            </w:tcBorders>
            <w:vAlign w:val="center"/>
          </w:tcPr>
          <w:p>
            <w:pPr>
              <w:pStyle w:val="TableContents"/>
              <w:bidi w:val="0"/>
              <w:spacing w:before="0" w:after="283"/>
              <w:jc w:val="center"/>
              <w:rPr/>
            </w:pPr>
            <w:r>
              <w:rPr/>
              <w:t>Payment Amount:</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May 11,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right"/>
              <w:rPr/>
            </w:pPr>
            <w:r>
              <w:rPr/>
              <w:t>39,285.71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June 10,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4145" w:type="dxa"/>
            <w:tcBorders/>
            <w:shd w:fill="FFFFFF" w:val="clear"/>
            <w:tcMar>
              <w:bottom w:w="0" w:type="dxa"/>
            </w:tcMar>
            <w:vAlign w:val="center"/>
          </w:tcPr>
          <w:p>
            <w:pPr>
              <w:pStyle w:val="TableContents"/>
              <w:bidi w:val="0"/>
              <w:spacing w:before="0" w:after="283"/>
              <w:jc w:val="right"/>
              <w:rPr/>
            </w:pPr>
            <w:r>
              <w:rPr/>
              <w:t>39,285.71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July 10,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right"/>
              <w:rPr/>
            </w:pPr>
            <w:r>
              <w:rPr/>
              <w:t>39,285.71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August 10,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4145" w:type="dxa"/>
            <w:tcBorders/>
            <w:shd w:fill="FFFFFF" w:val="clear"/>
            <w:tcMar>
              <w:bottom w:w="0" w:type="dxa"/>
            </w:tcMar>
            <w:vAlign w:val="center"/>
          </w:tcPr>
          <w:p>
            <w:pPr>
              <w:pStyle w:val="TableContents"/>
              <w:bidi w:val="0"/>
              <w:spacing w:before="0" w:after="283"/>
              <w:jc w:val="right"/>
              <w:rPr/>
            </w:pPr>
            <w:r>
              <w:rPr/>
              <w:t>39,285.71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September 10,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right"/>
              <w:rPr/>
            </w:pPr>
            <w:r>
              <w:rPr/>
              <w:t>39,285.71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October 11,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4145" w:type="dxa"/>
            <w:tcBorders/>
            <w:shd w:fill="FFFFFF" w:val="clear"/>
            <w:tcMar>
              <w:bottom w:w="0" w:type="dxa"/>
            </w:tcMar>
            <w:vAlign w:val="center"/>
          </w:tcPr>
          <w:p>
            <w:pPr>
              <w:pStyle w:val="TableContents"/>
              <w:bidi w:val="0"/>
              <w:spacing w:before="0" w:after="283"/>
              <w:jc w:val="right"/>
              <w:rPr/>
            </w:pPr>
            <w:r>
              <w:rPr/>
              <w:t>39,285.71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November 12,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4145" w:type="dxa"/>
            <w:tcBorders/>
            <w:shd w:fill="CCEEFF" w:val="clear"/>
            <w:tcMar>
              <w:bottom w:w="0" w:type="dxa"/>
            </w:tcMar>
            <w:vAlign w:val="center"/>
          </w:tcPr>
          <w:p>
            <w:pPr>
              <w:pStyle w:val="TableContents"/>
              <w:bidi w:val="0"/>
              <w:spacing w:before="0" w:after="283"/>
              <w:jc w:val="right"/>
              <w:rPr>
                <w:sz w:val="20"/>
              </w:rPr>
            </w:pPr>
            <w:r>
              <w:rPr>
                <w:sz w:val="20"/>
              </w:rPr>
              <w:t>All remaining outstanding amounts under the Note</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each Amortization Payment paid to Holder under this Note shall first reduce all accrued and unpaid interest under the Note, and the remainder of such Amortization Payment (if any) shall reduce the outstanding principal balance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Borrower has caused this Note to be signed in its name by its duly authorized officer on November 12, 2025.</w:t>
      </w:r>
    </w:p>
    <w:p>
      <w:pPr>
        <w:pStyle w:val="TextBody"/>
        <w:bidi w:val="0"/>
        <w:spacing w:before="0" w:after="0"/>
        <w:ind w:left="0" w:right="0" w:hanging="0"/>
        <w:jc w:val="both"/>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335"/>
        <w:gridCol w:w="545"/>
        <w:gridCol w:w="1940"/>
        <w:gridCol w:w="75"/>
      </w:tblGrid>
      <w:tr>
        <w:trPr/>
        <w:tc>
          <w:tcPr>
            <w:tcW w:w="2820"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NewGenIvf Group Limited</w:t>
            </w:r>
          </w:p>
        </w:tc>
        <w:tc>
          <w:tcPr>
            <w:tcW w:w="75" w:type="dxa"/>
            <w:tcBorders/>
            <w:vAlign w:val="center"/>
          </w:tcPr>
          <w:p>
            <w:pPr>
              <w:pStyle w:val="TableContents"/>
              <w:bidi w:val="0"/>
              <w:spacing w:before="0" w:after="283"/>
              <w:jc w:val="both"/>
              <w:rPr/>
            </w:pPr>
            <w:r>
              <w:rPr/>
              <w:t> </w:t>
            </w:r>
          </w:p>
        </w:tc>
      </w:tr>
      <w:tr>
        <w:trPr/>
        <w:tc>
          <w:tcPr>
            <w:tcW w:w="2820" w:type="dxa"/>
            <w:gridSpan w:val="3"/>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8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Wing Fung Alfred Siu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 Note (defined below) into that number of shares of Common Stock to be issued pursuant to the conversion of the Note (“Common Stock”) as set forth below, of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a British Virgin Islands company (the “Borrower”), according to the conditions of the promissory note of the Borrower dated as of November 12, 2025 (the “Note”), as of the date written below. No fee will be charged to the Holder for any conversion, except for transfer taxes,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The Borrower shall electronically transmit the Common Stock issuable pursuant to this Notice of Conversion to the account of the undersigned or its nominee with DTC through its Deposit Withdrawal Agent Commission system (“DWAC Transfer”).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sz w:val="20"/>
              </w:rPr>
            </w:pPr>
            <w:r>
              <w:rPr>
                <w:sz w:val="20"/>
              </w:rPr>
              <w:t>Name of DTC Prime Broker: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sz w:val="20"/>
              </w:rPr>
            </w:pPr>
            <w:r>
              <w:rPr>
                <w:sz w:val="20"/>
              </w:rPr>
              <w:t>Account Number: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tc>
      </w:tr>
    </w:tbl>
    <w:p>
      <w:pPr>
        <w:pStyle w:val="TextBody"/>
        <w:bidi w:val="0"/>
        <w:spacing w:before="0" w:after="0"/>
        <w:ind w:left="0" w:right="0" w:hanging="0"/>
        <w:jc w:val="both"/>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75"/>
        <w:gridCol w:w="8195"/>
        <w:gridCol w:w="60"/>
        <w:gridCol w:w="125"/>
        <w:gridCol w:w="75"/>
      </w:tblGrid>
      <w:tr>
        <w:trPr/>
        <w:tc>
          <w:tcPr>
            <w:tcW w:w="75" w:type="dxa"/>
            <w:tcBorders/>
            <w:vAlign w:val="center"/>
          </w:tcPr>
          <w:p>
            <w:pPr>
              <w:pStyle w:val="TableContents"/>
              <w:bidi w:val="0"/>
              <w:spacing w:before="0" w:after="283"/>
              <w:ind w:left="0" w:right="0" w:hanging="180"/>
              <w:jc w:val="left"/>
              <w:rPr/>
            </w:pPr>
            <w:r>
              <w:rPr/>
              <w:t> </w:t>
            </w:r>
          </w:p>
        </w:tc>
        <w:tc>
          <w:tcPr>
            <w:tcW w:w="8195" w:type="dxa"/>
            <w:tcBorders/>
            <w:vAlign w:val="center"/>
          </w:tcPr>
          <w:p>
            <w:pPr>
              <w:pStyle w:val="TableContents"/>
              <w:bidi w:val="0"/>
              <w:spacing w:before="0" w:after="283"/>
              <w:jc w:val="both"/>
              <w:rPr>
                <w:sz w:val="20"/>
              </w:rPr>
            </w:pPr>
            <w:r>
              <w:rPr>
                <w:sz w:val="20"/>
              </w:rPr>
              <w:t>Date of Conversion:</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8195" w:type="dxa"/>
            <w:tcBorders/>
            <w:vAlign w:val="center"/>
          </w:tcPr>
          <w:p>
            <w:pPr>
              <w:pStyle w:val="TableContents"/>
              <w:bidi w:val="0"/>
              <w:spacing w:before="0" w:after="283"/>
              <w:jc w:val="both"/>
              <w:rPr>
                <w:sz w:val="20"/>
              </w:rPr>
            </w:pPr>
            <w:r>
              <w:rPr>
                <w:sz w:val="20"/>
              </w:rPr>
              <w:t>Applicable Conversion Price: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sz w:val="20"/>
              </w:rPr>
            </w:pPr>
            <w:r>
              <w:rPr>
                <w:sz w:val="20"/>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8195" w:type="dxa"/>
            <w:tcBorders/>
            <w:vAlign w:val="center"/>
          </w:tcPr>
          <w:p>
            <w:pPr>
              <w:pStyle w:val="TableContents"/>
              <w:bidi w:val="0"/>
              <w:spacing w:before="0" w:after="283"/>
              <w:jc w:val="both"/>
              <w:rPr/>
            </w:pPr>
            <w:r>
              <w:rPr/>
              <w:t>Number of Shares of Common Stock to be Issued Pursuant to Conversion of the Note:</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8195"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35" w:type="dxa"/>
        <w:jc w:val="left"/>
        <w:tblInd w:w="0" w:type="dxa"/>
        <w:tblLayout w:type="fixed"/>
        <w:tblCellMar>
          <w:top w:w="0" w:type="dxa"/>
          <w:left w:w="0" w:type="dxa"/>
          <w:bottom w:w="0" w:type="dxa"/>
          <w:right w:w="0" w:type="dxa"/>
        </w:tblCellMar>
      </w:tblPr>
      <w:tblGrid>
        <w:gridCol w:w="75"/>
        <w:gridCol w:w="560"/>
      </w:tblGrid>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both"/>
              <w:rPr>
                <w:sz w:val="20"/>
              </w:rPr>
            </w:pPr>
            <w:r>
              <w:rPr>
                <w:sz w:val="20"/>
              </w:rPr>
              <w:t>By:</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both"/>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both"/>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both"/>
              <w:rPr>
                <w:sz w:val="20"/>
              </w:rPr>
            </w:pPr>
            <w:r>
              <w:rPr>
                <w:sz w:val="20"/>
              </w:rPr>
              <w:t>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Each party consents to and expressly agrees that the exclusive venue for arbitration of any dispute arising out of or relating to any of the Transaction Documents or the relationship of the parties or their affiliates shall be in the Commonwealth of Massachusetts. For purposes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means any disputes, claims, demands, causes of action, requests for injunctive relief, requests for specific performance, questions regarding severability of any provisions of the Transaction Documents,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The parties to this Agreement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hereby agree that the Claims may be arbitrated in one or more Arbitrations pursuant to these Arbitration Provisions (one for an injunction or injunctions and a separate one for all other Claims). The parties hereby agree that the arbitration provisions set forth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Arbitration Provisions</w:t>
      </w:r>
      <w:r>
        <w:rPr>
          <w:rFonts w:ascii="Times New Roman;Times;Serif" w:hAnsi="Times New Roman;Times;Serif"/>
          <w:b w:val="false"/>
          <w:i w:val="false"/>
          <w:caps w:val="false"/>
          <w:smallCaps w:val="false"/>
          <w:sz w:val="20"/>
        </w:rPr>
        <w:t>”)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These Arbitration Provisions shall also survive any termination or expiration of the Agreement. Any capitalized term not defined in these Arbitration Provisions shall have the meaning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Except as otherwise provided herein, all Claims must be submitted to arbitration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 to be conducted exclusively in the Commonwealth of Massachusetts and pursuant to the terms set forth in these Arbitration Provisions. Subject to the arbitration appeal right provided for in Paragraph 5 below (the “</w:t>
      </w:r>
      <w:r>
        <w:rPr>
          <w:rFonts w:ascii="Times New Roman;Times;Serif" w:hAnsi="Times New Roman;Times;Serif"/>
          <w:b/>
          <w:i w:val="false"/>
          <w:caps w:val="false"/>
          <w:smallCaps w:val="false"/>
          <w:sz w:val="20"/>
        </w:rPr>
        <w:t>Appeal Right</w:t>
      </w:r>
      <w:r>
        <w:rPr>
          <w:rFonts w:ascii="Times New Roman;Times;Serif" w:hAnsi="Times New Roman;Times;Serif"/>
          <w:b w:val="false"/>
          <w:i w:val="false"/>
          <w:caps w:val="false"/>
          <w:smallCaps w:val="false"/>
          <w:sz w:val="20"/>
        </w:rPr>
        <w:t>”), the parties agree that the award of the arbitrator rendered pursuant to Paragraph 4 below (the “</w:t>
      </w:r>
      <w:r>
        <w:rPr>
          <w:rFonts w:ascii="Times New Roman;Times;Serif" w:hAnsi="Times New Roman;Times;Serif"/>
          <w:b/>
          <w:i w:val="false"/>
          <w:caps w:val="false"/>
          <w:smallCaps w:val="false"/>
          <w:sz w:val="20"/>
        </w:rPr>
        <w:t>Arbitration Award</w:t>
      </w:r>
      <w:r>
        <w:rPr>
          <w:rFonts w:ascii="Times New Roman;Times;Serif" w:hAnsi="Times New Roman;Times;Serif"/>
          <w:b w:val="false"/>
          <w:i w:val="false"/>
          <w:caps w:val="false"/>
          <w:smallCaps w:val="false"/>
          <w:sz w:val="20"/>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(with respect to monetary awards) at the rate specified in the Note for Default Interest both before and after the Arbitration Award. Judgment upon the Arbitration Award will be entered and enforced by any state or federal court sitting in the Commonwealth of Massachusetts.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The Arbitration Act</w:t>
      </w:r>
      <w:r>
        <w:rPr>
          <w:rFonts w:ascii="Times New Roman;Times;Serif" w:hAnsi="Times New Roman;Times;Serif"/>
          <w:b w:val="false"/>
          <w:i w:val="false"/>
          <w:caps w:val="false"/>
          <w:smallCaps w:val="false"/>
          <w:sz w:val="20"/>
        </w:rPr>
        <w:t>. The parties hereby incorporate herein the provisions and procedures set forth in the Massachusetts Uniform Arbitration Act, G.L. c. 251 (as amended or superseded from time to time, the “</w:t>
      </w:r>
      <w:r>
        <w:rPr>
          <w:rFonts w:ascii="Times New Roman;Times;Serif" w:hAnsi="Times New Roman;Times;Serif"/>
          <w:b/>
          <w:i w:val="false"/>
          <w:caps w:val="false"/>
          <w:smallCaps w:val="false"/>
          <w:sz w:val="20"/>
        </w:rPr>
        <w:t>Arbitration Act</w:t>
      </w:r>
      <w:r>
        <w:rPr>
          <w:rFonts w:ascii="Times New Roman;Times;Serif" w:hAnsi="Times New Roman;Times;Serif"/>
          <w:b w:val="false"/>
          <w:i w:val="false"/>
          <w:caps w:val="false"/>
          <w:smallCaps w:val="false"/>
          <w:sz w:val="20"/>
        </w:rPr>
        <w:t>”). Notwithstanding the foregoing, pursuant to, and to the maximum extent permitted by,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Arbitration Proceedings</w:t>
      </w:r>
      <w:r>
        <w:rPr>
          <w:rFonts w:ascii="Times New Roman;Times;Serif" w:hAnsi="Times New Roman;Times;Serif"/>
          <w:b w:val="false"/>
          <w:i w:val="false"/>
          <w:caps w:val="false"/>
          <w:smallCaps w:val="false"/>
          <w:sz w:val="20"/>
        </w:rPr>
        <w:t>. Arbitration between the parties will be subject to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caps w:val="false"/>
          <w:smallCaps w:val="false"/>
          <w:sz w:val="20"/>
        </w:rPr>
        <w:t>Initiation of Arbitration</w:t>
      </w:r>
      <w:r>
        <w:rPr>
          <w:rFonts w:ascii="Times New Roman;Times;Serif" w:hAnsi="Times New Roman;Times;Serif"/>
          <w:b w:val="false"/>
          <w:i w:val="false"/>
          <w:caps w:val="false"/>
          <w:smallCaps w:val="false"/>
          <w:sz w:val="20"/>
        </w:rPr>
        <w:t>. The parties agree that a party may initiate Arbitration by giving written notice to the other party (“</w:t>
      </w:r>
      <w:r>
        <w:rPr>
          <w:rFonts w:ascii="Times New Roman;Times;Serif" w:hAnsi="Times New Roman;Times;Serif"/>
          <w:b/>
          <w:i w:val="false"/>
          <w:caps w:val="false"/>
          <w:smallCaps w:val="false"/>
          <w:sz w:val="20"/>
        </w:rPr>
        <w:t>Arbitration Notice</w:t>
      </w:r>
      <w:r>
        <w:rPr>
          <w:rFonts w:ascii="Times New Roman;Times;Serif" w:hAnsi="Times New Roman;Times;Serif"/>
          <w:b w:val="false"/>
          <w:i w:val="false"/>
          <w:caps w:val="false"/>
          <w:smallCaps w:val="false"/>
          <w:sz w:val="20"/>
        </w:rPr>
        <w:t xml:space="preserve">”) in the same manner that notice is permitted under Section 8(f) of the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Arbitration Notice may not be given by email or fax. Arbitration will be deemed initiated as of the date that the Arbitration Notice is deemed physically delivered to such other party under Section 8(f) of the Agreement (the “</w:t>
      </w:r>
      <w:r>
        <w:rPr>
          <w:rFonts w:ascii="Times New Roman;Times;Serif" w:hAnsi="Times New Roman;Times;Serif"/>
          <w:b/>
          <w:i w:val="false"/>
          <w:caps w:val="false"/>
          <w:smallCaps w:val="false"/>
          <w:sz w:val="20"/>
        </w:rPr>
        <w:t>Service Date</w:t>
      </w:r>
      <w:r>
        <w:rPr>
          <w:rFonts w:ascii="Times New Roman;Times;Serif" w:hAnsi="Times New Roman;Times;Serif"/>
          <w:b w:val="false"/>
          <w:i w:val="false"/>
          <w:caps w:val="false"/>
          <w:smallCaps w:val="false"/>
          <w:sz w:val="20"/>
        </w:rPr>
        <w:t>”). After the Service Date, information may be delivered, and notices may be given, by email or fax pursuant to Section 8(f) of the Agreement or any other method permitted thereunder. The Arbitration Notice must describe the nature of the controversy, the remedies sought, and the election to commence Arbitration proceedings. All Claims in the Arbitration Notice must be pleaded consistent with the Massachusetts Rules of Civil Procedure.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caps w:val="false"/>
          <w:smallCaps w:val="false"/>
          <w:sz w:val="20"/>
        </w:rPr>
        <w:t>Selection and Payment of Arbitrator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Service Date, Buyer shall select and submit to Company the names of four (4) arbitrators that are designated as “neutrals” or qualified arbitrators by JAMS (https://www.jamsadr.com/) or other arbitration service provider agreed upon by the parties (such four (4) designated persons hereunder are referred to herein as the “</w:t>
      </w:r>
      <w:r>
        <w:rPr>
          <w:rFonts w:ascii="Times New Roman;Times;Serif" w:hAnsi="Times New Roman;Times;Serif"/>
          <w:b/>
          <w:i w:val="false"/>
          <w:caps w:val="false"/>
          <w:smallCaps w:val="false"/>
          <w:sz w:val="20"/>
        </w:rPr>
        <w:t>Proposed Arbitrators</w:t>
      </w:r>
      <w:r>
        <w:rPr>
          <w:rFonts w:ascii="Times New Roman;Times;Serif" w:hAnsi="Times New Roman;Times;Serif"/>
          <w:b w:val="false"/>
          <w:i w:val="false"/>
          <w:caps w:val="false"/>
          <w:smallCaps w:val="false"/>
          <w:sz w:val="20"/>
        </w:rPr>
        <w:t>”). Within five (5) calendar days after Buyer has submitted to Company the names of the Proposed Arbitrators, Company must select, by written notice to Buyer, one (1) of the Proposed Arbitrators to act as the arbitrator for the parties under these Arbitration Provisions. If Company fails to select one of the Proposed Arbitrators in writing within such 5-day period, then Buyer may select the arbitrator from the Proposed Arbitrators by providing written notice of such selection to Company. The date that the Proposed Arbitrator selected pursuant to this Paragraph 4.2 agrees in writing (including via email) delivered to both parties to serve as the arbitrator hereunder is referred to herein as the “</w:t>
      </w:r>
      <w:r>
        <w:rPr>
          <w:rFonts w:ascii="Times New Roman;Times;Serif" w:hAnsi="Times New Roman;Times;Serif"/>
          <w:b/>
          <w:i w:val="false"/>
          <w:caps w:val="false"/>
          <w:smallCaps w:val="false"/>
          <w:sz w:val="20"/>
        </w:rPr>
        <w:t>Arbitration Commencement Date</w:t>
      </w:r>
      <w:r>
        <w:rPr>
          <w:rFonts w:ascii="Times New Roman;Times;Serif" w:hAnsi="Times New Roman;Times;Serif"/>
          <w:b w:val="false"/>
          <w:i w:val="false"/>
          <w:caps w:val="false"/>
          <w:smallCaps w:val="false"/>
          <w:sz w:val="20"/>
        </w:rPr>
        <w:t>”. If an arbitrator resigns or is unable to act during the Arbitration, a replacement arbitrator shall be chosen by Buyer in accordance with this Paragraph 4.2 to continue the Arbitration. If JAMS or other arbitration service provider agreed upon by the parties ceases to exist or to provide a list of neutrals and there is no successor thereto, then the arbitrator shall be selected under the then prevailing rules of the American Arbitration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caps w:val="false"/>
          <w:smallCaps w:val="false"/>
          <w:sz w:val="20"/>
        </w:rPr>
        <w:t>Applicability of Certain Massachusetts Rules</w:t>
      </w:r>
      <w:r>
        <w:rPr>
          <w:rFonts w:ascii="Times New Roman;Times;Serif" w:hAnsi="Times New Roman;Times;Serif"/>
          <w:b w:val="false"/>
          <w:i w:val="false"/>
          <w:caps w:val="false"/>
          <w:smallCaps w:val="false"/>
          <w:sz w:val="20"/>
        </w:rPr>
        <w:t>. The parties agree that the Arbitration shall be conducted generally in accordance with the Massachusetts Rules of Civil Procedure and the Massachusetts Rules of Evidence. More specifically, the Massachusetts Rules of Civil Procedure shall apply, without limitation, to the filing of any pleadings, motions or memoranda, the conducting of discovery, and the taking of any depositions. The Massachusetts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Massachusetts Rules of Civil Procedure or the Massachusetts Rules of Evidence and these Arbitration Provisions, these Arbitration Provisions shall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caps w:val="false"/>
          <w:smallCaps w:val="false"/>
          <w:sz w:val="20"/>
        </w:rPr>
        <w:t>Answer and Default</w:t>
      </w:r>
      <w:r>
        <w:rPr>
          <w:rFonts w:ascii="Times New Roman;Times;Serif" w:hAnsi="Times New Roman;Times;Serif"/>
          <w:b w:val="false"/>
          <w:i w:val="false"/>
          <w:caps w:val="false"/>
          <w:smallCaps w:val="false"/>
          <w:sz w:val="20"/>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Discovery</w:t>
      </w:r>
      <w:r>
        <w:rPr>
          <w:rFonts w:ascii="Times New Roman;Times;Serif" w:hAnsi="Times New Roman;Times;Serif"/>
          <w:b w:val="false"/>
          <w:i w:val="false"/>
          <w:caps w:val="false"/>
          <w:smallCaps w:val="false"/>
          <w:sz w:val="20"/>
        </w:rPr>
        <w:t>. The parties agree that discovery shall be conducted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Dispositive Motions</w:t>
      </w:r>
      <w:r>
        <w:rPr>
          <w:rFonts w:ascii="Times New Roman;Times;Serif" w:hAnsi="Times New Roman;Times;Serif"/>
          <w:b w:val="false"/>
          <w:i w:val="false"/>
          <w:caps w:val="false"/>
          <w:smallCaps w:val="false"/>
          <w:sz w:val="20"/>
        </w:rPr>
        <w:t>. Each party shall have the right to submit dispositive motions pursuant to the Massachusetts Rules of Civil Procedure (a “</w:t>
      </w:r>
      <w:r>
        <w:rPr>
          <w:rFonts w:ascii="Times New Roman;Times;Serif" w:hAnsi="Times New Roman;Times;Serif"/>
          <w:b/>
          <w:i w:val="false"/>
          <w:caps w:val="false"/>
          <w:smallCaps w:val="false"/>
          <w:sz w:val="20"/>
        </w:rPr>
        <w:t>Dispositive Motion</w:t>
      </w:r>
      <w:r>
        <w:rPr>
          <w:rFonts w:ascii="Times New Roman;Times;Serif" w:hAnsi="Times New Roman;Times;Serif"/>
          <w:b w:val="false"/>
          <w:i w:val="false"/>
          <w:caps w:val="false"/>
          <w:smallCaps w:val="false"/>
          <w:sz w:val="20"/>
        </w:rPr>
        <w:t>”). The party submitting the Dispositive Motion may, but is not required to, deliver to the arbitrator and to the other party a memorandum in support (the “</w:t>
      </w:r>
      <w:r>
        <w:rPr>
          <w:rFonts w:ascii="Times New Roman;Times;Serif" w:hAnsi="Times New Roman;Times;Serif"/>
          <w:b/>
          <w:i w:val="false"/>
          <w:caps w:val="false"/>
          <w:smallCaps w:val="false"/>
          <w:sz w:val="20"/>
        </w:rPr>
        <w:t>Memorandum in Support</w:t>
      </w:r>
      <w:r>
        <w:rPr>
          <w:rFonts w:ascii="Times New Roman;Times;Serif" w:hAnsi="Times New Roman;Times;Serif"/>
          <w:b w:val="false"/>
          <w:i w:val="false"/>
          <w:caps w:val="false"/>
          <w:smallCaps w:val="false"/>
          <w:sz w:val="20"/>
        </w:rPr>
        <w:t>”) of the Dispositive Motion. Within seven (7) calendar days of delivery of the Memorandum in Support, the other party shall deliver to the arbitrator and to the other party a memorandum in opposition to the Memorandum in Support (the “</w:t>
      </w:r>
      <w:r>
        <w:rPr>
          <w:rFonts w:ascii="Times New Roman;Times;Serif" w:hAnsi="Times New Roman;Times;Serif"/>
          <w:b/>
          <w:i w:val="false"/>
          <w:caps w:val="false"/>
          <w:smallCaps w:val="false"/>
          <w:sz w:val="20"/>
        </w:rPr>
        <w:t>Memorandum in Opposition</w:t>
      </w:r>
      <w:r>
        <w:rPr>
          <w:rFonts w:ascii="Times New Roman;Times;Serif" w:hAnsi="Times New Roman;Times;Serif"/>
          <w:b w:val="false"/>
          <w:i w:val="false"/>
          <w:caps w:val="false"/>
          <w:smallCaps w:val="false"/>
          <w:sz w:val="20"/>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Times;Serif" w:hAnsi="Times New Roman;Times;Serif"/>
          <w:b/>
          <w:i w:val="false"/>
          <w:caps w:val="false"/>
          <w:smallCaps w:val="false"/>
          <w:sz w:val="20"/>
        </w:rPr>
        <w:t>Reply Memorandum</w:t>
      </w:r>
      <w:r>
        <w:rPr>
          <w:rFonts w:ascii="Times New Roman;Times;Serif" w:hAnsi="Times New Roman;Times;Serif"/>
          <w:b w:val="false"/>
          <w:i w:val="false"/>
          <w:caps w:val="false"/>
          <w:smallCaps w:val="false"/>
          <w:sz w:val="20"/>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caps w:val="false"/>
          <w:smallCaps w:val="false"/>
          <w:sz w:val="20"/>
        </w:rPr>
        <w:t>Authorization; Timing; Scheduling Order</w:t>
      </w:r>
      <w:r>
        <w:rPr>
          <w:rFonts w:ascii="Times New Roman;Times;Serif" w:hAnsi="Times New Roman;Times;Serif"/>
          <w:b w:val="false"/>
          <w:i w:val="false"/>
          <w:caps w:val="false"/>
          <w:smallCaps w:val="false"/>
          <w:sz w:val="20"/>
        </w:rPr>
        <w:t>. Subject to all other portions of these Arbitration Provisions, the parties hereby authorize and direct the arbitrator to take such actions and make such rulings as may be necessary to carry out the parties’ intent for the Arbitration proceedings to be efficient and expeditious. The parties hereby agree that an Arbitration Award must be made within one hundred twenty (120) calendar days after the Arbitration Commencement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caps w:val="false"/>
          <w:smallCaps w:val="false"/>
          <w:sz w:val="20"/>
        </w:rPr>
        <w:t>Relief</w:t>
      </w:r>
      <w:r>
        <w:rPr>
          <w:rFonts w:ascii="Times New Roman;Times;Serif" w:hAnsi="Times New Roman;Times;Serif"/>
          <w:b w:val="false"/>
          <w:i w:val="false"/>
          <w:caps w:val="false"/>
          <w:smallCaps w:val="false"/>
          <w:sz w:val="20"/>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Arbitration Appeal</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caps w:val="false"/>
          <w:smallCaps w:val="false"/>
          <w:sz w:val="20"/>
        </w:rPr>
        <w:t xml:space="preserve">Initiation of Appeal. </w:t>
      </w:r>
      <w:r>
        <w:rPr>
          <w:rFonts w:ascii="Times New Roman;Times;Serif" w:hAnsi="Times New Roman;Times;Serif"/>
          <w:b w:val="false"/>
          <w:i w:val="false"/>
          <w:caps w:val="false"/>
          <w:smallCaps w:val="false"/>
          <w:sz w:val="20"/>
        </w:rPr>
        <w:t>Following the entry of the Arbitration Award, either party (the “</w:t>
      </w:r>
      <w:r>
        <w:rPr>
          <w:rFonts w:ascii="Times New Roman;Times;Serif" w:hAnsi="Times New Roman;Times;Serif"/>
          <w:b/>
          <w:i w:val="false"/>
          <w:caps w:val="false"/>
          <w:smallCaps w:val="false"/>
          <w:sz w:val="20"/>
        </w:rPr>
        <w:t>Appellant</w:t>
      </w:r>
      <w:r>
        <w:rPr>
          <w:rFonts w:ascii="Times New Roman;Times;Serif" w:hAnsi="Times New Roman;Times;Serif"/>
          <w:b w:val="false"/>
          <w:i w:val="false"/>
          <w:caps w:val="false"/>
          <w:smallCaps w:val="false"/>
          <w:sz w:val="20"/>
        </w:rPr>
        <w:t>”) shall have a period of thirty (30) calendar days in which to notify the other party (the “</w:t>
      </w:r>
      <w:r>
        <w:rPr>
          <w:rFonts w:ascii="Times New Roman;Times;Serif" w:hAnsi="Times New Roman;Times;Serif"/>
          <w:b/>
          <w:i w:val="false"/>
          <w:caps w:val="false"/>
          <w:smallCaps w:val="false"/>
          <w:sz w:val="20"/>
        </w:rPr>
        <w:t>Appellee</w:t>
      </w:r>
      <w:r>
        <w:rPr>
          <w:rFonts w:ascii="Times New Roman;Times;Serif" w:hAnsi="Times New Roman;Times;Serif"/>
          <w:b w:val="false"/>
          <w:i w:val="false"/>
          <w:caps w:val="false"/>
          <w:smallCaps w:val="false"/>
          <w:sz w:val="20"/>
        </w:rPr>
        <w:t>”), in writing, that the Appellant elects to appeal (the “</w:t>
      </w:r>
      <w:r>
        <w:rPr>
          <w:rFonts w:ascii="Times New Roman;Times;Serif" w:hAnsi="Times New Roman;Times;Serif"/>
          <w:b/>
          <w:i w:val="false"/>
          <w:caps w:val="false"/>
          <w:smallCaps w:val="false"/>
          <w:sz w:val="20"/>
        </w:rPr>
        <w:t>Appeal</w:t>
      </w:r>
      <w:r>
        <w:rPr>
          <w:rFonts w:ascii="Times New Roman;Times;Serif" w:hAnsi="Times New Roman;Times;Serif"/>
          <w:b w:val="false"/>
          <w:i w:val="false"/>
          <w:caps w:val="false"/>
          <w:smallCaps w:val="false"/>
          <w:sz w:val="20"/>
        </w:rPr>
        <w:t>”) the Arbitration Award (such notice, an “</w:t>
      </w:r>
      <w:r>
        <w:rPr>
          <w:rFonts w:ascii="Times New Roman;Times;Serif" w:hAnsi="Times New Roman;Times;Serif"/>
          <w:b/>
          <w:i w:val="false"/>
          <w:caps w:val="false"/>
          <w:smallCaps w:val="false"/>
          <w:sz w:val="20"/>
        </w:rPr>
        <w:t>Appeal Notice</w:t>
      </w:r>
      <w:r>
        <w:rPr>
          <w:rFonts w:ascii="Times New Roman;Times;Serif" w:hAnsi="Times New Roman;Times;Serif"/>
          <w:b w:val="false"/>
          <w:i w:val="false"/>
          <w:caps w:val="false"/>
          <w:smallCaps w:val="false"/>
          <w:sz w:val="20"/>
        </w:rPr>
        <w:t>”) to a panel of arbitrators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caps w:val="false"/>
          <w:smallCaps w:val="false"/>
          <w:sz w:val="20"/>
        </w:rPr>
        <w:t xml:space="preserve">Fees and Costs. </w:t>
      </w:r>
      <w:r>
        <w:rPr>
          <w:rFonts w:ascii="Times New Roman;Times;Serif" w:hAnsi="Times New Roman;Times;Serif"/>
          <w:b w:val="false"/>
          <w:i w:val="false"/>
          <w:caps w:val="false"/>
          <w:smallCaps w:val="false"/>
          <w:sz w:val="20"/>
        </w:rPr>
        <w:t>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Except as otherwise expressly provided for in these Arbitration Provisions, these Arbitration Provisions shall be governed by the laws of the State of Delaware without regard to the conflict of laws principles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headings of these Arbitration Provisions are for convenience of reference only and shall not form part of, or affect the interpretation of, these Arbitration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caps w:val="false"/>
          <w:smallCaps w:val="false"/>
          <w:sz w:val="20"/>
        </w:rPr>
        <w:t>Waiver</w:t>
      </w:r>
      <w:r>
        <w:rPr>
          <w:rFonts w:ascii="Times New Roman;Times;Serif" w:hAnsi="Times New Roman;Times;Serif"/>
          <w:b w:val="false"/>
          <w:i w:val="false"/>
          <w:caps w:val="false"/>
          <w:smallCaps w:val="false"/>
          <w:sz w:val="20"/>
        </w:rPr>
        <w:t>. No waiver of any provision of these Arbitration Provisions shall be effective unless it is in the form of a writing signed by the party granting the waiver.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caps w:val="false"/>
          <w:smallCaps w:val="false"/>
          <w:sz w:val="20"/>
        </w:rPr>
        <w:t>Time is of the Essence</w:t>
      </w:r>
      <w:r>
        <w:rPr>
          <w:rFonts w:ascii="Times New Roman;Times;Serif" w:hAnsi="Times New Roman;Times;Serif"/>
          <w:b w:val="false"/>
          <w:i w:val="false"/>
          <w:caps w:val="false"/>
          <w:smallCaps w:val="false"/>
          <w:sz w:val="20"/>
        </w:rPr>
        <w:t>. Time is expressly made of the essence with respect to each and every provision of these Arbitration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ea030132501ex10-37.htm"/>
      <w:bookmarkStart w:id="44" w:name="ksea030132501ex1037"/>
      <w:bookmarkEnd w:id="43"/>
      <w:bookmarkEnd w:id="44"/>
      <w:r>
        <w:rPr>
          <w:rFonts w:ascii="Times New Roman;Times;Serif" w:hAnsi="Times New Roman;Times;Serif"/>
          <w:b/>
          <w:i w:val="false"/>
          <w:caps w:val="false"/>
          <w:smallCaps w:val="false"/>
          <w:sz w:val="20"/>
        </w:rPr>
        <w:t>Exhibit 10.37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xml:space="preserve"> (the “Agreement”), dated as of January 22,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with its address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Boot Capital LLC</w:t>
      </w:r>
      <w:r>
        <w:rPr>
          <w:rFonts w:ascii="Times New Roman;Times;Serif" w:hAnsi="Times New Roman;Times;Serif"/>
          <w:b w:val="false"/>
          <w:i w:val="false"/>
          <w:caps w:val="false"/>
          <w:smallCaps w:val="false"/>
          <w:sz w:val="20"/>
        </w:rPr>
        <w:t>, a Delaware limited liability company, with its address at 1688 Meridian Ave., Suite 723, Miami Beach, FL 33139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Lender are executing and delivering this Agreement in reliance upon the exemption from securities registration afforded by the rules and regulations as promulgated by the United States Securities and Exchange Commission (the “SEC”) under the Securities Act of 1933, as amended (the “1933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desires to purchase and the Company desires to issue and sell, upon the terms and conditions set forth in this Agreement, a convertible promissory note of the Company, in the form attached hereto as Exhibit A, in the aggregate principal amount of $50,000.00 (the “Note”)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Company and the Lender hereby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the Securities</w:t>
      </w:r>
      <w:r>
        <w:rPr>
          <w:rFonts w:ascii="Times New Roman;Times;Serif" w:hAnsi="Times New Roman;Times;Serif"/>
          <w:b w:val="false"/>
          <w:i w:val="false"/>
          <w:caps w:val="false"/>
          <w:smallCaps w:val="false"/>
          <w:sz w:val="20"/>
        </w:rPr>
        <w:t>. On the Closing Date (as defined below), the Company shall issue and sell to the Lender and the Lender agrees to purchase from the Company the Securities as is set forth immediately below the Lender’s name on the signature pages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On the Closing Date (as defined below), (i) the Lender shall pay the purchase price for the Securities be issued and sold to it at the Closing (as defined below) (the “Purchase Price”) by wire transfer of immediately available funds to the Company, in accordance with the Company’s written wiring instructions, against delivery of the Securities, and (ii) the Company shall deliver such duly executed Note on behalf of the Company against delivery of such Purchase Price.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satisfaction (or written waiver) of the conditions thereto set forth in Section 6 and Section 7 below, the date and time of the issuance and sale of the Securities pursuant to this Agreement (the “Closing Date”) shall be 12:00 noon, Eastern Standard Time on or about January 22, 2026, or such other mutually agreed upon time. The closing of the transactions contemplated by this Agreement (the “Closing”) shall occur on the Closing Date at such location as may be agreed to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Lender’s Representations and Warranties.</w:t>
      </w:r>
      <w:r>
        <w:rPr>
          <w:rFonts w:ascii="Times New Roman;Times;Serif" w:hAnsi="Times New Roman;Times;Serif"/>
          <w:b w:val="false"/>
          <w:i w:val="false"/>
          <w:caps w:val="false"/>
          <w:smallCaps w:val="false"/>
          <w:sz w:val="20"/>
        </w:rPr>
        <w:t xml:space="preserve"> The Lender represents and warrants to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As of the date hereof, the Lender is purchasing the Note and the shares of Class A Ordinary Shares of the Company (“Class A Ordinary Shares”) issuable upon conversion of or otherwise pursuant to the Note (such shares of Class A Ordinary Shares being collectively referred to herein as the “Conversion Shares” and, collectively with the Note, the “Securities”) for its own account and not with a present view towards the public sale or distribution thereof, except pursuant to sales registered or exempted from registration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Lender is an “accredited investor” as that term is defined in Rule 501(a) of Regulation D (an “Accredited Investor”). Lender, either alone or together with its representatives, has such knowledge, sophistication and experience in business and financial matters so as to be capable of evaluating the merits and risks of the prospective investment in the Note and the Conversion Shares, and has so evaluated the merits and risks of such investment. Lender is able to bear the economic risk of an investment in the Note and Conversion Share and, at the present time, is able to afford a complete loss of such investment. Lender acknowledges that it has had the opportunity to review the reports filed by the Company with the Securities and Exchange Commission, and has been afforded: (i) the opportunity to ask such questions as it has deemed necessary of, and to receive answers from, representatives of the Company concerning the terms and conditions of the offering of the Note and Conversion Shares and the merits and risks of investing in the Note and Conversion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Lender understands that the Securities are being offered and sold to it in reliance upon specific exemptions from the registration requirements of United States federal and state securities laws and that the Company is relying upon the truth and accuracy of, and the Lender’s compliance with, the representations, warranties, agreements, acknowledgments and understandings of the Lender set forth herein in order to determine the availability of such exemptions and the eligibility of the Lender to acquire the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Company has not disclosed to the Lender any material nonpublic information and will not disclose such information unless such information is disclosed to the public prior to or promptly following such disclosure to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Lender understands that the Securities have not been registered under the 1933 Act; and may bear a restrictive legend in substantially the following form: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INSTRUMENT HAVE NOT BEEN REGISTERED UNDER THE SECURITIES ACT OF 1933, AS AMENDED (THE “SECURITIES ACT”), OR UNDER ANY STATE SECURITIES LAWS, AND MAY NOT BE PLEDGED, SOLD, ASSIGNED, HYPOTHECATED OR OTHERWISE TRANSFERRED UNLESS (1) A REGISTRATION STATEMENT WITH RESPECT THERETO IS EFFECTIVE UNDER THE SECURITIES ACT AND ANY APPLICABLE STATE SECURITIES LAWS OR (2) THE ISSUER OF SUCH SECURITIES RECEIVES AN OPINION OF COUNSEL TO THE BUYER OF SUCH SECURITIES, WHICH COUNSEL AND OPINION ARE REASONABLY ACCEPTABLE TO THE ISSUER’S TRANSFER AGENT, THAT SUCH SECURITIES MAY BE PLEDGED, SOLD, ASSIGNED, HYPOTHECATED OR OTHERWISE TRANSFERRED WITHOUT AN EFFECTIVE REGISTRATION STATEMENT UNDER THE SECURITIES ACT AND APPLICABLE STATE SECURITIES LAWS.”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without such legend to the Lender of any Security upon which it is stamped, if, unless otherwise required by applicable state securities laws, (a) such Security is registered for sale under an effective registration statement filed under the 1933 Act or otherwise may be sold pursuant to an exemption from registration without any restriction as to the number of securities as of a particular date that can then be immediately sold, or (b) such Lender provides the Company with an opinion of counsel, in form, substance and scope customary for opinions of counsel in comparable transactions, to the effect that a public sale or transfer of such Security may be made without registration under the 1933 Act, which opinion shall be accepted by the Company so that the sale or transfer is effected. The Lender agrees to sell all Securities, including those represented by a certificate(s) from which the legend has been removed, in compliance with applicable prospectus delivery requirements, if any. In the event that the Company does not reasonably accept the opinion of counsel that properly conforms to applicable securities laws provided by the Lender with respect to the transfer of any Securities pursuant to an exemption from registration, such as Rule 144, at the Deadline, it will be considered an Event of Default pursuant to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This Agreement has been duly executed and delivered on behalf of the Lender, and this Agreement constitutes a valid and binding agreement of the Lender enforceable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Lender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its Subsidiaries (as defined below), if any, is a corporation duly organized, validly existing and in good standing under the laws of the jurisdiction in which it is incorporated, with full power and authority (corporate and other) to own, lease, use and operate its properties and to carry on its business as and where now owned, leased, used, operated and conducted.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(i)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the Note by the Company and the consummation by it of the transactions contemplated hereby and thereby (including without limitation, the issuance of the Note has been duly authorized by the Company’s Board of Directors and no further consent or authorization of the Company, its Board of Directors, or its shareholders is required, (iii) this Agreement has been duly executed and delivered by the Company by its authorized representative, and such authorized representative is the true and official representative with authority to sign this Agreement and the other documents executed in connection herewith and bind the Company accordingly, and (iv) this Agreement constitutes, and upon execution and delivery by the Company of the Note, each of such instruments will constitute, a legal, valid and binding obligation of the Company enforceable against the Company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Capitalization. As of the date hereof, the authorized Class A Ordinary Shares of the Company consists of 50,000,000 authorized shares, no par value per share, of which 1,277,956 shares are issued and outstanding. All of such outstanding shares of capital stock are, or upon issuance will be, duly authorized, validly issued, fully paid and non-assessable.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Securities are duly authorized and reserved for issuance in accordance with its respective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Lender thereof.</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the Note by the Company and the consummation by the Company of the transactions contemplated hereby and thereby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are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The businesses of the Company and its Subsidiaries, if any, are not being conducted, and shall not be conducted so long as the Lender owns any of the Securities, in violation of any law, ordinance or regulation of any governmental entity.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This Note is subordinate to the currently outstanding Series A Preferred Stock, solely with respect to dividend rights and rights on the distribution of assets on any voluntary or involuntary liquidation, dissolution or winding up of the affairs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it with the SEC pursuant to the reporting requirements of the Exchange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or if amended, as of the dates of the amendments,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or if amended, as of the dates of the amendments,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The Company is subject to the reporting requirements of the Exchange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2024, except as set forth in the SEC Documents, there has been no material adverse change and no material adverse development in the assets, liabilities, business, properties, operations, financial condition, results of operations, prospects or Exchange Act reporting status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Except as set forth in the SEC Documents,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Company and its Subsidiaries are unaware of any facts or circumstances which might give rise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Lender. The issuance of the Securities to the Lender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Brokers</w:t>
      </w:r>
      <w:r>
        <w:rPr>
          <w:rFonts w:ascii="Times New Roman;Times;Serif" w:hAnsi="Times New Roman;Times;Serif"/>
          <w:b w:val="false"/>
          <w:i w:val="false"/>
          <w:caps w:val="false"/>
          <w:smallCaps w:val="false"/>
          <w:sz w:val="20"/>
        </w:rPr>
        <w:t>. The Company has taken no action which would give rise to any claim by any person for brokerage commissions, transaction fees or similar payments relating to this Agreement or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If the Company breaches any of the material representations or warranties set forth in this Section 3 which is continuing after the applicable cure period as set forth in the Note, if any, and in addition to any other remedies available to the Lender pursuant to this Agreement, it will be considered an Event of default under Section 4.4 of the Note.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113"/>
        <w:gridCol w:w="8881"/>
      </w:tblGrid>
      <w:tr>
        <w:trPr/>
        <w:tc>
          <w:tcPr>
            <w:tcW w:w="21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pPr>
            <w:r>
              <w:rPr/>
              <w:t>4.</w:t>
            </w:r>
          </w:p>
        </w:tc>
        <w:tc>
          <w:tcPr>
            <w:tcW w:w="8881" w:type="dxa"/>
            <w:tcBorders/>
            <w:vAlign w:val="center"/>
          </w:tcPr>
          <w:p>
            <w:pPr>
              <w:pStyle w:val="TableContents"/>
              <w:bidi w:val="0"/>
              <w:spacing w:before="0" w:after="283"/>
              <w:jc w:val="left"/>
              <w:rPr/>
            </w:pPr>
            <w:r>
              <w:rPr>
                <w:u w:val="single"/>
              </w:rPr>
              <w:t>COVENANTS</w:t>
            </w:r>
            <w:r>
              <w:rPr/>
              <w:t>.</w:t>
            </w:r>
          </w:p>
        </w:tc>
      </w:tr>
    </w:tbl>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Reasonable Commercial Efforts</w:t>
      </w:r>
      <w:r>
        <w:rPr>
          <w:rFonts w:ascii="Times New Roman;Times;Serif" w:hAnsi="Times New Roman;Times;Serif"/>
          <w:b w:val="false"/>
          <w:i w:val="false"/>
          <w:caps w:val="false"/>
          <w:smallCaps w:val="false"/>
          <w:sz w:val="20"/>
        </w:rPr>
        <w:t>. The Company shall use its reasonable commercial efforts to satisfy timely each of the conditions described in Section 7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proceeds for general working capital purposes.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So long as the Lender beneficially owns any Note, the Company shall maintain its corporate existence and shall not sell all or substantially all of the Company’s assets in one or a series of transactions the result of which would render the Company a “shell company” as such term in defined in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If the Company breaches any of the material covenants set forth in this Section 4, and in addition to any other remedies available to the Lender pursuant to this Agreement which is continuing after the applicable cure period as set forth in the Note, it will be considered an event of default under Section 4.4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So long as the Lender beneficially owns the Note, the Company shall comply with the reporting requirements of the Exchange Act; and the Company shall continue to be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The Company has not engaged the Lender to perform “Dealer” actions</w:t>
      </w:r>
      <w:r>
        <w:rPr>
          <w:rFonts w:ascii="Times New Roman;Times;Serif" w:hAnsi="Times New Roman;Times;Serif"/>
          <w:b w:val="false"/>
          <w:i w:val="false"/>
          <w:caps w:val="false"/>
          <w:smallCaps w:val="false"/>
          <w:sz w:val="20"/>
        </w:rPr>
        <w:t>. The Lender and the Company hereby acknowledge and agree that the Company has not engaged the Lender to: (i) act as an underwriter; (ii) act as a market maker or specialist; (iii) act as “de facto” market maker; or (iv) conduct any other professional market activities such as providing investment advice, extending credit and lending securities in connection.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issue irrevocable instructions to its transfer agent to issue certificates, registered in the name of the Lender or its nominee, for the shares underlying any conversion of the Note upon default of the Note (the “Conversion Shares”) in such amounts as specified from time to time by the Lender to the Company upon conversion of the Note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 shares of Class A Ordinary Shares in the Reserved Amount as such term is defined in the Note) signed by the successor transfer agent to Company and the Company. Prior to registration of the Conversion Shares under the 1933 Act or the date on which the Conversion Shares may be sold pursuant to an exemption from registration, all such certificates shall bear the restrictive legend specified in Section 2(e)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Conversion Shares to be issued to the Lender upon conversion of or otherwise pursuant to the Note as and when required by the Note and this Agreement; and (iii) it will not fail to remove (or directs its transfer agent not to remove or impairs, delays, and/or hinders its transfer agent from removing) any restrictive legend (or to withdraw any stop transfer instructions in respect thereof) on any certificate for any Conversion Shares issued to the Lender upon conversion of or otherwise pursuant to the Note as and when required by the Note and/or this Agreement. If the Lender provides the Company and the Company’s transfer, at the cost of the Lender, with an opinion of counsel in form, substance and scope customary for opinions in comparable transactions, to the effect that a public sale or transfer of such Securities may be made without registration under the 1933 Act, the Company shall permit the transfer, and, in the case of the Conversion Shares, promptly instruct its transfer agent to issue one or more certificates, free from restrictive legend, in such name and in such denominations as specified by the Lender. The Company acknowledges that a breach by it of its obligations hereunder will cause irreparable harm to the Lender,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Lender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The obligation of the Company hereunder to issue and sell the Securities to the Lender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shall have executed this Agreement and delivered the same to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delivered the Purchase Price in accordance with Section 1(b)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Lender shall be true and correct in all material respects as of the date when made and as of the Closing Date as though made at that time (except for representations and warranties that speak as of a specific date), and the Lender shall have performed, satisfied and complied in all material respects with the covenants, agreements and conditions required by this Agreement to be performed, satisfied or complied with by the Lender at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Lender’s Obligation to Purchase</w:t>
      </w:r>
      <w:r>
        <w:rPr>
          <w:rFonts w:ascii="Times New Roman;Times;Serif" w:hAnsi="Times New Roman;Times;Serif"/>
          <w:b w:val="false"/>
          <w:i w:val="false"/>
          <w:caps w:val="false"/>
          <w:smallCaps w:val="false"/>
          <w:sz w:val="20"/>
        </w:rPr>
        <w:t>. The obligation of the Lender hereunder to purchase the Securities at the Closing is subject to the satisfaction, at or before the Closing Date of each of the following conditions, provided that these conditions are for the Lender’s sole benefit and may be waived by the Lender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executed this Agreement and delivered the same to the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Lender the duly executed Note, in accordance with Section 1(b) above.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Lender, shall have been delivered to and acknowledged in writing by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the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 The Lender shall have received a certificate or certificates, executed by the chief executive officer of the Company, dated as of the Closing Date, to the foregoing effect and as to such other matters as may be reasonably requested by the Lender including, but not limited to certificates with respect to the Board of Directors’ resolutions relating to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Exchange Act reporting status of the Company or the failure of the Company to be timely in its Exchange Act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Commonwealth of Virginia without regard to principles of conflicts of laws. Any action brought by either party against the other concerning the transactions contemplated by this Agreement shall be brought only in the Circuit Court of Fairfax County, Virginia or in the Alexandria Division of the United States District Court for the Eastern District of Virginia. The parties to this Agreement hereby irrevocably waive any objection to jurisdiction and venue of any action instituted hereunder and shall not assert any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Company and Lender waive trial by jury. The Lender shall be entitled to recover from the Company its reasonable attorney’s fees and costs. In the event that any provision of this Agreement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 Each party hereby irrevocably waives personal service of process and consents to process being served in any suit, action or proceeding in connection with this Agreement, the Note or any related document or agreement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shall constitute one and the same agreement and shall become effective when counterparts have been signed by each party and delivered to the other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only and shall not form part of, or affect the interpretation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instruments referenced herein contain the entire understanding of the parties with respect to the matters covered herein and therein and, except as specifically set forth herein or therein, neither the Company nor the Lender makes any representation, warranty, covenant or undertaking with respect to such matters. No provision of this Agreement may be waived or amended other than by an instrument in writing signed by the majority in interest of the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facsimile, addressed as set forth below or to such other address as such party shall have specified most recently by written notice. Any notice or other communication required or permitted to be given hereunder shall be deemed effective (a) upon hand delivery or delivery by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 as set forth in the heading of this Agreement with a copy by fax only to (which copy shall not constitute notice) to Naidich Wurman LLP, 111 Great Neck Road, Suite 214, Great Neck, NY 11021, Attn: Allison Naidich, facsimile: 516-466-3555, e-mail: allison@nwlaw.com. Each party shall provide notice to the other party of any change in address.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assigns. Neither the Company nor the Lender shall assign this Agreement or any rights or obligations hereunder without the prior written consent of the other. Notwithstanding the foregoing, the Lender may assign its rights hereunder to any person that purchases Securities in a private transaction from the Lender or to any of its “affiliates,” as that term is defined under the Exchange Act, without the consent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agreements and covenants set forth in this Agreement shall survive the closing hereunder notwithstanding any due diligence investigation conducted by or on behalf of the Lender. The Company agrees to indemnify and hold harmless the Lender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Lender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Lender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Lender and the Company have caused this Agreement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408"/>
        <w:gridCol w:w="2491"/>
        <w:gridCol w:w="75"/>
      </w:tblGrid>
      <w:tr>
        <w:trPr/>
        <w:tc>
          <w:tcPr>
            <w:tcW w:w="2899" w:type="dxa"/>
            <w:gridSpan w:val="2"/>
            <w:tcBorders/>
            <w:vAlign w:val="center"/>
          </w:tcPr>
          <w:p>
            <w:pPr>
              <w:pStyle w:val="TableContents"/>
              <w:bidi w:val="0"/>
              <w:spacing w:before="0" w:after="283"/>
              <w:jc w:val="left"/>
              <w:rPr>
                <w:b/>
                <w:sz w:val="20"/>
              </w:rPr>
            </w:pPr>
            <w:r>
              <w:rPr>
                <w:b/>
                <w:sz w:val="20"/>
              </w:rPr>
              <w:t>NEWGENIVF GROUP LIMITED</w:t>
            </w:r>
          </w:p>
        </w:tc>
        <w:tc>
          <w:tcPr>
            <w:tcW w:w="75" w:type="dxa"/>
            <w:tcBorders/>
            <w:vAlign w:val="center"/>
          </w:tcPr>
          <w:p>
            <w:pPr>
              <w:pStyle w:val="TableContents"/>
              <w:bidi w:val="0"/>
              <w:spacing w:before="0" w:after="283"/>
              <w:jc w:val="left"/>
              <w:rPr/>
            </w:pPr>
            <w:r>
              <w:rPr/>
              <w:t> </w:t>
            </w:r>
          </w:p>
        </w:tc>
      </w:tr>
      <w:tr>
        <w:trPr/>
        <w:tc>
          <w:tcPr>
            <w:tcW w:w="28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sz w:val="20"/>
              </w:rPr>
            </w:pPr>
            <w:r>
              <w:rPr>
                <w:sz w:val="20"/>
              </w:rPr>
              <w:t>By:</w:t>
            </w:r>
          </w:p>
        </w:tc>
        <w:tc>
          <w:tcPr>
            <w:tcW w:w="2491"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Wing Fung Alfred Siu</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pPr>
            <w:r>
              <w:rPr/>
              <w:t> </w:t>
            </w:r>
          </w:p>
        </w:tc>
        <w:tc>
          <w:tcPr>
            <w:tcW w:w="2491" w:type="dxa"/>
            <w:tcBorders/>
            <w:vAlign w:val="center"/>
          </w:tcPr>
          <w:p>
            <w:pPr>
              <w:pStyle w:val="TableContents"/>
              <w:bidi w:val="0"/>
              <w:spacing w:before="0" w:after="283"/>
              <w:jc w:val="left"/>
              <w:rPr>
                <w:sz w:val="20"/>
              </w:rPr>
            </w:pPr>
            <w:r>
              <w:rPr>
                <w:sz w:val="20"/>
              </w:rPr>
              <w:t>Wing Fung Alfred Siu</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pPr>
            <w:r>
              <w:rPr/>
              <w:t> </w:t>
            </w:r>
          </w:p>
        </w:tc>
        <w:tc>
          <w:tcPr>
            <w:tcW w:w="2491"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r>
        <w:trPr/>
        <w:tc>
          <w:tcPr>
            <w:tcW w:w="28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99" w:type="dxa"/>
            <w:gridSpan w:val="2"/>
            <w:tcBorders/>
            <w:vAlign w:val="center"/>
          </w:tcPr>
          <w:p>
            <w:pPr>
              <w:pStyle w:val="TableContents"/>
              <w:bidi w:val="0"/>
              <w:spacing w:before="0" w:after="283"/>
              <w:jc w:val="left"/>
              <w:rPr>
                <w:b/>
                <w:sz w:val="20"/>
              </w:rPr>
            </w:pPr>
            <w:r>
              <w:rPr>
                <w:b/>
                <w:sz w:val="20"/>
              </w:rPr>
              <w:t>Boot Capital LLC</w:t>
            </w:r>
          </w:p>
        </w:tc>
        <w:tc>
          <w:tcPr>
            <w:tcW w:w="75" w:type="dxa"/>
            <w:tcBorders/>
            <w:vAlign w:val="center"/>
          </w:tcPr>
          <w:p>
            <w:pPr>
              <w:pStyle w:val="TableContents"/>
              <w:bidi w:val="0"/>
              <w:spacing w:before="0" w:after="283"/>
              <w:jc w:val="left"/>
              <w:rPr/>
            </w:pPr>
            <w:r>
              <w:rPr/>
              <w:t> </w:t>
            </w:r>
          </w:p>
        </w:tc>
      </w:tr>
      <w:tr>
        <w:trPr/>
        <w:tc>
          <w:tcPr>
            <w:tcW w:w="28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sz w:val="20"/>
              </w:rPr>
            </w:pPr>
            <w:r>
              <w:rPr>
                <w:sz w:val="20"/>
              </w:rPr>
              <w:t>By:</w:t>
            </w:r>
          </w:p>
        </w:tc>
        <w:tc>
          <w:tcPr>
            <w:tcW w:w="2491"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Peter Rosten</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pPr>
            <w:r>
              <w:rPr/>
              <w:t> </w:t>
            </w:r>
          </w:p>
        </w:tc>
        <w:tc>
          <w:tcPr>
            <w:tcW w:w="2491" w:type="dxa"/>
            <w:tcBorders/>
            <w:vAlign w:val="center"/>
          </w:tcPr>
          <w:p>
            <w:pPr>
              <w:pStyle w:val="TableContents"/>
              <w:bidi w:val="0"/>
              <w:spacing w:before="0" w:after="283"/>
              <w:jc w:val="left"/>
              <w:rPr>
                <w:sz w:val="20"/>
              </w:rPr>
            </w:pPr>
            <w:r>
              <w:rPr>
                <w:sz w:val="20"/>
              </w:rPr>
              <w:t>Peter Rosten</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pPr>
            <w:r>
              <w:rPr/>
              <w:t> </w:t>
            </w:r>
          </w:p>
        </w:tc>
        <w:tc>
          <w:tcPr>
            <w:tcW w:w="2491"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3605"/>
        <w:gridCol w:w="60"/>
        <w:gridCol w:w="140"/>
        <w:gridCol w:w="980"/>
        <w:gridCol w:w="75"/>
      </w:tblGrid>
      <w:tr>
        <w:trPr/>
        <w:tc>
          <w:tcPr>
            <w:tcW w:w="3605" w:type="dxa"/>
            <w:tcBorders/>
            <w:vAlign w:val="center"/>
          </w:tcPr>
          <w:p>
            <w:pPr>
              <w:pStyle w:val="TableContents"/>
              <w:bidi w:val="0"/>
              <w:spacing w:before="0" w:after="283"/>
              <w:jc w:val="left"/>
              <w:rPr/>
            </w:pPr>
            <w:r>
              <w:rPr/>
              <w:t>Aggregate Principal Amount of Note: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50,000.00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right"/>
        <w:rPr>
          <w:rFonts w:ascii="Times New Roman;Times;Serif" w:hAnsi="Times New Roman;Times;Serif"/>
          <w:b/>
          <w:i w:val="false"/>
          <w:caps w:val="false"/>
          <w:smallCaps w:val="false"/>
          <w:sz w:val="20"/>
        </w:rPr>
      </w:pPr>
      <w:bookmarkStart w:id="45" w:name="ea030132501ex10-38.htm"/>
      <w:bookmarkStart w:id="46" w:name="ksea030132501ex1038"/>
      <w:bookmarkEnd w:id="45"/>
      <w:bookmarkEnd w:id="46"/>
      <w:r>
        <w:rPr>
          <w:rFonts w:ascii="Times New Roman;Times;Serif" w:hAnsi="Times New Roman;Times;Serif"/>
          <w:b/>
          <w:i w:val="false"/>
          <w:caps w:val="false"/>
          <w:smallCaps w:val="false"/>
          <w:sz w:val="20"/>
        </w:rPr>
        <w:t>Exhibit 10.38</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(WHICH COUNSEL SHALL BE SELECTED BY THE HOLDER), IN A GENERALLY ACCEPTABLE FORM, THAT REGISTRATION IS NOT REQUIRED UNDER SAID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 PRICE OF THIS NOTE IS $50,000.00</w:t>
      </w:r>
    </w:p>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2585"/>
        <w:gridCol w:w="60"/>
        <w:gridCol w:w="2480"/>
      </w:tblGrid>
      <w:tr>
        <w:trPr/>
        <w:tc>
          <w:tcPr>
            <w:tcW w:w="2585" w:type="dxa"/>
            <w:tcBorders/>
            <w:vAlign w:val="center"/>
          </w:tcPr>
          <w:p>
            <w:pPr>
              <w:pStyle w:val="TableContents"/>
              <w:bidi w:val="0"/>
              <w:spacing w:before="0" w:after="283"/>
              <w:jc w:val="both"/>
              <w:rPr>
                <w:b/>
                <w:sz w:val="20"/>
              </w:rPr>
            </w:pPr>
            <w:r>
              <w:rPr>
                <w:b/>
                <w:sz w:val="20"/>
              </w:rPr>
              <w:t>Principal Amount: $50,000.00</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b/>
                <w:sz w:val="20"/>
              </w:rPr>
            </w:pPr>
            <w:r>
              <w:rPr>
                <w:b/>
                <w:sz w:val="20"/>
              </w:rPr>
              <w:t>Issue Date: January 22,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(hereinafter called the “Borrower”), hereby promises to pay to the order of </w:t>
      </w:r>
      <w:r>
        <w:rPr>
          <w:rFonts w:ascii="Times New Roman;Times;Serif" w:hAnsi="Times New Roman;Times;Serif"/>
          <w:b/>
          <w:i w:val="false"/>
          <w:caps w:val="false"/>
          <w:smallCaps w:val="false"/>
          <w:sz w:val="20"/>
        </w:rPr>
        <w:t>Boot Capital LLC</w:t>
      </w:r>
      <w:r>
        <w:rPr>
          <w:rFonts w:ascii="Times New Roman;Times;Serif" w:hAnsi="Times New Roman;Times;Serif"/>
          <w:b w:val="false"/>
          <w:i w:val="false"/>
          <w:caps w:val="false"/>
          <w:smallCaps w:val="false"/>
          <w:sz w:val="20"/>
        </w:rPr>
        <w:t>, a Delaware limited liability company, or registered assigns (the “Holder”) the sum of $50,000.00 together with any interest as set forth herein, on October 30, 2026 (the “Maturity Date”), and to pay interest on the unpaid principal balance hereof at the rate of ten percent (10%) (the “Interest Rate”) per annum from the date hereof (the “Issue Date”) until the same becomes due and payable, whether at maturity or upon acceleration or by prepayment or otherwise. This Note may not be prepaid in whole or in part except as otherwise explicitly set forth herein. Any amount of principal or interest on this Note which is not paid when due shall bear interest at the rate of twenty two percent (22%) per annum (or the highest amount of legally permitted interest under applicable usury statutes) from the due date thereof until the same is paid (“Default Interest”). Interest shall be computed on the basis of a 365 day year and the actual number of days elapsed. Interest shall commence accruing on the Issue Date but shall not be payable until the Note becomes payable (whether at Maturity Date or upon acceleration or by prepayment). All payments due hereunder (to the extent not converted into Class A Ordinary Shares of the Borrower, no par value per share (the “Class A Ordinary Shares”) in accordance with the terms hereof) shall be made in lawful money of the United States of America. All payments shall be made at such address as the Holder shall hereafter give to the Borrower by written notice made in accordance with the provisions of this Note. Each capitalized term used herein, and not otherwise defined, shall have the meaning ascribed thereto in that certain Securities Purchase Agreement dated the date hereof, pursuant to which this Note was originally issued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apply to this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xml:space="preserve">. The Holder shall have the right from time to time, </w:t>
      </w:r>
      <w:r>
        <w:rPr>
          <w:rFonts w:ascii="Times New Roman;Times;Serif" w:hAnsi="Times New Roman;Times;Serif"/>
          <w:b w:val="false"/>
          <w:i w:val="false"/>
          <w:caps w:val="false"/>
          <w:smallCaps w:val="false"/>
          <w:sz w:val="20"/>
          <w:u w:val="single"/>
        </w:rPr>
        <w:t>and at any time during the period beginning on the date which is one hundred eighty (180) days following the date of this Note and ending on the later of: (i) the Maturity Date, or (ii) the date of payment of the Default Amount (as defined in Article III)</w:t>
      </w:r>
      <w:r>
        <w:rPr>
          <w:rFonts w:ascii="Times New Roman;Times;Serif" w:hAnsi="Times New Roman;Times;Serif"/>
          <w:b w:val="false"/>
          <w:i w:val="false"/>
          <w:caps w:val="false"/>
          <w:smallCaps w:val="false"/>
          <w:sz w:val="20"/>
        </w:rPr>
        <w:t xml:space="preserve">, each in respect of the remaining outstanding amount of this Note to convert all or any part of the outstanding and unpaid amount of this Note into fully paid and non-assessable shares of Class A Ordinary Shares, as such Class A Ordinary Shares exists on the Issue Date, or any shares of capital stock or other securities of the Borrower into which such Class A Ordinary Shares shall hereafter be changed or reclassified at the conversion price (the “Conversion Price”) determined as provided herein (a “Conversion”);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Holder be entitled to convert any portion of this Note in excess of that portion of this Note upon conversion of which the sum of (1) the number of shares of Class A Ordinary Shares beneficially owned by the Holder and its affiliates (other than shares of Class A Ordinary Shares which may be deemed beneficially owned through the ownership of the unconverted portion of the Notes or the unexercised or unconverted portion of any other security of the Borrower subject to a limitation on conversion or exercise analogous to the limitations contained herein) and (2) the number of shares of Class A Ordinary Shares issuable upon the conversion of the portion of this Note with respect to which the determination of this proviso is being made, would result in beneficial ownership by the Holder and its affiliates of more than 4.99% of the outstanding shares of Class A Ordinary Shares. For purposes of the proviso to the immediately preceding sentence, beneficial ownership shall be determined in accordance with Section 13(d) of the Securities Exchange Act of 1934, as amended (the “Exchange Act”), and Regulations 13D-G thereunder, except as otherwise provided in clause (1) of such proviso. </w:t>
      </w:r>
      <w:r>
        <w:rPr>
          <w:rFonts w:ascii="Times New Roman;Times;Serif" w:hAnsi="Times New Roman;Times;Serif"/>
          <w:b w:val="false"/>
          <w:i w:val="false"/>
          <w:caps w:val="false"/>
          <w:smallCaps w:val="false"/>
          <w:sz w:val="20"/>
          <w:u w:val="single"/>
        </w:rPr>
        <w:t>The beneficial ownership limitations on conversion as set forth in the section may NOT be waived by the Holder</w:t>
      </w:r>
      <w:r>
        <w:rPr>
          <w:rFonts w:ascii="Times New Roman;Times;Serif" w:hAnsi="Times New Roman;Times;Serif"/>
          <w:b w:val="false"/>
          <w:i w:val="false"/>
          <w:caps w:val="false"/>
          <w:smallCaps w:val="false"/>
          <w:sz w:val="20"/>
        </w:rPr>
        <w:t xml:space="preserve">. The number of shares of Class A Ordinary Shares to be issued upon each conversion of this Note shall be determined by dividing the Conversion Amount (as defined below) by the applicable Conversion Price then in effect on the date specified in the notice of conversion, in the form attached hereto as Exhibit A (the “Notice of Conversion”), delivered to the Borrower by the Holder in accordance with Section 1.4 below; provided that the Notice of Conversion is submitted by facsimile or e-mail (or by other means resulting in, or reasonably expected to result in, notice) to the Borrower before 6:00 p.m., New York, New York time on such conversion date (the “Conversion Date”); however, if the Notice of Conversion is sent after 6:00pm, New York, New York time the Conversion Date shall be the next business day. The term “Conversion Amount”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rates provided in this Note to the Conversion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at the Holder’s option, Default Interest, if any, on the amounts referred to in the immediately preceding clauses (1) and/or (2)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(4) at the Holder’s option, any amounts owed to the Holder pursuant to Sections 1.4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shall equal 75% multiplied by the Market Price (as defined herein) (representing a discount rate of 25%). “Market Price” means the lowest Trading Price (as defined below) for the Class A Ordinary Shares during the ten (10) Trading Day period ending on the latest complete Trading Day prior to the Conversion Date. “Trading Price” means, for any security as of any date, the closing bid price on the OTCQB, OTCQX, Pink Sheets electronic quotation system or applicable trading market (the “OTC”) as reported by a reliable reporting service (“Reporting Service”) designated by the Holder (i.e. Bloomberg) or, if the OTC is not the principal trading market for such security, the closing bid price of such security on the principal securities exchange or trading market where such security is listed or traded or, if no closing bid price of such security is available in any of the foregoing manners, the average of the closing bid prices of any market makers for such security that are listed in the “pink sheets”. If the Trading Price cannot be calculated for such security on such date in the manner provided above, the Trading Price shall be the fair market value as mutually determined by the Borrower and the holders of a majority in interest of the Notes being converted for which the calculation of the Trading Price is required in order to determine the Conversion Price of such Notes. “Trading Day” shall mean any day on which the Class A Ordinary Shares is tradable for any period on the OTC, or on the principal securities exchange or other securities market on which the Class A Ordinary Shares is then being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Borrower covenants that during the period the conversion right exists, the Borrower will reserve from its authorized and unissued Class A Ordinary Shares a sufficient number of shares, free from preemptive rights, to provide for the issuance of Class A Ordinary Shares upon the full conversion of this Note issued pursuant to the Purchase Agreement. The Borrower is required at all times to have authorized and reserved four times the number of shares that is actually issuable upon full conversion of the Note (based on the Conversion Price of the Note in effect from time to time)(the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Class A Ordinary Shares into which the Notes shall be convertible at the then current Conversion Price, the Borrower shall at the same time make proper provision so that thereafter there shall be a sufficient number of shares of Class A Ordinary Shares authorized and reserved, free from preemptive rights, for conversion of the outstanding Note. The Borrower (i) acknowledges that it has irrevocably instructed its transfer agent to issue certificates for the Class A Ordinary Shares issuable upon conversion of this Note, and (ii) agrees that its issuance of this Note shall constitute full authority to its officers and agents who are charged with the duty of executing stock certificates to execute and issue the necessary certificates for shares of Class A Ordinary Shares in accordance with the terms and conditions of this Note. If, at any time the Borrower does not maintain the Reserved Amount it will be considered an Event of Default under Section 3.2 of the Note.</w:t>
      </w:r>
    </w:p>
    <w:p>
      <w:pPr>
        <w:pStyle w:val="TextBody"/>
        <w:bidi w:val="0"/>
        <w:spacing w:before="0" w:after="0"/>
        <w:ind w:left="2520" w:right="0" w:hanging="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A</w:t>
      </w:r>
      <w:r>
        <w:rPr>
          <w:rFonts w:ascii="Times New Roman;Times;Serif" w:hAnsi="Times New Roman;Times;Serif"/>
          <w:b w:val="false"/>
          <w:i w:val="false"/>
          <w:caps w:val="false"/>
          <w:smallCaps w:val="false"/>
          <w:sz w:val="20"/>
          <w:u w:val="single"/>
        </w:rPr>
        <w:t>s set forth in Section 1.1 hereof, from time to time, and at any time during the period beginning on the date which is one hundred eighty (180) days following the date of this Note and ending on the later of: (i) the Maturity Date and (ii) the date of payment of the Default Amount</w:t>
      </w:r>
      <w:r>
        <w:rPr>
          <w:rFonts w:ascii="Times New Roman;Times;Serif" w:hAnsi="Times New Roman;Times;Serif"/>
          <w:b w:val="false"/>
          <w:i w:val="false"/>
          <w:caps w:val="false"/>
          <w:smallCaps w:val="false"/>
          <w:sz w:val="20"/>
        </w:rPr>
        <w:t>, this Note may be converted by the Holder in whole or in part at any time from time to time after the Issue Date, by (A) submitting to the Borrower a Notice of Conversion (by facsimile, e-mail or other reasonable means of communication dispatched on the Conversion Date prior to 6:00 p.m., New York, New York time) and (B) subject to Section 1.4(b), surrendering this Note at the principal office of the Borrower (upon payment in full of any amounts owed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Notwithstanding anything to the contrary set forth herein, upon conversion of 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Class A Ordinary Shares Upon Conversion</w:t>
      </w:r>
      <w:r>
        <w:rPr>
          <w:rFonts w:ascii="Times New Roman;Times;Serif" w:hAnsi="Times New Roman;Times;Serif"/>
          <w:b w:val="false"/>
          <w:i w:val="false"/>
          <w:caps w:val="false"/>
          <w:smallCaps w:val="false"/>
          <w:sz w:val="20"/>
        </w:rPr>
        <w:t>. Upon receipt by the Borrower from the Holder of a facsimile transmission or e-mail (or other reasonable means of communication) of a Notice of Conversion meeting the requirements for conversion as provided in this Section 1.4, the Borrower shall issue and deliver or cause to be issued and delivered to or upon the order of the Holder certificates for the Class A Ordinary Shares issuable upon such conversion within three (3) business days after such receipt (the “Deadline”) (and, solely in the case of conversion of the entire unpaid principal amount hereof, surrender of this Note) in accordance with the terms hereof and the Purchase Agreement. Upon receipt by the Borrower of a Notice of Conversion, the Holder shall be deemed to be the holder of record of the Class A Ordinary Shares issuable upon such conversion, the outstanding principal amount and the amount of accrued and unpaid interest on this Note shall be reduced to reflect such conversion, and, unless the Borrower defaults on its obligations hereunder, all rights with respect to the portion of this Note being so converted shall forthwith terminate except the right to receive the Class A Ordinary Shares or other securities, cash or other assets, as herein provided, on such conversion. If the Holder shall have given a Notice of Conversion as provided herein, the Borrower’s obligation to issue and deliver the certificates for Class A Ordinary Shares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Class A Ordinary Shares by Electronic Transfer</w:t>
      </w:r>
      <w:r>
        <w:rPr>
          <w:rFonts w:ascii="Times New Roman;Times;Serif" w:hAnsi="Times New Roman;Times;Serif"/>
          <w:b w:val="false"/>
          <w:i w:val="false"/>
          <w:caps w:val="false"/>
          <w:smallCaps w:val="false"/>
          <w:sz w:val="20"/>
        </w:rPr>
        <w:t>. In lieu of delivering physical certificates representing the Class A Ordinary Shares issuable upon conversion, provided the Borrower is participating in the Depository Trust Company (“DTC”) Fast Automated Securities Transfer (“FAST”) program, upon request of the Holder and its compliance with the provisions set forth herein, the Borrower shall use its best efforts to cause its transfer agent to electronically transmit the Class A Ordinary Shares issuable upon conversion to the Holder by crediting the account of Holder’s Prime Broker with DTC through its Deposit and Withdrawal at Custodian (“DWAC”)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Failure to Deliver Class A Ordinary Shares Prior to Deadline</w:t>
      </w:r>
      <w:r>
        <w:rPr>
          <w:rFonts w:ascii="Times New Roman;Times;Serif" w:hAnsi="Times New Roman;Times;Serif"/>
          <w:b w:val="false"/>
          <w:i w:val="false"/>
          <w:caps w:val="false"/>
          <w:smallCaps w:val="false"/>
          <w:sz w:val="20"/>
        </w:rPr>
        <w:t>. Without in any way limiting the Holder’s right to pursue other remedies, including actual damages and/or equitable relief, the parties agree that if delivery of the Class A Ordinary Shares issuable upon conversion of this Note is not delivered by the Deadline due to action and/or inaction of the Borrower, the Borrower shall pay to the Holder $2,000 per day in cash, for each day beyond the Deadline that the Borrower fails to deliver such Class A Ordinary Shares (the “Fail to Deliver Fee”); provided; however that the Fail to Deliver Fee shall not be due if the failure is a result of a third party (i.e., transfer agent; and not the result of any failure to pay such transfer agent) despite the best efforts of the Borrower to effect delivery of such Class A Ordinary Shares.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Class A Ordinary Shares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Section 1.4(e) are justified.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shares of Class A Ordinary Shares issuable upon conversion of this Note may not be sold or transferred unless: (i) such shares are sold pursuant to an effective registration statement under the Act or (ii) the Borrower or its transfer agent shall have been furnished with an opinion of counsel (which opinion shall be in form, substance and scope customary for opinions of counsel in comparable transactions) to the effect that the shares to be sold or transferred may be sold or transferred pursuant to an exemption from such registration (such as Rule 144 or a successor rule) (“Rule 144”); or (iii) such shares are transferred to an “affiliate” (as defined in Rule 144) of the Borrower who agrees to sell or otherwise transfer the shares only in accordance with this Section 1.5 and who is an Accredited Investor (as defined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legend on certificates representing shares of Class A Ordinary Shares issuable upon conversion of this Note shall be removed and the Borrower shall issue to the Holder a new certificate therefore free of any transfer legend if the Borrower or its transfer agent shall have received an opinion of counsel from Holder’s counsel, in form, substance and scope customary for opinions of counsel in comparable transactions, to the effect that (i) a public sale or transfer of such Class A Ordinary Shares may be made without registration under the Act, which opinion shall be accepted by the Borrower so that the sale or transfer is effected; or (ii) in the case of the Class A Ordinary Shares issuable upon conversion of this Note, such security is registered for sale by the Holder under an effective registration statement filed under the Act; or otherwise may be sold pursuant to an exemption from registration. In the event that the Borrower does not reasonably accept the opinion of counsel provided by the Holder with respect to the transfer of Securities pursuant to an exemption from registration (such as Rule 144), at the Deadline, it will be considered an Event of Default pursuant to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Except with respect to any transactions disclosed by the Borrower in any of its filings with the SEC prior to the date of this Note, at the option of the Holder, the sale, conveyance or disposition of all or 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be deemed to be an Event of Default (as defined in Article III) pursuant to which the Borrower shall be required to pay to the Holder upon the consummation of and as a condition to such transaction an amount equal to the Default Amount (as defined in Article III). “Person” shall mean any individual, corporation, limited liability company, partnership, association, trust or other entity or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the Note, there shall be any merger, consolidation, exchange of shares, recapitalization, reorganization, or other similar event, as a result of which shares of Class A Ordinary Shares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Class A Ordinary Shares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Section 1.6(b) unless (a) it first gives, to the extent practicable, ten (10) days prior written notice (but in any event at least five (5)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Note. The above provisions shall similarly apply to successive consolidations, mergers, sales, transfers or share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If the Borrower shall declare or make any distribution of its assets (or rights to acquire its assets) to holders of Class A Ordinary Shares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Class A Ordinary Shares issuable upon such conversion had such Holder been the holder of such shares of Class A Ordinary Shares on the record date for the determination of shareholders entitled to such Distribution. 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Notwithstanding anything to the contrary contained in this Note, at any time during the periods set forth on the table immediately following this paragraph (the “Prepayment Periods”) or as otherwise agreed to between the Borrower and the Holder, the Borrower shall have the right, exercisable on not more than three (3) Trading Days prior written notice to the Holder of the Note to prepay the outstanding Note (principal and accrued interest), in full, in accordance with this Section 1.7. Any notice of prepayment hereunder (an “Optional Prepayment Notice”) shall be delivered to the Holder of the Note at its registered addresses and shall state: (1) that the Borrower is exercising its right to prepay the Note, and (2) the date of prepayment which shall be not more than three (3) Trading Days from the date of the Optional Prepayment Notice. On the date fixed for prepayment (the “Optional Prepayment Date”), the Borrower shall make payment of the Optional Prepayment Amount (as defined below) to Holder, or upon the direction of the Holder as specified by the Holder in a writing to the Borrower (which shall direction to be sent to Borrower by the Holder at least one (1) business day prior to the Optional Prepayment Date). If the Borrower exercises its right to prepay the Note, the Borrower shall make payment to the Holder of an amount in cash equal to the percentage (“Prepayment Percentage”) as set forth in the table immediately following this paragraph opposite the applicable Prepayment Period, multiplied by the sum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Optional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 1.4 hereof (the “Optional Prepayment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22"/>
        <w:gridCol w:w="60"/>
        <w:gridCol w:w="1823"/>
      </w:tblGrid>
      <w:tr>
        <w:trPr/>
        <w:tc>
          <w:tcPr>
            <w:tcW w:w="8322" w:type="dxa"/>
            <w:tcBorders>
              <w:bottom w:val="single" w:sz="12" w:space="0" w:color="000000"/>
            </w:tcBorders>
            <w:vAlign w:val="center"/>
          </w:tcPr>
          <w:p>
            <w:pPr>
              <w:pStyle w:val="TableContents"/>
              <w:bidi w:val="0"/>
              <w:spacing w:before="0" w:after="283"/>
              <w:jc w:val="left"/>
              <w:rPr>
                <w:b/>
              </w:rPr>
            </w:pPr>
            <w:r>
              <w:rPr>
                <w:b/>
              </w:rPr>
              <w:t>Prepayment Period</w:t>
            </w:r>
          </w:p>
        </w:tc>
        <w:tc>
          <w:tcPr>
            <w:tcW w:w="60" w:type="dxa"/>
            <w:tcBorders/>
            <w:tcMar>
              <w:bottom w:w="0" w:type="dxa"/>
            </w:tcMar>
            <w:vAlign w:val="center"/>
          </w:tcPr>
          <w:p>
            <w:pPr>
              <w:pStyle w:val="TableContents"/>
              <w:bidi w:val="0"/>
              <w:spacing w:before="0" w:after="283"/>
              <w:jc w:val="center"/>
              <w:rPr/>
            </w:pPr>
            <w:r>
              <w:rPr/>
              <w:t> </w:t>
            </w:r>
          </w:p>
        </w:tc>
        <w:tc>
          <w:tcPr>
            <w:tcW w:w="1823" w:type="dxa"/>
            <w:tcBorders>
              <w:bottom w:val="single" w:sz="12" w:space="0" w:color="000000"/>
            </w:tcBorders>
            <w:vAlign w:val="center"/>
          </w:tcPr>
          <w:p>
            <w:pPr>
              <w:pStyle w:val="TableContents"/>
              <w:bidi w:val="0"/>
              <w:spacing w:before="0" w:after="283"/>
              <w:jc w:val="center"/>
              <w:rPr>
                <w:b/>
              </w:rPr>
            </w:pPr>
            <w:r>
              <w:rPr>
                <w:b/>
              </w:rPr>
              <w:t>Prepayment Percentage</w:t>
            </w:r>
          </w:p>
        </w:tc>
      </w:tr>
      <w:tr>
        <w:trPr/>
        <w:tc>
          <w:tcPr>
            <w:tcW w:w="8322" w:type="dxa"/>
            <w:tcBorders/>
            <w:tcMar>
              <w:bottom w:w="0" w:type="dxa"/>
            </w:tcMar>
            <w:vAlign w:val="center"/>
          </w:tcPr>
          <w:p>
            <w:pPr>
              <w:pStyle w:val="TableContents"/>
              <w:bidi w:val="0"/>
              <w:spacing w:before="0" w:after="283"/>
              <w:jc w:val="both"/>
              <w:rPr/>
            </w:pPr>
            <w:r>
              <w:rPr/>
              <w:t>1) the period beginning on the Issue Date and ending on the date which is one hundred ninety (90) days following the Issue Date.</w:t>
            </w:r>
          </w:p>
        </w:tc>
        <w:tc>
          <w:tcPr>
            <w:tcW w:w="60" w:type="dxa"/>
            <w:tcBorders/>
            <w:tcMar>
              <w:bottom w:w="0" w:type="dxa"/>
            </w:tcMar>
            <w:vAlign w:val="center"/>
          </w:tcPr>
          <w:p>
            <w:pPr>
              <w:pStyle w:val="TableContents"/>
              <w:bidi w:val="0"/>
              <w:spacing w:before="0" w:after="283"/>
              <w:jc w:val="left"/>
              <w:rPr/>
            </w:pPr>
            <w:r>
              <w:rPr/>
              <w:t> </w:t>
            </w:r>
          </w:p>
        </w:tc>
        <w:tc>
          <w:tcPr>
            <w:tcW w:w="1823" w:type="dxa"/>
            <w:tcBorders/>
            <w:tcMar>
              <w:bottom w:w="0" w:type="dxa"/>
            </w:tcMar>
            <w:vAlign w:val="center"/>
          </w:tcPr>
          <w:p>
            <w:pPr>
              <w:pStyle w:val="TableContents"/>
              <w:bidi w:val="0"/>
              <w:spacing w:before="0" w:after="283"/>
              <w:jc w:val="center"/>
              <w:rPr/>
            </w:pPr>
            <w:r>
              <w:rPr/>
              <w:t>120%</w:t>
            </w:r>
          </w:p>
        </w:tc>
      </w:tr>
      <w:tr>
        <w:trPr/>
        <w:tc>
          <w:tcPr>
            <w:tcW w:w="8322"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823" w:type="dxa"/>
            <w:tcBorders/>
            <w:tcMar>
              <w:bottom w:w="0" w:type="dxa"/>
            </w:tcMar>
            <w:vAlign w:val="center"/>
          </w:tcPr>
          <w:p>
            <w:pPr>
              <w:pStyle w:val="TableContents"/>
              <w:bidi w:val="0"/>
              <w:spacing w:before="0" w:after="283"/>
              <w:jc w:val="center"/>
              <w:rPr/>
            </w:pPr>
            <w:r>
              <w:rPr/>
              <w:t> </w:t>
            </w:r>
          </w:p>
        </w:tc>
      </w:tr>
      <w:tr>
        <w:trPr/>
        <w:tc>
          <w:tcPr>
            <w:tcW w:w="8322" w:type="dxa"/>
            <w:tcBorders/>
            <w:tcMar>
              <w:bottom w:w="0" w:type="dxa"/>
            </w:tcMar>
            <w:vAlign w:val="center"/>
          </w:tcPr>
          <w:p>
            <w:pPr>
              <w:pStyle w:val="TableContents"/>
              <w:bidi w:val="0"/>
              <w:spacing w:before="0" w:after="283"/>
              <w:jc w:val="both"/>
              <w:rPr/>
            </w:pPr>
            <w:r>
              <w:rPr/>
              <w:t>2) the period beginning on date which is ninety-one (91) days following the Issue Date and ending on the date which is one hundred eighty (180) days following the Issue Date.</w:t>
            </w:r>
          </w:p>
        </w:tc>
        <w:tc>
          <w:tcPr>
            <w:tcW w:w="60" w:type="dxa"/>
            <w:tcBorders/>
            <w:tcMar>
              <w:bottom w:w="0" w:type="dxa"/>
            </w:tcMar>
            <w:vAlign w:val="center"/>
          </w:tcPr>
          <w:p>
            <w:pPr>
              <w:pStyle w:val="TableContents"/>
              <w:bidi w:val="0"/>
              <w:spacing w:before="0" w:after="283"/>
              <w:jc w:val="left"/>
              <w:rPr/>
            </w:pPr>
            <w:r>
              <w:rPr/>
              <w:t> </w:t>
            </w:r>
          </w:p>
        </w:tc>
        <w:tc>
          <w:tcPr>
            <w:tcW w:w="1823" w:type="dxa"/>
            <w:tcBorders/>
            <w:tcMar>
              <w:bottom w:w="0" w:type="dxa"/>
            </w:tcMar>
            <w:vAlign w:val="center"/>
          </w:tcPr>
          <w:p>
            <w:pPr>
              <w:pStyle w:val="TableContents"/>
              <w:bidi w:val="0"/>
              <w:spacing w:before="0" w:after="283"/>
              <w:jc w:val="center"/>
              <w:rPr/>
            </w:pPr>
            <w:r>
              <w:rPr/>
              <w:t>125%</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So long as the Borrower shall have any obligation under this Note, the Borrower shall not, without the Holder’s written consent, sell, lease or otherwise dispose of any significant portion of its assets outside the ordinary course of business. Any consent to the disposition of any assets may be conditioned on a specified use of the proceeds of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Registration: Piggyback Rights</w:t>
      </w:r>
      <w:r>
        <w:rPr>
          <w:rFonts w:ascii="Times New Roman;Times;Serif" w:hAnsi="Times New Roman;Times;Serif"/>
          <w:b w:val="false"/>
          <w:i w:val="false"/>
          <w:caps w:val="false"/>
          <w:smallCaps w:val="false"/>
          <w:sz w:val="20"/>
        </w:rPr>
        <w:t>. If at any time during the period that this Note is outstanding, the Borrower shall determine to file with the SEC a registration statement relating to an offering for its own account or the account of others of any its Class A Ordinary Shares (“Registration Statement”)(other than on Form S-4 or Form S-8 or their then-equivalents relating to equity securities to be issued solely in connection with any acquisition of any entity or business or equity securities issuable in connection with stock option or other employee benefit plans), the Borrower shall send to the written notice of such determination and, unless objected to in writing by the Holder by written notice delivered to the Borrower within five (5) days after the date of such notice from the Borrower, the Borrower shall include in such Registration Statement all shares issuable upon conversion of this Note (“Registrable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of default (each, an “Event of Default”)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and Interest</w:t>
      </w:r>
      <w:r>
        <w:rPr>
          <w:rFonts w:ascii="Times New Roman;Times;Serif" w:hAnsi="Times New Roman;Times;Serif"/>
          <w:b w:val="false"/>
          <w:i w:val="false"/>
          <w:caps w:val="false"/>
          <w:smallCaps w:val="false"/>
          <w:sz w:val="20"/>
        </w:rPr>
        <w:t>. The Borrower fails to pay the principal hereof or interest thereon when due on this Note, whether at maturity or upon acceleration and such breach continues for a period of five (5) days after written notice from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The Borrower fails to issue shares of Class A Ordinary Shares to the Holder (or announces or threatens in writing that it will not honor its obligation to do so) upon exercise by the Holder of the conversion rights of the Holder in accordance with the terms of this Note, fails to transfer or cause its transfer agent to transfer (issue) (electronically or in certificated form) any certificate for shares of Class A Ordinary Shares issued to the Holder upon conversion of or otherwise pursuant to this Note as and when required by this Note, the Borrower directs its transfer agent not to transfer or delays, impairs, and/or hinders its transfer agent in transferring (or issuing) (electronically or in certificated form) any certificate for shares of Class A Ordinary Shares to be issued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shares of Class A Ordinary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three (3) business days after the Holder shall have delivered a Notice of Conversion. It is an obligation of the Borrower to remain current in its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paid by the Borrower to the Holder within forty-eight (48) hours of a demand from the Holder. Notwithstanding anything contained herein to the contrary, if such failure to timely issue shares of Class A Ordinary Shares to the Holder upon conversion is not a result of the action or inaction of the Borrower, direct or indirect, such failure to issue will not be an event of default (i.e., act of God).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The Borrower breaches any material covenant or other material term or condition contained in this Note and any collateral documents including but not limited to the Purchase Agreement and such breach continues for a period of twenty (20) days after written notice thereof to the Borrower from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Any representation or warranty of the Borrower made herein or in any agreement, statement or certificate given in writing pursuant hereto or in connection herewith (including, without limitation, the Purchase Agreement), shall be false or misleading in any material respect when made and the breach of which has (or with the passage of time will have)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Delisting of Class A Ordinary Shares</w:t>
      </w:r>
      <w:r>
        <w:rPr>
          <w:rFonts w:ascii="Times New Roman;Times;Serif" w:hAnsi="Times New Roman;Times;Serif"/>
          <w:b w:val="false"/>
          <w:i w:val="false"/>
          <w:caps w:val="false"/>
          <w:smallCaps w:val="false"/>
          <w:sz w:val="20"/>
        </w:rPr>
        <w:t>. The Borrower shall fail to maintain the listing of the Class A Ordinary Shares on the Nasdaq National Market, the Nasdaq SmallCap Market, the New York Stock Exchange, or the NYSE American Stock Exchange (collectively, the “Exchanges”) or the quotation platforms maintained by the OTC Markets Group or an equivalent replacement exchange (collectively with the Exchanges,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The Borrower shall fail to comply with the reporting requirements of the Exchange Act; and/or the Borrower shall cease to be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Any dissolution, liquidation, or winding up of Borrower or any substantial portion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Any cessation of operations by Borrower which would result in the Borrower becoming a “shell company” as such term is defined in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 The restatement of any financial statements filed by the Borrower with the SEC at any time after 180 days after the Issuance Date for any date or period until this Note is no longer outstanding, if the result of such restatement would, by comparison to the un-restated financial statement, have constituted a material adverse effect on the rights of the Holder with respect to this Note or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Class A Ordinary Shares in the Reserved Amount) signed by the successor transfer agent to Borrower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Notwithstanding anything to the contrary contained in this Note or the other related or companion documents, a breach or default by the Borrower of any covenant or other term or condition contained in any of the Other Agreements, after the passage of all applicable notice and cure or grace periods, shall, at the option of the Holder, be considered a default under this Note and the Other Agreements, in which event the Holder shall be entitled (but in no event required) to apply all rights and remedies of the Holder under the terms of this Note and the Other Agreements by reason of a default under said Other Agreement or hereunder. “Other Agreements” means, collectively, all agreements and instruments between, among or by: (1) the Borrower, and, or for the benefit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 and any affiliate of the Holder, including, without limitation, promissory notes; provided, however, the term “Other Agreements” shall not include the related or companion documents to this Note. Each of the loan transactions will be cross-defaulted with each other loan transaction and with all other existing and future debt of Borrower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continuation of any Event of Default specified in Section 3.1 (solely with respect to failure to pay the principal hereof or interest thereon when due at the Maturity Date), the Note shall become immediately due and payable and the Borrower shall pay to the Holder, in full satisfaction of its obligations hereunder, an amount equal to the Default Amount (as defined herein). UPON THE OCCURRENCE AND DURING THE CONTINUATION OF ANY EVENT OF DEFAULT SPECIFIED IN SECTION 3.2, THE NOTE SHALL BECOME IMMEDIATELY DUE AND PAYABLE AND THE BORROWER SHALL PAY TO THE HOLDER, IN FULL SATISFACTION OF ITS OBLIGATIONS HEREUNDER, AN AMOUNT EQUAL TO: (Y) THE DEFAULT AMOUNT (AS DEFINED HEREIN); MULTIPLIED BY (Z) TWO (2). Upon the occurrence and during the continuation of any Event of Default specified in this Article III (other than Section 3.2 as set forth above), the Note shall become immediately due and payable and the Borrower shall pay to the Holder, in full satisfaction of its obligations hereunder, an amount equal to 150%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date of payment (the “Mandatory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and/or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Sections 1.3 and 1.4(g) hereof (the then outstanding principal amount of this Note to the date of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amounts referred to in clauses (x), (y) and (z) shall collectively be known as the “Default Amount”) and all other amounts payable hereunder shall immediately become due and payable, all without demand, presentment or notice, all of which hereby are expressly waived, together with all costs, including, without limitation, legal fees and expenses, of collection, and the Holder shall be entitled to exercise all other rights and remedies available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pay the Default Amount within five (5) business days of written notice that such amount is due and payable, then the Holder shall have the right at any time, so long as the Borrower remains in default (and so long and to the extent that there are sufficient authorized shares), to require the Borrower, upon written notice, to immediately issue, in lieu of the Default Amount, the number of shares of Class A Ordinary Shares of the Borrower equal to the Default Amount divided by the Conversion Price then in effect.</w:t>
      </w:r>
    </w:p>
    <w:p>
      <w:pPr>
        <w:pStyle w:val="TextBody"/>
        <w:bidi w:val="0"/>
        <w:spacing w:before="0" w:after="0"/>
        <w:ind w:left="7" w:right="0" w:hanging="0"/>
        <w:jc w:val="center"/>
        <w:rPr>
          <w:caps w:val="false"/>
          <w:smallCaps w:val="false"/>
        </w:rPr>
      </w:pPr>
      <w:r>
        <w:rPr>
          <w:caps w:val="false"/>
          <w:smallCaps w:val="false"/>
        </w:rPr>
        <w:t> </w:t>
      </w:r>
    </w:p>
    <w:p>
      <w:pPr>
        <w:pStyle w:val="TextBody"/>
        <w:bidi w:val="0"/>
        <w:spacing w:before="0" w:after="0"/>
        <w:ind w:left="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or delivery by electronic mail,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 Khlong Toei Nuea Sub-district</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 Thailand</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Wing Fung Alfred Siu, Chief Executive Officer</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Boot Capital LLC</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 Meridian Ave., Suite 723</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Beach, FL 33139</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Peter Rosten, President</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rost_nyc@yahoo.com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Note and any provision hereof may only be amended by an instrument in writing signed by the Borrower and the Holder. The term “Note” and all reference thereto, as used throughout this instrument, shall mean this instrument (and the other Notes issued pursuant to the Purchase Agreement) as originally executed, or if later amended or supplemented, then as so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Each transferee of this Note must be an “accredited investor” (as defined in Rule 501(a) of the Securities and Exchange Commission). Notwithstanding anything in this Note to the contrary, this Note may be pledged as collateral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and may be assigned by the Holder without the consent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governed by and construed in accordance with the laws of the Commonwealth of Virginia without regard to principles of conflicts of laws. Any action brought by either party against the other concerning the transactions contemplated by this Note shall be brought only in the Circuit Court of Fairfax County, Virginia or in the Alexandria Division of the United States District Court for the Eastern District of Virginia. The parties to this Note hereby irrevocably waive any objection to jurisdiction and venue of any action instituted hereunder and shall not assert any objection or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Borrower and Holder waive trial by jury. The Holder shall be entitled to recover from the Borrower its reasonable attorney’s fees and costs incurred in connection with or related to any Event of Default by the Borrower, as defined in Article III hereof. In the event that any provision of this Note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hereof or any agreement delivered in connection herewith. Each party hereby irrevocably waives personal service of process and consents to process being served in any suit, action or proceeding in connection with this Note, any agreement or any other document delivered in connection with this Note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its acceptance of this Note, each party agrees to be bound by the applicable terms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has caused this Note to be signed in its name by its duly authorized officer this on January 22, 2026</w:t>
      </w:r>
    </w:p>
    <w:p>
      <w:pPr>
        <w:pStyle w:val="TextBody"/>
        <w:bidi w:val="0"/>
        <w:spacing w:before="0" w:after="0"/>
        <w:ind w:left="0" w:right="0" w:hanging="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493"/>
        <w:gridCol w:w="3141"/>
        <w:gridCol w:w="75"/>
      </w:tblGrid>
      <w:tr>
        <w:trPr/>
        <w:tc>
          <w:tcPr>
            <w:tcW w:w="3634"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By:</w:t>
            </w:r>
          </w:p>
        </w:tc>
        <w:tc>
          <w:tcPr>
            <w:tcW w:w="3141"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 </w:t>
            </w:r>
          </w:p>
        </w:tc>
        <w:tc>
          <w:tcPr>
            <w:tcW w:w="3141"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 </w:t>
            </w:r>
          </w:p>
        </w:tc>
        <w:tc>
          <w:tcPr>
            <w:tcW w:w="3141"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$_________________ principal amount of the Note (defined below) into that number of shares of Class A Ordinary Shares to be issued pursuant to the conversion of the Note (“Class A Ordinary Shares”) as set forth below, of NEWGENIVF GROUP LIMITED, a British Virgin Islands corporation (the “Borrower”) according to the conditions of the convertible note of the Borrower dated as of January 22, 2026 (the “Note”), as of the date written below. No fee will be charged to the Holder for any conversion, except for transfer taxes, if 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Class A Ordinary Shares issuable pursuant to this Notice of Conversion to the account of the undersigned or its nominee with DTC through its Deposit Withdrawal Agent Commission system (“DWAC Transfer”).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Class A Ordinary Shares set forth below (which numbers are based on the Holder’s calculation attached hereto) in the name(s) specified immediately below or, if additional space is necessary, on an attachment hereto:</w:t>
      </w:r>
    </w:p>
    <w:p>
      <w:pPr>
        <w:pStyle w:val="TextBody"/>
        <w:bidi w:val="0"/>
        <w:spacing w:before="0" w:after="0"/>
        <w:ind w:left="1440" w:right="0" w:firstLine="720"/>
        <w:jc w:val="both"/>
        <w:rPr>
          <w:caps w:val="false"/>
          <w:smallCaps w:val="false"/>
        </w:rPr>
      </w:pPr>
      <w:r>
        <w:rPr>
          <w:caps w:val="false"/>
          <w:smallCaps w:val="false"/>
        </w:rPr>
        <w:t> </w:t>
      </w:r>
    </w:p>
    <w:tbl>
      <w:tblPr>
        <w:tblW w:w="9290" w:type="dxa"/>
        <w:jc w:val="left"/>
        <w:tblInd w:w="0" w:type="dxa"/>
        <w:tblLayout w:type="fixed"/>
        <w:tblCellMar>
          <w:top w:w="0" w:type="dxa"/>
          <w:left w:w="0" w:type="dxa"/>
          <w:bottom w:w="0" w:type="dxa"/>
          <w:right w:w="0" w:type="dxa"/>
        </w:tblCellMar>
      </w:tblPr>
      <w:tblGrid>
        <w:gridCol w:w="75"/>
        <w:gridCol w:w="9020"/>
        <w:gridCol w:w="195"/>
      </w:tblGrid>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Date of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Applicable Conversion Price:</w:t>
            </w:r>
          </w:p>
        </w:tc>
        <w:tc>
          <w:tcPr>
            <w:tcW w:w="1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pPr>
            <w:r>
              <w:rPr/>
              <w:t>Number of shares of Class A Ordinary Shares to be issued pursuant to conversion of the Notes:</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579" w:type="dxa"/>
        <w:jc w:val="left"/>
        <w:tblInd w:w="0" w:type="dxa"/>
        <w:tblLayout w:type="fixed"/>
        <w:tblCellMar>
          <w:top w:w="0" w:type="dxa"/>
          <w:left w:w="0" w:type="dxa"/>
          <w:bottom w:w="0" w:type="dxa"/>
          <w:right w:w="0" w:type="dxa"/>
        </w:tblCellMar>
      </w:tblPr>
      <w:tblGrid>
        <w:gridCol w:w="525"/>
        <w:gridCol w:w="979"/>
        <w:gridCol w:w="75"/>
      </w:tblGrid>
      <w:tr>
        <w:trPr/>
        <w:tc>
          <w:tcPr>
            <w:tcW w:w="1504" w:type="dxa"/>
            <w:gridSpan w:val="2"/>
            <w:tcBorders/>
            <w:vAlign w:val="center"/>
          </w:tcPr>
          <w:p>
            <w:pPr>
              <w:pStyle w:val="TableContents"/>
              <w:bidi w:val="0"/>
              <w:spacing w:before="0" w:after="283"/>
              <w:jc w:val="left"/>
              <w:rPr>
                <w:sz w:val="20"/>
              </w:rPr>
            </w:pPr>
            <w:r>
              <w:rPr>
                <w:sz w:val="20"/>
              </w:rPr>
              <w:t>Boot Capital LLC</w:t>
            </w:r>
          </w:p>
        </w:tc>
        <w:tc>
          <w:tcPr>
            <w:tcW w:w="75" w:type="dxa"/>
            <w:tcBorders/>
            <w:vAlign w:val="center"/>
          </w:tcPr>
          <w:p>
            <w:pPr>
              <w:pStyle w:val="TableContents"/>
              <w:bidi w:val="0"/>
              <w:spacing w:before="0" w:after="283"/>
              <w:jc w:val="left"/>
              <w:rPr/>
            </w:pPr>
            <w:r>
              <w:rPr/>
              <w:t> </w:t>
            </w:r>
          </w:p>
        </w:tc>
      </w:tr>
      <w:tr>
        <w:trPr/>
        <w:tc>
          <w:tcPr>
            <w:tcW w:w="1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25" w:type="dxa"/>
            <w:tcBorders/>
            <w:vAlign w:val="center"/>
          </w:tcPr>
          <w:p>
            <w:pPr>
              <w:pStyle w:val="TableContents"/>
              <w:bidi w:val="0"/>
              <w:spacing w:before="0" w:after="283"/>
              <w:jc w:val="left"/>
              <w:rPr>
                <w:sz w:val="20"/>
              </w:rPr>
            </w:pPr>
            <w:r>
              <w:rPr>
                <w:sz w:val="20"/>
              </w:rPr>
              <w:t>By:</w:t>
            </w:r>
          </w:p>
        </w:tc>
        <w:tc>
          <w:tcPr>
            <w:tcW w:w="979"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04" w:type="dxa"/>
            <w:gridSpan w:val="2"/>
            <w:tcBorders/>
            <w:vAlign w:val="center"/>
          </w:tcPr>
          <w:p>
            <w:pPr>
              <w:pStyle w:val="TableContents"/>
              <w:bidi w:val="0"/>
              <w:spacing w:before="0" w:after="283"/>
              <w:jc w:val="left"/>
              <w:rPr>
                <w:sz w:val="20"/>
              </w:rPr>
            </w:pPr>
            <w:r>
              <w:rPr>
                <w:sz w:val="20"/>
              </w:rPr>
              <w:t>Name:</w:t>
            </w:r>
          </w:p>
        </w:tc>
        <w:tc>
          <w:tcPr>
            <w:tcW w:w="75" w:type="dxa"/>
            <w:tcBorders/>
            <w:vAlign w:val="center"/>
          </w:tcPr>
          <w:p>
            <w:pPr>
              <w:pStyle w:val="TableContents"/>
              <w:bidi w:val="0"/>
              <w:spacing w:before="0" w:after="283"/>
              <w:jc w:val="left"/>
              <w:rPr/>
            </w:pPr>
            <w:r>
              <w:rPr/>
              <w:t> </w:t>
            </w:r>
          </w:p>
        </w:tc>
      </w:tr>
      <w:tr>
        <w:trPr/>
        <w:tc>
          <w:tcPr>
            <w:tcW w:w="1504" w:type="dxa"/>
            <w:gridSpan w:val="2"/>
            <w:tcBorders/>
            <w:vAlign w:val="center"/>
          </w:tcPr>
          <w:p>
            <w:pPr>
              <w:pStyle w:val="TableContents"/>
              <w:bidi w:val="0"/>
              <w:spacing w:before="0" w:after="283"/>
              <w:jc w:val="left"/>
              <w:rPr>
                <w:sz w:val="20"/>
              </w:rPr>
            </w:pPr>
            <w:r>
              <w:rPr>
                <w:sz w:val="20"/>
              </w:rPr>
              <w:t>Title:</w:t>
            </w:r>
          </w:p>
        </w:tc>
        <w:tc>
          <w:tcPr>
            <w:tcW w:w="75" w:type="dxa"/>
            <w:tcBorders/>
            <w:vAlign w:val="center"/>
          </w:tcPr>
          <w:p>
            <w:pPr>
              <w:pStyle w:val="TableContents"/>
              <w:bidi w:val="0"/>
              <w:spacing w:before="0" w:after="283"/>
              <w:jc w:val="left"/>
              <w:rPr/>
            </w:pPr>
            <w:r>
              <w:rPr/>
              <w:t> </w:t>
            </w:r>
          </w:p>
        </w:tc>
      </w:tr>
      <w:tr>
        <w:trPr/>
        <w:tc>
          <w:tcPr>
            <w:tcW w:w="525" w:type="dxa"/>
            <w:tcBorders/>
            <w:vAlign w:val="center"/>
          </w:tcPr>
          <w:p>
            <w:pPr>
              <w:pStyle w:val="TableContents"/>
              <w:bidi w:val="0"/>
              <w:spacing w:before="0" w:after="283"/>
              <w:jc w:val="left"/>
              <w:rPr>
                <w:sz w:val="20"/>
              </w:rPr>
            </w:pPr>
            <w:r>
              <w:rPr>
                <w:sz w:val="20"/>
              </w:rPr>
              <w:t>Date: </w:t>
            </w:r>
          </w:p>
        </w:tc>
        <w:tc>
          <w:tcPr>
            <w:tcW w:w="979"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30132501ex10-43.htm"/>
      <w:bookmarkStart w:id="48" w:name="ksea030132501ex1043"/>
      <w:bookmarkEnd w:id="47"/>
      <w:bookmarkEnd w:id="48"/>
      <w:r>
        <w:rPr>
          <w:rFonts w:ascii="Times New Roman;Times;Serif" w:hAnsi="Times New Roman;Times;Serif"/>
          <w:b/>
          <w:i w:val="false"/>
          <w:caps w:val="false"/>
          <w:smallCaps w:val="false"/>
          <w:sz w:val="20"/>
        </w:rPr>
        <w:t>Exhibit 10.43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March 30,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Limited Company, with headquarters located at 36/39-36/40, 13th Floor, PS Tower, Sukhumvit 21 Road (Asoke), Watthana District, B 10110, Thailand (the “Company”), and </w:t>
      </w:r>
      <w:r>
        <w:rPr>
          <w:rFonts w:ascii="Times New Roman;Times;Serif" w:hAnsi="Times New Roman;Times;Serif"/>
          <w:b/>
          <w:i w:val="false"/>
          <w:caps w:val="false"/>
          <w:smallCaps w:val="false"/>
          <w:sz w:val="20"/>
        </w:rPr>
        <w:t>SILVERCREST HYBRID CAPITAL LLC</w:t>
      </w:r>
      <w:r>
        <w:rPr>
          <w:rFonts w:ascii="Times New Roman;Times;Serif" w:hAnsi="Times New Roman;Times;Serif"/>
          <w:b w:val="false"/>
          <w:i w:val="false"/>
          <w:caps w:val="false"/>
          <w:smallCaps w:val="false"/>
          <w:sz w:val="20"/>
        </w:rPr>
        <w:t>, a Nevada limited liability company, with its address at 1325 Airmotive Way, Suite 202, Reno, NV 89502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the rules and regulations as promulgated by the United States Securities and Exchange Commission (the “SEC”) under the Securities Act of 1933, as amended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Buyer desires to purchase and the Company desires to issue and sell, upon the terms and conditions set forth in this Agreement a 10% convertible redeemable note of the Company, in the form attached hereto as Exhibit A, in the aggregate principal amount of $200,000.00 (together with any note(s) issued in replacement thereof or as a dividend thereon or otherwise with respect thereto in accordance with the terms thereof, the “Note”), convertible into shares of common stock, of the Company (the “Common Stock”), upon the terms and subject to the limitations and conditions set forth in such Note. The Note shall contain an original issue discount of $20,000.00, such that the purchase price of the Note shall be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Note as is set forth immediately below its name on the signature page 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Company and the Buyer severally (and not jointly)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the Note.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the Note</w:t>
      </w:r>
      <w:r>
        <w:rPr>
          <w:rFonts w:ascii="Times New Roman;Times;Serif" w:hAnsi="Times New Roman;Times;Serif"/>
          <w:b w:val="false"/>
          <w:i w:val="false"/>
          <w:caps w:val="false"/>
          <w:smallCaps w:val="false"/>
          <w:sz w:val="20"/>
        </w:rPr>
        <w:t>. On the Closing Date (as defined below), the Company shall issue and sell to the Buyer, and the Buyer agrees to purchase from the Company such Note as is set forth immediately below the Buyer’s name on the signature pages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On the Closing Date (as defined below), (i) the Buyer shall pay the purchase price for the Note to be issued and sold to it at the Closing (as defined below) (the “Purchase Price”) by wire transfer of immediately available funds to the Company, in accordance with the Company’s written wiring instructions, against delivery of the Note in the principal amount equal to the Purchase Price as is set forth immediately below the Buyer’s name on the signature pages hereto, and (ii) the Company shall deliver such duly executed Note on behalf of the Company to the Buyer, against delivery of such Purchase Price.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date and time of the issuance and sale of the Note pursuant to this Agreement (the “Closing Date”) shall be on or about March 30, 2026, or such other mutually agreed upon time. The closing of the transactions contemplated by this Agreement (the “Closing”) shall occur on the Closing Date at such location as may be agreed to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date hereof, the Buyer is purchasing the Note and the shares of Common Stock issuable upon conversion of or otherwise pursuant to the Note, such shares of Common Stock being collectively referred to herein as the “Conversion Shares” and, collectively with the Note, the “Securities”) for its own account and not with a present view towards the public sale or distribution thereof, except pursuant to sales registered or exempted from registration under the 1933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by making the representations herein, the Buyer does not agree to hold any of the Securities for any minimum or other specific term and reserves the right to dispose of the Securities at any time in accordance with or pursuant to an effective registration statement with respect to such Securities or an exemption under the 1933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Buyer is an “accredited investor” as that term is defined in Rule 501(a) of Regulation D (an “Accredited Investor”). Any of Buyer’s transferees, assignees, or purchasers must be “accredited investors” in order to qualify as prospective transferees, permitted assignees in the case of Buyer’s or Holder’s transfer, assignment, or sale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Buyer and its advisors, if any, have been furnished with all materials relating to the business, finances, and operations of the Company and materials relating to the offer and sale of the Securities which have been requested by the Buyer or its advisors. The Buyer and its advisors, if any, have been afforded the opportunity to ask questions of the Company. Notwithstanding the foregoing, the Company has not disclosed to the Buyer any material nonpublic information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 The Buyer understands that its investment in the Securities involves a significant degree of risk. The Buyer is not aware of any facts that may constitute a breach of any of the Company’s representations and warranties made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The Buyer understands that no United States federal or state agency or any other government or governmental agency has passed upon or made any recommendation or endorsement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Buyer, an opinion of counsel that shall be in form, substance and scope customary for opinions of counsel in comparable transactions to the effect that the Securities to be sold or transferred may be sold or transferred pursuant to an exemption from such registration, which opinion may be accepted by the Company in its reasonable discretion,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or (d) the Securities are sold pursuant to Rule 144 or Regulation S under the 1933 Act (or a successor rule) (“Regulation S”), and the Buyer shall have delivered to the Company, at the cost of the Buyer, an opinion of counsel that shall be in form, substance and scope customary for opinions of counsel in corporate transactions, which opinion may be accepted by the Company in its reasonable discretion; (ii) any sale of such Securities made in reliance on Rule 144 may be made only in accordance with the terms of said Rule 144 and further, if said Rule 144 is not applicable, any re-sale of such Securities under circumstances in which the selling Buyer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Buyer understands that the Note and, until such time, if any, as the Conversion Shares have been registered under the 1933 Act may be sold pursuant to Rule 144 or Regulation S without any restriction as to the number of securities as of a particular date that have been sold, the Conversion Shares shall bear a restrictive legend in substantially the following form (and a stop-transfer order may be placed against the transfer of the certificates for such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1080" w:right="108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HEREBY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FORM ACCEPTABLE TO THE COMPANY, THAT REGISTRATION IS NOT REQUIRED UNDER SAID ACT OR (II) UNLESS SOLD PURSUANT TO RULE 144 OR RULE 144A UNDER SAID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without such legend to the holder of any Security upon which it is stamped, if, unless otherwise required by applicable state securities laws, (a) such Security is registered for sale under an effective registration statement filed under the 1933 Act or otherwise may be sold pursuant to Rule 144 or Regulation S without any restriction as to the number of securities as of a particular date that can then be immediately sold, or (b) such holder provides the Company with an opinion of counsel, in form, substance, and scope customary for opinions of counsel in comparable transactions, to the effect that a public sale or transfer of such Security may be made without registration under the 1933 Act, which opinion shall be accepted by the Company in its reasonable discretion so that the sale or transfer is effected. The Buyer agrees to sell all Securities, including those represented by a certificate(s) from which the legend has been removed, in compliance with applicable prospectus delivery requirements,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This Agreement has been duly executed and delivered on behalf of the Buyer, and this Agreement constitutes a valid and binding agreement of the Buyer enforceable in accordance with its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Residency</w:t>
      </w:r>
      <w:r>
        <w:rPr>
          <w:rFonts w:ascii="Times New Roman;Times;Serif" w:hAnsi="Times New Roman;Times;Serif"/>
          <w:b w:val="false"/>
          <w:i w:val="false"/>
          <w:caps w:val="false"/>
          <w:smallCaps w:val="false"/>
          <w:sz w:val="20"/>
        </w:rPr>
        <w:t>. The Buyer is a resident of the jurisdiction set forth immediately below the Buyer’s name on the signature pages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Buyer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its subsidiaries, if any, is a Limited Company duly organized, validly existing, and in good standing under the laws of the jurisdiction in which it is incorporated, with full power and authority (corporate and other) to own, lease, use and operate its properties and to carry on its business as and where now owned, leased, used, operated and conducted, except for those jurisdictions in which failure to have such authority would not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(i)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and the Note by the Company and the consummation by it of the transactions contemplated hereby and thereby (including without limitation, the issuance of the Note and the issuance and reservation for issuance of the Conversion Shares issuable upon conversion or exercise thereof) have been duly authorized by the Company’s Board of Directors and no further consent or authorization of the Company, its Board of Directors, or its shareholders is required, (iii) this Agreement has been duly executed and delivered by the Company by its authorized representative, and such authorized representative is the true and official representative with authority to sign this Agreement and the other documents executed in connection herewith and bind the Company accordingly, and (iv) this Agreement constitutes, and upon execution and delivery by the Company of the Note, each of such instruments will constitute, a legal, valid and binding obligation of the Company enforceable against the Company in accordance with its terms, except as limited by bankruptcy, insolvency or other laws of general application relating to or affecting the enforcement of creditors’ rights generally and general principles of equity.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shares reserved for conversion of the Note shall be duly authorized and reserved for issuance as soon as practicable after the Company has increased its shares of authorized Common Stock in an amount equal to or greater than that permitting it to reserve such shares. Upon conversion of the Note in accordance with its respective terms, Conversion Shares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The Company understands and acknowledges the potentially dilutive effect to the Common Stock upon the issuance of the Conversion Shares upon conversion of the Note. The Company further acknowledges that its obligation to issue Conversion Shares upon conversion of the Note in accordance with this Agreement and the Note is absolute and unconditional regardless of the dilutive effect that such issuance may have on the ownership interests of other shareholders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and the Note by the Company and the consummation by the Company of the transactions contemplated hereby and thereby (including, without limitation, the issuance and reservation for issuance of the Conversion Shares) will not (i) conflict with or result in a violation of any provision of the Certificate of Incorporation or By-laws, (ii) violate or conflict with, or result in a breach of any provision of, or constitute a default (or an event which with notice or lapse of time or both could become a default) under, or give to others any rights of termination, amendment, acceleration or cancellation of, any agreement,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are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Except for applicable blue sky state notice filings, all consents, authorizations, orders, filings and registrations which the Company is required to obtain pursuant to the preceding sentence have been obtained or effected on or prior to the date hereof. The Company is not in violation of the eligibility requirements of the Nasdaq Stock Market (“Nasdaq”) and does not reasonably anticipate that the Common Stock will be delisted or suspended from trading on the Nasdaq in the foreseeable future, nor are the Company’s securities “chilled” by DTC. The Company and its subsidiaries are unaware of any facts or circumstances which might give rise to any of the foregoing. For purposes of this Agreement, “Material Adverse Effect” means an event or combination of events, which individually or in the aggregate, would reasonably be expected to (a) adversely affect the legality, validity or enforceability of the Agreement or the Note, or (b) have or result in a material adverse effect on the results of operations, assets, or financial condition of the Company,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Except as disclosed to the Buyer or in the Company’s filings with the SEC,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The Company acknowledges and agrees that the Buyer is acting solely in the capacity of arm’s length purchasers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 purchase of the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are described in Schedule 3(i) or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Bad Actor</w:t>
      </w:r>
      <w:r>
        <w:rPr>
          <w:rFonts w:ascii="Times New Roman;Times;Serif" w:hAnsi="Times New Roman;Times;Serif"/>
          <w:b w:val="false"/>
          <w:i w:val="false"/>
          <w:caps w:val="false"/>
          <w:smallCaps w:val="false"/>
          <w:sz w:val="20"/>
        </w:rPr>
        <w:t>. No officer or director of the Company would be disqualified under Rule 506(d) of the Securities Act as amended on the basis of being a “bad actor” as that term is established in the September 19, 2013 Small Entity Compliance Guide published by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If the Company breaches any of the representations or warranties set forth in this Section 3 in any material respect (subject to a 10-day cure period from the date that the Buyer notifies the Company in writing of such breach with reasonable detail), and in addition to any other remedies available to the Buyer pursuant to this Agreement, it will be considered an Event of Default under the Note.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agrees that Buyer can deduct $6,000.00 (six Thousand Dollars) from the $180,000.00 payment due under the Note, at the time of cash funding, to be applied to the legal expenses of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shall promptly secure the listing of the Conversion Shares upon each national securities exchange or automated quotation system, if necessary, upon which shares of Common Stock are then listed or quoted (subject to official notice of issuance) and, so long as the Buyer owns any of the Securities, shall maintain, so long as any other shares of Common Stock shall be so listed or quoted, such listing or quotation of all Conversion Shares from time to time issuable upon conversion of the Note. The Company will obtain and, so long as the Buyer owns any of the Securities, maintain (i) the listing and trading of its Common Stock on the Nasdaq Stock Market (“Nasdaq”) or the New York Stock Exchange (“NYSE”), or (ii) if the Common Stock is no longer listed on Nasdaq or NYSE or any other national securities exchange, the quotation and trading of its Common Stock on the OTC Markets Group Inc. marketplace (“OTC Markets”) or any other recognized trading market or quotation </w:t>
      </w:r>
      <w:r>
        <w:rPr>
          <w:rFonts w:ascii="Times New Roman;Times;Serif" w:hAnsi="Times New Roman;Times;Serif"/>
          <w:b w:val="false"/>
          <w:i w:val="false"/>
          <w:caps w:val="false"/>
          <w:smallCaps w:val="false"/>
          <w:sz w:val="20"/>
          <w:u w:val="single"/>
        </w:rPr>
        <w:t>system</w:t>
      </w:r>
      <w:r>
        <w:rPr>
          <w:rFonts w:ascii="Times New Roman;Times;Serif" w:hAnsi="Times New Roman;Times;Serif"/>
          <w:b w:val="false"/>
          <w:i w:val="false"/>
          <w:caps w:val="false"/>
          <w:smallCaps w:val="false"/>
          <w:sz w:val="20"/>
        </w:rPr>
        <w:t>,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if any, from the Nasdaq, the NYSE, the OTC Markets, and any other markets on which the Common Stock is then listed regarding the continued eligibility of the Common Stock for listing on such markets.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So long as the Buyer beneficially owns any Note, the Company shall maintain its corporate existence and shall not sell all or substantially all of the Company’s assets, except in the event of a merger, consolidation, or sale of all or substantially all of the Company’s assets, where the surviving or successor entity in such transaction (i) assumes the Company’s obligations hereunder and under the agreements and instruments entered into in connection herewith and (ii) is a publicly traded corporation whose Common Stock is (A) listed for trading on Nasdaq, NYSE, or any other national securities exchange registered under Section 6 of the Securities Exchange Act of 1934, as amended, or (B) if not so listed, quoted and traded on the OTC Markets or any other recognized trading market or quotation system.</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20-F or 6-K Filing</w:t>
      </w:r>
      <w:r>
        <w:rPr>
          <w:rFonts w:ascii="Times New Roman;Times;Serif" w:hAnsi="Times New Roman;Times;Serif"/>
          <w:b w:val="false"/>
          <w:i w:val="false"/>
          <w:caps w:val="false"/>
          <w:smallCaps w:val="false"/>
          <w:sz w:val="20"/>
        </w:rPr>
        <w:t>. The Company will disclose this transaction in its next 20-F or 6-K filing (whichever is next) in a manner sufficient to specifically disclose the material contents of the transaction. The Company will not “lump” this Note with other similar instruments for purposes of disclosure but will specifically identify the parties to this transaction and all material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If the Company breaches any of the covenants set forth in this Section 4 (subject to a 5-day cure period from the date that the Buyer notifies the Company in writing of such breach with reasonable detail), and in addition to any other remedies available to the Buyer pursuant to this Agreement, it will be considered an event of default under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Governing Law; Miscellaneous</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State of Nevada without regard to principles of conflicts of laws. Any action brought by either party against the other concerning the transactions contemplated by this Agreement shall be brought only in the state courts of Nevada or in the federal courts located in the state of Nevada and county or city of either Washoe County, Nevada, or Clark County, Nevada. The parties to this Agreement hereby irrevocably waive any objection to jurisdiction and venue of any action instituted hereunder and shall not assert any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Company and Buyer waive trial by jury. The prevailing party shall be entitled to recover from the other party its reasonable attorney’s fees and costs. In the event that any provision of this Agreement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 Each party hereby irrevocably waives personal service of process and consents to process being served in any suit, action or proceeding in connection with this Agreement or any other Transaction Document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 Signatures by Facsimile</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shall constitute one and the same agreement and shall become effective when counterparts have been signed by each party and delivered to the other party. This Agreement, once executed by a party, may be delivered to the other party hereto by facsimile transmission of a copy of this Agreement bearing the signature of the party so delivering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the convenience of reference only and shall not form part of, or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may be waived or amended other than by an instrument in writing signed by the majority in the interest of the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(iv) via electronic mail or (v) transmitted by hand delivery, telegram, or facsimile, addressed as set forth below or to such other address as such party shall have specified most recently by written notice. Any notice or other communication required or permitted to be given hereunder shall be deemed effective (a) upon hand delivery or delivery by facsimile, with accurate confirmation generated by the transmitting facsimile machine, at the address or number designated below (if delivered on a business day during normal business hours where such notice is to be received) or delivery via electronic mail,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 10110, Thailand</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Wing Fung Alfred Siu, CEO</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SILVERCREST HYBRID CAPITAL LLC</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 Airmotive Way, Suite 202</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NV 89502</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Ron Meiri,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provide notice to the other party of any change in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assigns. Neither the Company nor the Buyer shall assign this Agreement or any rights or obligations hereunder without the prior written consent of the other, which consent shall not be unreasonably withheld, conditioned, or delayed. Notwithstanding the foregoing, the Buyer may assign its rights hereunder to any affiliate (as that term is defined under the 1933 Act) of the Buyer without the consent of the Company, provided that (i) the Buyer delivers written notice to the Company at least five (5) business days prior to such assignment, (ii) such affiliate assignee delivers to the Company a written assumption agreement confirming that it is bound by all terms and conditions of this Agreement and the Note, and (iii) the Buyer provides the Company with an opinion of counsel from a reputable law firm confirming that such assignment is in compliance with applicable securities laws. Any purported assignment in violation of this Section 5(g) shall be null and void.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Buyer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624" w:type="dxa"/>
        <w:jc w:val="left"/>
        <w:tblInd w:w="0" w:type="dxa"/>
        <w:tblLayout w:type="fixed"/>
        <w:tblCellMar>
          <w:top w:w="0" w:type="dxa"/>
          <w:left w:w="0" w:type="dxa"/>
          <w:bottom w:w="0" w:type="dxa"/>
          <w:right w:w="0" w:type="dxa"/>
        </w:tblCellMar>
      </w:tblPr>
      <w:tblGrid>
        <w:gridCol w:w="980"/>
        <w:gridCol w:w="3569"/>
        <w:gridCol w:w="75"/>
      </w:tblGrid>
      <w:tr>
        <w:trPr/>
        <w:tc>
          <w:tcPr>
            <w:tcW w:w="4549"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35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By:</w:t>
            </w:r>
          </w:p>
        </w:tc>
        <w:tc>
          <w:tcPr>
            <w:tcW w:w="3569"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Name:</w:t>
            </w:r>
          </w:p>
        </w:tc>
        <w:tc>
          <w:tcPr>
            <w:tcW w:w="3569"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Title:</w:t>
            </w:r>
          </w:p>
        </w:tc>
        <w:tc>
          <w:tcPr>
            <w:tcW w:w="3569"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35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49" w:type="dxa"/>
            <w:gridSpan w:val="2"/>
            <w:tcBorders/>
            <w:vAlign w:val="center"/>
          </w:tcPr>
          <w:p>
            <w:pPr>
              <w:pStyle w:val="TableContents"/>
              <w:bidi w:val="0"/>
              <w:spacing w:before="0" w:after="283"/>
              <w:jc w:val="left"/>
              <w:rPr>
                <w:b/>
              </w:rPr>
            </w:pPr>
            <w:r>
              <w:rPr>
                <w:b/>
              </w:rPr>
              <w:t>SILVERCREST HYBRID CAPITAL LLC</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35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By:</w:t>
            </w:r>
          </w:p>
        </w:tc>
        <w:tc>
          <w:tcPr>
            <w:tcW w:w="3569"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Name:</w:t>
            </w:r>
          </w:p>
        </w:tc>
        <w:tc>
          <w:tcPr>
            <w:tcW w:w="3569" w:type="dxa"/>
            <w:tcBorders/>
            <w:vAlign w:val="center"/>
          </w:tcPr>
          <w:p>
            <w:pPr>
              <w:pStyle w:val="TableContents"/>
              <w:bidi w:val="0"/>
              <w:spacing w:before="0" w:after="283"/>
              <w:jc w:val="left"/>
              <w:rPr/>
            </w:pPr>
            <w:r>
              <w:rPr/>
              <w:t>Ron Meiri</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Title:</w:t>
            </w:r>
          </w:p>
        </w:tc>
        <w:tc>
          <w:tcPr>
            <w:tcW w:w="3569"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SUBSCRIPTION AMOUNT:</w:t>
      </w:r>
    </w:p>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3950"/>
        <w:gridCol w:w="1235"/>
      </w:tblGrid>
      <w:tr>
        <w:trPr/>
        <w:tc>
          <w:tcPr>
            <w:tcW w:w="3950" w:type="dxa"/>
            <w:tcBorders/>
            <w:vAlign w:val="center"/>
          </w:tcPr>
          <w:p>
            <w:pPr>
              <w:pStyle w:val="TableContents"/>
              <w:bidi w:val="0"/>
              <w:jc w:val="left"/>
              <w:rPr/>
            </w:pPr>
            <w:r>
              <w:rPr/>
              <w:t>Aggregate Principal Amount of the Note:</w:t>
            </w:r>
          </w:p>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$200,000.00</w:t>
            </w:r>
          </w:p>
        </w:tc>
      </w:tr>
      <w:tr>
        <w:trPr/>
        <w:tc>
          <w:tcPr>
            <w:tcW w:w="3950" w:type="dxa"/>
            <w:tcBorders/>
            <w:vAlign w:val="center"/>
          </w:tcPr>
          <w:p>
            <w:pPr>
              <w:pStyle w:val="TableContents"/>
              <w:bidi w:val="0"/>
              <w:spacing w:before="0" w:after="283"/>
              <w:jc w:val="left"/>
              <w:rPr/>
            </w:pPr>
            <w:r>
              <w:rPr/>
              <w:t>Aggregate Purchase Price:</w:t>
            </w:r>
          </w:p>
        </w:tc>
        <w:tc>
          <w:tcPr>
            <w:tcW w:w="12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$200,000.00, less $20,000.00 in original issue discount, and less $6,000.00 in legal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 NOTE - $200,000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49" w:name="ea030132501ex10-44.htm"/>
      <w:bookmarkStart w:id="50" w:name="ksea030132501ex1044"/>
      <w:bookmarkEnd w:id="49"/>
      <w:bookmarkEnd w:id="50"/>
      <w:r>
        <w:rPr>
          <w:b/>
        </w:rPr>
        <w:t>Exhibit 10.44</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AND THE COMMON STOCK ISSUABLE UPON CONVERSION OF THIS NOTE HAVE NOT BEEN AND WILL NOT BE REGISTERED WITH THE UNITED STATES SECURITIES AND EXCHANGE COMMISSION OR THE SECURITIES COMMISSION OF ANY STATE PURSUANT TO AN EXEMPTION FROM REGISTRATION PROVIDED UNDER THE SECURITIES ACT OF 1933, AS AMENDED, AND THE RULES AND REGULATIONS PROMULGATED THEREUNDER (THE “1933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$200,000.00</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CONVERTIBLE REDEEMABLE NOTE</w:t>
        <w:br/>
        <w:t>DUE MARCH 30, 2027</w:t>
      </w:r>
    </w:p>
    <w:p>
      <w:pPr>
        <w:pStyle w:val="TextBody"/>
        <w:bidi w:val="0"/>
        <w:spacing w:before="0" w:after="0"/>
        <w:ind w:left="2773"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NEWGENIVF GROUP LIMITED (the “Company”) promises to pay to the order of SILVERCREST HYBRID CAPITAL LLC and its authorized successors and Permitted Assigns, defined below,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the aggregate principal face amount of Two Hundred Thousand Dollars exactly (U.S. $200,000.00) on March 30, 2027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and to pay interest on the principal amount outstanding hereunder at the rate of 10% per annum commencing on March 30, 2026 (the “</w:t>
      </w:r>
      <w:r>
        <w:rPr>
          <w:rFonts w:ascii="Times New Roman;Times;Serif" w:hAnsi="Times New Roman;Times;Serif"/>
          <w:b w:val="false"/>
          <w:i w:val="false"/>
          <w:caps w:val="false"/>
          <w:smallCaps w:val="false"/>
          <w:sz w:val="20"/>
          <w:u w:val="single"/>
        </w:rPr>
        <w:t>Issuance Date</w:t>
      </w:r>
      <w:r>
        <w:rPr>
          <w:rFonts w:ascii="Times New Roman;Times;Serif" w:hAnsi="Times New Roman;Times;Serif"/>
          <w:b w:val="false"/>
          <w:i w:val="false"/>
          <w:caps w:val="false"/>
          <w:smallCaps w:val="false"/>
          <w:sz w:val="20"/>
        </w:rPr>
        <w:t>”). The interest will be paid to the Holder in whose name this 10% Convertible Redeemable Note (this “Note”) is registered on the records of the Company regarding registration and transfers of this Note. This Note shall contain a $20,000.00 original issue discount, such that the purchase price shall be $180,000.00. The principal of, and interest on, this Note are payable at 1325 Airmotive Way, Suite 202, Reno, NV 89502, initially, and if changed, last appearing on the records of the Company as designated in writing by the Holder hereof from time to time. The Company will pay each interest payment and the outstanding principal due upon this Note before or on the Maturity Date, less any amounts required by law to be deducted or withheld, to the Holder of this Note by check or wire transfer addressed to such Holder at the last address appearing on the records of the Company. The forwarding of such check or wire transfer shall constitute a payment of the outstanding principal hereunder and shall satisfy and discharge the liability for the principal on this Note to the extent of the sum represented by such check or wire transfer. Interest shall be payable in Common Stock (as defined below) pursuant to paragraph 4(b) herein. Permitted Assigns means any “qualified person”, “permitted assigns” or “prospective transferee” acquiring all or a portion of this Note accompanied by an Opinion of Counsel, all in accordance with the terms provided in Sections 2(f) and 5(g) of the Securities Purchase Agreement by and between the Holder and the Company dated as of March 30, 2026 (the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subject to the following additional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Note is exchangeable for an equal aggregate principal amount of Notes of different authorized denominations, as requested by the Holder surrendering the same. No service charge will be made for such registration or transfer, or exchange, except that Holder shall pay any tax or other governmental charges payable in connection therewith and for the cost of any Opinion of Counsel as maybe required under Section 5(g) of the Securities Purchase Agreement. To the extent that Holder subsequently transfers, assigns, sells or exchanges any of the multiple lesser denomination notes, Holder acknowledges that it will provide the Company with an Opinion of Counsel as provided for in Sections 2(f) and 5(g) of the Securities Purchase Agreement (“Opinions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shall be entitled to withhold from all payments any amounts required to be withheld under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Note may be transferred or exchanged only in compliance with the Securities Act of 1933, as amended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applicable state securities laws and Sections 2(f) and 5(f) of the Securities Purchase Agreement. Any attempted transfer to a non-qualifying party shall be treated by the Company as void. Prior to due presentment for transfer of this Note, the Company and any agent of the Company may treat the person in whose name this Note is duly registered on the Company’s records as the owner hereof for all other purposes, whether or not this Note be overdue, and neither the Company nor any such agent shall be affected or bound by notice to the contrary. Any Holder of this Note electing to exercise the right of conversion set forth in Section 4(a) hereof, in addition to the requirements set forth in Section 4(a), and any prequalified prospective transferee of this Note, also is required to give the Company written confirmation that this Note is being converted (“</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xml:space="preserve">”) in the form annexed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date of receipt (including receipt by telecopy) of such Notice of Conversion shall be the Conversion Date. All notices of conversion will be accompanied by an Opinion of Counsel of the Holder’s counsel, which the Company shall not reasonably reject.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The Holder of this Note is entitled, at its option, at any time after the 6th monthly anniversary of this Note, to convert all or any amount of the principal face amount of this Note then outstanding into shares of the Company’s common stock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at a price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xml:space="preserve">”) for each share of Common Stock equal to </w:t>
      </w:r>
      <w:r>
        <w:rPr>
          <w:rFonts w:ascii="Times New Roman;Times;Serif" w:hAnsi="Times New Roman;Times;Serif"/>
          <w:b/>
          <w:i w:val="false"/>
          <w:caps w:val="false"/>
          <w:smallCaps w:val="false"/>
          <w:sz w:val="20"/>
        </w:rPr>
        <w:t xml:space="preserve">75% </w:t>
      </w:r>
      <w:r>
        <w:rPr>
          <w:rFonts w:ascii="Times New Roman;Times;Serif" w:hAnsi="Times New Roman;Times;Serif"/>
          <w:b w:val="false"/>
          <w:i w:val="false"/>
          <w:caps w:val="false"/>
          <w:smallCaps w:val="false"/>
          <w:sz w:val="20"/>
        </w:rPr>
        <w:t xml:space="preserve">of the </w:t>
      </w:r>
      <w:r>
        <w:rPr>
          <w:rFonts w:ascii="Times New Roman;Times;Serif" w:hAnsi="Times New Roman;Times;Serif"/>
          <w:b/>
          <w:i w:val="false"/>
          <w:caps w:val="false"/>
          <w:smallCaps w:val="false"/>
          <w:sz w:val="20"/>
          <w:u w:val="single"/>
        </w:rPr>
        <w:t>lowest trading price</w:t>
      </w:r>
      <w:r>
        <w:rPr>
          <w:rFonts w:ascii="Times New Roman;Times;Serif" w:hAnsi="Times New Roman;Times;Serif"/>
          <w:b w:val="false"/>
          <w:i w:val="false"/>
          <w:caps w:val="false"/>
          <w:smallCaps w:val="false"/>
          <w:sz w:val="20"/>
        </w:rPr>
        <w:t xml:space="preserve"> of the Common Stock as reported on (i) the Nasdaq stock market or any other national securities exchange up on which the Common Stock is then listed, or (ii) if the Common Stock is not then listed on any national securities exchange, the OTC Markets or any other trading platform or quotation system on which the Common Stock is then traded or quoted (the “Exchange”) , for the </w:t>
      </w:r>
      <w:r>
        <w:rPr>
          <w:rFonts w:ascii="Times New Roman;Times;Serif" w:hAnsi="Times New Roman;Times;Serif"/>
          <w:b/>
          <w:i/>
          <w:caps w:val="false"/>
          <w:smallCaps w:val="false"/>
          <w:sz w:val="20"/>
          <w:u w:val="single"/>
        </w:rPr>
        <w:t>ten</w:t>
      </w:r>
      <w:r>
        <w:rPr>
          <w:rFonts w:ascii="Times New Roman;Times;Serif" w:hAnsi="Times New Roman;Times;Serif"/>
          <w:b w:val="false"/>
          <w:i w:val="false"/>
          <w:caps w:val="false"/>
          <w:smallCaps w:val="false"/>
          <w:sz w:val="20"/>
        </w:rPr>
        <w:t xml:space="preserve"> prior trading days including the day upon which a Notice of Conversion is received by the Company (provided such Notice of Conversion is duly executed by the Holder and is delivered together with a duly executed Opinion of Counsel, by fax or other electronic method of communication to the Company after 4 P.M. Eastern Standard or Daylight Savings Time if the Holder wishes to include the same day closing price). For purposes of the above calculations, a day shall not be considered a trading day if there was no trading volume for the Company’s Common Stock for that particular day. If the shares have not been delivered within 2 business days, the Notice of Conversion may be rescinded. Such conversion shall be effectuated by the Company delivering the shares of Common Stock to the Holder within 2 business days of receipt by the Company of the Notice of Conversion. Accrued, but unpaid interest shall be subject to conversion. No fractional shares or scrip representing fractions of shares will be issued on conversion, but the number of shares issuable shall be rounded to the nearest whole share. To the extent the Conversion Price of the Company’s Common Stock closes below the par value per share, the Company will take all steps necessary to solicit the consent of the stockholders to reduce the par value to the lowest value possible under law or to conduct a reverse split at a ratio determined by the Company’s board of directors. The Company agrees to honor all conversions submitted pending this increase or such stock split, as applicable. </w:t>
      </w:r>
      <w:r>
        <w:rPr>
          <w:rFonts w:ascii="Times New Roman;Times;Serif" w:hAnsi="Times New Roman;Times;Serif"/>
          <w:b w:val="false"/>
          <w:i/>
          <w:caps w:val="false"/>
          <w:smallCaps w:val="false"/>
          <w:sz w:val="20"/>
        </w:rPr>
        <w:t>In the event the Company experiences a DTC “Chill” on its shares, the conversion price shall be decreased to 65% instead of 75% while that “Chill” is in effect.</w:t>
      </w:r>
      <w:r>
        <w:rPr>
          <w:rFonts w:ascii="Times New Roman;Times;Serif" w:hAnsi="Times New Roman;Times;Serif"/>
          <w:b w:val="false"/>
          <w:i w:val="false"/>
          <w:caps w:val="false"/>
          <w:smallCaps w:val="false"/>
          <w:sz w:val="20"/>
        </w:rPr>
        <w:t xml:space="preserve"> In no event shall the Holder be allowed to effect a conversion if such conversion, along with all other shares of Company Common Stock beneficially owned by the Holder and its affiliates would exceed 4.99% of the outstanding shares of the Common Stock of the Company (which may be increased up to 9.9% upon 60 days’ prior written notice by the Holder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on any unpaid principal balance of this Note shall be paid at the rate of 10% per annum. Interest shall be paid by the Company in Common Stock (“Interest Shares”). The Holder may, at any time, send in a Notice of Conversion to the Company for Interest Shares based on the formula provided in Section 4(a) above. The dollar amount converted into Interest Shares shall be all or a portion of the accrued interest calculated on the unpaid principal balance of this Note to the date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Note may be prepaid or assigned with the following penalties/premiums:</w:t>
      </w:r>
    </w:p>
    <w:p>
      <w:pPr>
        <w:pStyle w:val="TextBody"/>
        <w:bidi w:val="0"/>
        <w:spacing w:before="0" w:after="0"/>
        <w:jc w:val="left"/>
        <w:rPr>
          <w:caps w:val="false"/>
          <w:smallCaps w:val="false"/>
        </w:rPr>
      </w:pPr>
      <w:r>
        <w:rPr>
          <w:caps w:val="false"/>
          <w:smallCaps w:val="false"/>
        </w:rPr>
        <w:t> </w:t>
      </w:r>
    </w:p>
    <w:tbl>
      <w:tblPr>
        <w:tblW w:w="5410" w:type="dxa"/>
        <w:jc w:val="left"/>
        <w:tblInd w:w="-10" w:type="dxa"/>
        <w:tblLayout w:type="fixed"/>
        <w:tblCellMar>
          <w:top w:w="28" w:type="dxa"/>
          <w:left w:w="108" w:type="dxa"/>
          <w:bottom w:w="28" w:type="dxa"/>
          <w:right w:w="28" w:type="dxa"/>
        </w:tblCellMar>
      </w:tblPr>
      <w:tblGrid>
        <w:gridCol w:w="1700"/>
        <w:gridCol w:w="3710"/>
      </w:tblGrid>
      <w:tr>
        <w:trPr/>
        <w:tc>
          <w:tcPr>
            <w:tcW w:w="17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PREPAY DATE</w:t>
            </w:r>
          </w:p>
        </w:tc>
        <w:tc>
          <w:tcPr>
            <w:tcW w:w="3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PREPAY AMOUNT</w:t>
            </w:r>
          </w:p>
        </w:tc>
      </w:tr>
      <w:tr>
        <w:trPr/>
        <w:tc>
          <w:tcPr>
            <w:tcW w:w="17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xml:space="preserve">≤ </w:t>
            </w:r>
            <w:r>
              <w:rPr/>
              <w:t>60 days</w:t>
            </w:r>
          </w:p>
        </w:tc>
        <w:tc>
          <w:tcPr>
            <w:tcW w:w="3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105% of principal plus accrued interest</w:t>
            </w:r>
          </w:p>
        </w:tc>
      </w:tr>
      <w:tr>
        <w:trPr/>
        <w:tc>
          <w:tcPr>
            <w:tcW w:w="17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60- 120 days</w:t>
            </w:r>
          </w:p>
        </w:tc>
        <w:tc>
          <w:tcPr>
            <w:tcW w:w="3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115% of principal plus accrued interest</w:t>
            </w:r>
          </w:p>
        </w:tc>
      </w:tr>
      <w:tr>
        <w:trPr/>
        <w:tc>
          <w:tcPr>
            <w:tcW w:w="17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120-150 days</w:t>
            </w:r>
          </w:p>
        </w:tc>
        <w:tc>
          <w:tcPr>
            <w:tcW w:w="3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120% of principal plus accrued interest</w:t>
            </w:r>
          </w:p>
        </w:tc>
      </w:tr>
      <w:tr>
        <w:trPr/>
        <w:tc>
          <w:tcPr>
            <w:tcW w:w="17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150-180 days</w:t>
            </w:r>
          </w:p>
        </w:tc>
        <w:tc>
          <w:tcPr>
            <w:tcW w:w="3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125% of principal plus accrued interest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redemption must be closed and funded within 3 days of giving notice of redemption, or the right to redeem shall be null and void. Any partial prepayments will be made in accordance with the formula set forth in the chart above with respect to principal, premium, and interest.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(i) a transfer of all or substantially all of the assets of the Company to any person in a single transaction or series of related transactions, (ii) a reclassification, capital reorganization (excluding an increase in authorized capital) or other change or exchange of outstanding shares of the Common Stock, other than a forward or reverse stock split or stock dividend, or (iii) any consolidation or merger of the Company with or into another person or entity in which the Company is not the surviving entity (other than a merger which is effected solely to change the jurisdiction of incorporation of the Company and results in a reclassification, conversion or exchange of outstanding shares of Common Stock solely into shares of Common Stock) (each of items (i), (ii) and (iii) being referred to as a “Sale Event”), then, in each case, the Company shall, upon request of the Holder, redeem this Note in cash for the prepayment price set forth in Section 4(c), above, or at the election of the Holder, such Holder may convert the unpaid principal amount of this Note (together with the amount of accrued but unpaid interest) into shares of Common Stock immediately prior to such Sale Event at the Conversion Price. Notwithstanding the foregoing, the following transactions shall not constitute a “Sale Event” for purposes of this Section 4(d) and shall not trigger any redemption or conversion right of the Holder under this Section 4(d) (each, a “Permitted Transaction”): any merger, consolidation, reverse takeover, or business combination transaction approved by the Board of Directors of the Company in which the surviving or successor entity (1) assumes the Company’s obligations under this Note and the Securities Purchase Agreement pursuant to a written assumption agreement delivered to the Holder prior to or simultaneously with the closing of such transaction, and (2) has its shares of common stock or equivalent equity securities listed or quoted on a national securities exchange or recognized trading market following the closing of such transaction. For the avoidance of doubt, any Permitted Transaction shall not give rise to any right of the Holder to demand redemption, accelerate payment, adjust the Conversion Price, or exercise any other remedy under this Note solely by reason of the occurrence of such Permitted Transaction, provided that the successor or surviving entity has delivered the assumption agreement referred to above.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event the Company is not able to pay the payment section forth in Section 4(d), above, then in case of any Sale Event (not to include a sale of all or substantially all of the Company’s assets) in connection with which this Note is not redeemed or converted, the Company shall cause effective provision to be made so that the Holder of this Note shall have the right thereafter, by converting this Note, to purchase or convert this Note into the kind and number of shares of stock or other securities or property (including cash) receivable upon such reclassification, capital reorganization or other change, consolidation or merger by a holder of the number of shares of Common Stock that could have been purchased upon exercise of the Note and at the same Conversion Price, as defined in this Note, immediately prior to such Sale Event. The foregoing provisions shall similarly apply to successive Sale Events. If the consideration received by the holders of Common Stock is other than cash, the value shall be as determined by the Board of Directors of the Company or successor person or entity acting in good faith.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12" w:space="1" w:color="000000"/>
        </w:rPr>
      </w:pPr>
      <w:r>
        <w:rPr>
          <w:sz w:val="20"/>
          <w:bdr w:val="single" w:sz="12" w:space="1" w:color="000000"/>
        </w:rPr>
        <w:t>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provision of this Note shall alter or impair the obligation of the Company, which is absolute and unconditional, to pay the principal of, and interest on, this Note at the time, place, and rate, and in the form,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Company hereby expressly waives demand and presentment for payment, notice of non-payment, protest, notice of protest, notice of dishonor, notice of acceleration or intent to accelerate, and diligence in taking any action to collect amounts called for hereunder and shall be directly and primarily liable for the payment of all sums owing and to be owing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Company agrees to pay all reasonable costs and expenses, including reasonable attorneys’ fees and expenses, which may be incurred by the Holder in collecting any amount due under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one or more of the following described “Events of Default”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default in the payment of principal or interest on this Note or any other note issued to the Holder by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of the representations or warranties made by the Company herein or in any certificate or financial or other written statements heretofore or hereafter furnished by or on behalf of the Company in connection with the execution and delivery of this Note, or the Securities Purchase Agreement under which this note was issued shall be false or misleading in any material respect;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fail to perform or observe, in any respect, any covenant, term, provision, condition, agreement or obligation of the Company under this Note;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(1) become insolvent (which does not include a “going concern opinion”); (2) admit in writing its inability to pay its debts generally as they mature; (3) make an assignment for the benefit of creditors or commence proceedings for its dissolution; (4) apply for or consent to the appointment of a trustee, liquidator or receiver for its or for a substantial part of its property or business;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file a petition for bankruptcy relief, consent to the filing of such petition or have filed against it an involuntary petition for bankruptcy relief, all under federal or state laws as applicable;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trustee, liquidator, or receiver shall be appointed for the Company or for a substantial part of its property or business without its consent and shall not be discharged within sixty (60) days after such appointment;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governmental agency or any court of competent jurisdiction at the instance of any governmental agency shall assume custody or control of the whole or any substantial portion of the properties or assets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One or more money judgments, writs or warrants of attachment, or similar process, in excess of two hundred fifty thousand dollars ($250,000) in the aggregate, shall be entered or filed against the Company or any of its properties or other assets and shall remain unpaid, unvacated, unbonded or unstayed for a period of fifteen (15) days or in any event later than five (5) days prior to the date of any proposed sale thereunder;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defaulted on or breached any term of any purchase agreement, convertible note, or similar debt instrument entered into between the Company and the Holder and failed to cure such default within the appropriate grace period;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have its Common Stock delisted from the Nasdaq Stock Market or any other national securities exchange on which the Common Stock is then listed, or trading in the Common Stock shall be suspended for more than 10 consecutive days or ceases to file its reports under the Securities Exchange Act of 1934, as amended,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not deliver to the Holder the Common Stock pursuant to paragraph 4 herein without a restrictive legend within 2 business days of its receipt of a Notice of Conversion which includes a duly executed Opinion of Counsel from a reputable lawyer or law firm expressing an opinion which supports the removal of a restrictive legend;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shall not replenish the reserve set forth in Section 12, within 2 business days of the written request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be delinquent in its periodic report filings with the Securities and Exchange Commission (subject to applicable extensions);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Common Stock shall cease to have a publicly displayed bid price on any trading platform or exchange on which it is then listed or quoted, for a period of five (5) or more consecutive trading days, other than as a result of a general market closure, exchange-wide trading halt, or suspension not specific to the Company’s securities; or ;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Terminate its existing transfer agent relationship without the prior written consent of the 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Supplemental to 8(i), above, the Company shall have its stock delisted from the Nasdaq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or at any time thereafter, unless cured within 10 business days, and in each and every such case, unless such Event of Default shall have been waived in writing by the Holder (which waiver shall not be deemed to be a waiver of any subsequent default) at the option of the Holder and in the Holder’s sole discretion, the Holder may consider this Note immediately due and payable, without presentment, demand, protest or (further) notice of any kind (other than notice of acceleration), all of which are hereby expressly waived, anything herein or in any note or other instruments contained to the contrary notwithstanding, and the Holder may immediately, and without expiration of any period of grace, enforce any and all of the Holder’s rights and remedies provided herein or any other rights or remedies afforded by law. Upon an Event of Default, interest shall accrue at a default interest rate of 18% per annum, and the Conversion Price shall be adjusted from 75% to 60% (the conversion price discount shall increase by 15%). In the event of a breach of Section 8(j), the penalty shall be $500 per day if the shares are not issued beginning on the 3rd day after the conversion notice was delivered to the Company. This penalty shall increase to $1,000 per day beginning on the 10th day. In the event of a breach of Section 8(h), the Holder may elect to utilize the same remedy available under the defaulted interest, and such remedy shall be incorporated by reference into the terms of this Note. Further, if a breach of Section 8(l) occurs or is continuing after the 6-month anniversary of the Note, then the Holder shall be entitled to use the lowest closing bid price during the delinquency period as a base price for the conversion. For example, if the lowest closing bid price during the delinquency period is $0.01 per share and the conversion discount is 50%, the Holder may elect to convert future conversions at $0.005 per share. </w:t>
      </w:r>
      <w:r>
        <w:rPr>
          <w:rFonts w:ascii="Times New Roman;Times;Serif" w:hAnsi="Times New Roman;Times;Serif"/>
          <w:b w:val="false"/>
          <w:i w:val="false"/>
          <w:caps w:val="false"/>
          <w:smallCaps w:val="false"/>
          <w:sz w:val="20"/>
          <w:u w:val="single"/>
        </w:rPr>
        <w:t>In the event of a breach of Section 8(l)</w:t>
      </w:r>
      <w:r>
        <w:rPr>
          <w:rFonts w:ascii="Times New Roman;Times;Serif" w:hAnsi="Times New Roman;Times;Serif"/>
          <w:b w:val="false"/>
          <w:i w:val="false"/>
          <w:caps w:val="false"/>
          <w:smallCaps w:val="false"/>
          <w:sz w:val="20"/>
        </w:rPr>
        <w:t xml:space="preserve"> then the Conversion Price set forth in Section 4(a) shall be changed from a discount of 75% </w:t>
      </w:r>
      <w:r>
        <w:rPr>
          <w:rFonts w:ascii="Times New Roman;Times;Serif" w:hAnsi="Times New Roman;Times;Serif"/>
          <w:b w:val="false"/>
          <w:i w:val="false"/>
          <w:caps w:val="false"/>
          <w:smallCaps w:val="false"/>
          <w:sz w:val="20"/>
          <w:u w:val="single"/>
        </w:rPr>
        <w:t xml:space="preserve">of </w:t>
      </w: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u w:val="single"/>
        </w:rPr>
        <w:t>lowest trading price</w:t>
      </w:r>
      <w:r>
        <w:rPr>
          <w:rFonts w:ascii="Times New Roman;Times;Serif" w:hAnsi="Times New Roman;Times;Serif"/>
          <w:b w:val="false"/>
          <w:i w:val="false"/>
          <w:caps w:val="false"/>
          <w:smallCaps w:val="false"/>
          <w:sz w:val="20"/>
        </w:rPr>
        <w:t xml:space="preserve"> of the Common Stock as reported on (i) the Nasdaq stock market or any other national securities exchange on which the Common Stock is then listed, or (ii) if the Common Stock is not then listed on any national securities exchange, the OTC Markets or any other trading platform or quotation system on which the Common Stock is then traded or quoted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xml:space="preserve">”), for the </w:t>
      </w:r>
      <w:r>
        <w:rPr>
          <w:rFonts w:ascii="Times New Roman;Times;Serif" w:hAnsi="Times New Roman;Times;Serif"/>
          <w:b/>
          <w:i/>
          <w:caps w:val="false"/>
          <w:smallCaps w:val="false"/>
          <w:sz w:val="20"/>
          <w:u w:val="single"/>
        </w:rPr>
        <w:t>ten</w:t>
      </w:r>
      <w:r>
        <w:rPr>
          <w:rFonts w:ascii="Times New Roman;Times;Serif" w:hAnsi="Times New Roman;Times;Serif"/>
          <w:b w:val="false"/>
          <w:i w:val="false"/>
          <w:caps w:val="false"/>
          <w:smallCaps w:val="false"/>
          <w:sz w:val="20"/>
        </w:rPr>
        <w:t xml:space="preserve"> prior trading days to a discount of 65% of the </w:t>
      </w:r>
      <w:r>
        <w:rPr>
          <w:rFonts w:ascii="Times New Roman;Times;Serif" w:hAnsi="Times New Roman;Times;Serif"/>
          <w:b/>
          <w:i w:val="false"/>
          <w:caps w:val="false"/>
          <w:smallCaps w:val="false"/>
          <w:sz w:val="20"/>
          <w:u w:val="single"/>
        </w:rPr>
        <w:t>lowest trading price</w:t>
      </w:r>
      <w:r>
        <w:rPr>
          <w:rFonts w:ascii="Times New Roman;Times;Serif" w:hAnsi="Times New Roman;Times;Serif"/>
          <w:b w:val="false"/>
          <w:i w:val="false"/>
          <w:caps w:val="false"/>
          <w:smallCaps w:val="false"/>
          <w:sz w:val="20"/>
        </w:rPr>
        <w:t xml:space="preserve"> of the Common Stock as reported on the (i) the Nasdaq Stock Market or any other national securities exchange on which the Common Stock is then listed, or (ii) if the Common Stock is not then listed on any national securities exchange, the OTC Markets or any other trading platform or quotation system on which the Common Stock is then traded or quoted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xml:space="preserve">”), for the </w:t>
      </w:r>
      <w:r>
        <w:rPr>
          <w:rFonts w:ascii="Times New Roman;Times;Serif" w:hAnsi="Times New Roman;Times;Serif"/>
          <w:b/>
          <w:i/>
          <w:caps w:val="false"/>
          <w:smallCaps w:val="false"/>
          <w:sz w:val="20"/>
          <w:u w:val="single"/>
        </w:rPr>
        <w:t>twenty</w:t>
      </w:r>
      <w:r>
        <w:rPr>
          <w:rFonts w:ascii="Times New Roman;Times;Serif" w:hAnsi="Times New Roman;Times;Serif"/>
          <w:b w:val="false"/>
          <w:i w:val="false"/>
          <w:caps w:val="false"/>
          <w:smallCaps w:val="false"/>
          <w:sz w:val="20"/>
        </w:rPr>
        <w:t xml:space="preserve"> prior trading days, and the prepayment penalty set forth in Section 4(c) shall be increased by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Holder shall commence an action or proceeding to enforce any provisions of this Note, including, without limitation, engaging an attorney, then if the Holder prevails in such action, the Holder shall be reimbursed by the Company for its attorneys’ fees and other costs and expenses incurred in the investigation, preparation, and prosecution of such action or proceeding.</w:t>
      </w:r>
    </w:p>
    <w:p>
      <w:pPr>
        <w:pStyle w:val="TextBody"/>
        <w:bidi w:val="0"/>
        <w:spacing w:before="0" w:after="0"/>
        <w:ind w:left="360" w:right="0" w:firstLine="463"/>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case any provision of this Note is held by a court of competent jurisdiction to be excessive in scope or otherwise invalid or unenforceable, such provision shall be adjusted rather than voided, if possible, so that it is enforceable to the maximum extent possible, and the validity and enforceability of the remaining provisions of this Note will not in any way be affected or impaired thereby.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Neither this Note nor any term hereof may be amended, waived, discharged, or terminated other than by a written instrument signed by the Company and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Company represents that it is not a “shell” issuer and has never been a “shell” issuer or that if it previously has been a “shell” issuer at least 12 months have passed since the Company has reported form 10 type information indicating it is no longer a “shell” issuer. Further, the Company will instruct its counsel to either (i) write a 144 opinion to allow for the salability of the conversion shares or</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accept such opinion from Holder’s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Company shall issue irrevocable transfer agent instructions reserving 567,376 shares of its Common Stock for conversions under this Note (the “Share Reserve”). Upon full conversion of this Note, any shares remaining in the Share Reserve shall be canceled. The Company should, at the Holder’s request, reserve four times the amount of shares required if the note would be fully converted. The Holder may reasonably request increases from time to time to reserve such amounts to maintain such four times coverage, and the Company will be responsible for all fees associated with the increase in the Share Reserve. The Company will instruct its transfer agent to provide the outstanding share information to the Holder in connection with its conversions, along with shareholder information statements and other shareholder reservations that exist. The Holder shall be entitled to deduct $1,500 per conversion to adequately cover all transfer agent costs and legal fees associated with issuing and delivering the shares to the Holder.</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If it shall be found that any interest or other amount deemed interest due hereunder violates the applicable law governing usury, the applicable provision shall automatically be revised to equal the maximum rate of interest or other amount deemed interest permitted under applicable law. The Company covenants (to the extent that it may lawfully do so) that it will not seek to claim or take advantage of any law that would prohibit or forgive the Company from paying all or a portion of the principal or interest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(a) </w:t>
      </w:r>
      <w:r>
        <w:rPr>
          <w:rFonts w:ascii="Times New Roman;Times;Serif" w:hAnsi="Times New Roman;Times;Serif"/>
          <w:b/>
          <w:i w:val="false"/>
          <w:caps w:val="false"/>
          <w:smallCaps w:val="false"/>
          <w:sz w:val="20"/>
        </w:rPr>
        <w:t>Nasdaq Listing Condition</w:t>
      </w:r>
      <w:r>
        <w:rPr>
          <w:rFonts w:ascii="Times New Roman;Times;Serif" w:hAnsi="Times New Roman;Times;Serif"/>
          <w:b w:val="false"/>
          <w:i w:val="false"/>
          <w:caps w:val="false"/>
          <w:smallCaps w:val="false"/>
          <w:sz w:val="20"/>
        </w:rPr>
        <w:t>. The provisions of this Section 14 shall only take effect, and shall only be operative, upon and following the date on which the Common Stock is delisted from the Nasdaq Stock Market and is no longer listed or admitted to trading on any national securities exchange registered under Section 6 of the Securities Exchange Act of 1934, as amended (a “Delisting Event”). For so long as the Common Stock remains listed on the Nasdaq Stock Market or any other such national securities exchange, this Section 14 shall be of no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MFN Rights Following a Delisting Event</w:t>
      </w:r>
      <w:r>
        <w:rPr>
          <w:rFonts w:ascii="Times New Roman;Times;Serif" w:hAnsi="Times New Roman;Times;Serif"/>
          <w:b w:val="false"/>
          <w:i w:val="false"/>
          <w:caps w:val="false"/>
          <w:smallCaps w:val="false"/>
          <w:sz w:val="20"/>
        </w:rPr>
        <w:t>. Following a Delisting Event, any issuance by the Company or any of its subsidiaries of a convertible promissory note or other convertible debt instrument with any term more favorable to the holder of such instrument or with a term (including without limitation any Conversion Price) in favor of the holder of such instrument that was not similarly provided to the Holder in this Note (other than a future financing with the Holder), then the Company shall notify the Holder of such additional or more favorable term and such term, at the Holder’s option, shall become a part of the Note with the Holder. The types of terms contained in such convertible debt instrument that may be more favorable to the holder of such instrument include, but are not limited to, terms addressing conversion discounts, prepayment rate, conversion lookback periods, interest rates, original issue discounts.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Excluded Issuances</w:t>
      </w:r>
      <w:r>
        <w:rPr>
          <w:rFonts w:ascii="Times New Roman;Times;Serif" w:hAnsi="Times New Roman;Times;Serif"/>
          <w:b w:val="false"/>
          <w:i w:val="false"/>
          <w:caps w:val="false"/>
          <w:smallCaps w:val="false"/>
          <w:sz w:val="20"/>
        </w:rPr>
        <w:t>. Notwithstanding Section 14(b), the following issuances shall not trigger any MFN right of the Holder under this Section 14, whether before or after a Delisting Event: (i) any issuance of equity securities (including ordinary shares, preferred shares, or warrants) pursuant to a registered direct offering or any other offering registered under the Securities Act of 1933, as amended; (ii) any issuance of securities in connection with a merger, acquisition, reverse takeover, business combination, joint venture, or other strategic transaction approved by the Board of Directors of the Company (each, a “Permitted Issuance”); and (iii) any issuance of securities to employees, officers, directors, or consultants pursuant to a Board-approved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This Note shall be governed by and construed in accordance with the laws of Nevada applicable to contracts made and wholly to be performed within the State of Nevada and shall be binding upon the successors and assigns of each party hereto. The Holder and the Company hereby mutually waive trial by jury and consent to exclusive jurisdiction and venue in the courts of the State of Nevada or in the Federal courts sitting in the county or city of either Washoe County, Nevada or Clark County, Nevada. This Agreement may be executed in counterparts, and the facsimile transmission of an executed counterpart to this Agreement shall be effective as an original.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 by an officer thereunto duly authorized.</w:t>
      </w:r>
    </w:p>
    <w:p>
      <w:pPr>
        <w:pStyle w:val="TextBody"/>
        <w:bidi w:val="0"/>
        <w:spacing w:before="0" w:after="0"/>
        <w:ind w:left="36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w:t>
      </w:r>
      <w:r>
        <w:rPr>
          <w:rFonts w:ascii="Times New Roman;Times;Serif" w:hAnsi="Times New Roman;Times;Serif"/>
          <w:b w:val="false"/>
          <w:i w:val="false"/>
          <w:caps w:val="false"/>
          <w:smallCaps w:val="false"/>
          <w:sz w:val="20"/>
          <w:u w:val="single"/>
        </w:rPr>
        <w:t>30 March 2026</w:t>
      </w:r>
    </w:p>
    <w:p>
      <w:pPr>
        <w:pStyle w:val="TextBody"/>
        <w:bidi w:val="0"/>
        <w:spacing w:before="0" w:after="0"/>
        <w:ind w:left="360" w:right="0" w:hanging="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75"/>
        <w:gridCol w:w="765"/>
        <w:gridCol w:w="2869"/>
      </w:tblGrid>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b/>
              </w:rPr>
            </w:pPr>
            <w:r>
              <w:rPr>
                <w:b/>
              </w:rPr>
              <w:t>NEWGENIVF GROUP LIMITED</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By:</w:t>
            </w:r>
          </w:p>
        </w:tc>
        <w:tc>
          <w:tcPr>
            <w:tcW w:w="2869"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r>
      <w:tr>
        <w:trPr/>
        <w:tc>
          <w:tcPr>
            <w:tcW w:w="7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Name:</w:t>
            </w:r>
          </w:p>
        </w:tc>
        <w:tc>
          <w:tcPr>
            <w:tcW w:w="2869" w:type="dxa"/>
            <w:tcBorders/>
            <w:vAlign w:val="center"/>
          </w:tcPr>
          <w:p>
            <w:pPr>
              <w:pStyle w:val="TableContents"/>
              <w:bidi w:val="0"/>
              <w:spacing w:before="0" w:after="283"/>
              <w:jc w:val="left"/>
              <w:rPr/>
            </w:pPr>
            <w:r>
              <w:rPr/>
              <w:t>Wing Fung Alfred Siu</w:t>
            </w:r>
          </w:p>
        </w:tc>
      </w:tr>
      <w:tr>
        <w:trPr/>
        <w:tc>
          <w:tcPr>
            <w:tcW w:w="7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Title:</w:t>
            </w:r>
          </w:p>
        </w:tc>
        <w:tc>
          <w:tcPr>
            <w:tcW w:w="2869" w:type="dxa"/>
            <w:tcBorders/>
            <w:vAlign w:val="center"/>
          </w:tcPr>
          <w:p>
            <w:pPr>
              <w:pStyle w:val="TableContents"/>
              <w:bidi w:val="0"/>
              <w:spacing w:before="0" w:after="283"/>
              <w:jc w:val="left"/>
              <w:rPr/>
            </w:pPr>
            <w:r>
              <w:rPr/>
              <w:t>CEO</w:t>
            </w:r>
          </w:p>
        </w:tc>
      </w:tr>
    </w:tbl>
    <w:p>
      <w:pPr>
        <w:pStyle w:val="TextBody"/>
        <w:bidi w:val="0"/>
        <w:spacing w:before="0" w:after="0"/>
        <w:ind w:left="3960" w:right="0" w:hanging="0"/>
        <w:jc w:val="left"/>
        <w:rPr>
          <w:caps w:val="false"/>
          <w:smallCaps w:val="false"/>
        </w:rPr>
      </w:pPr>
      <w:r>
        <w:rPr>
          <w:caps w:val="false"/>
          <w:smallCaps w:val="false"/>
        </w:rPr>
        <w:t> </w:t>
      </w:r>
    </w:p>
    <w:p>
      <w:pPr>
        <w:pStyle w:val="TextBody"/>
        <w:bidi w:val="0"/>
        <w:spacing w:before="0" w:after="0"/>
        <w:ind w:left="3960" w:right="0" w:hanging="0"/>
        <w:jc w:val="center"/>
        <w:rPr>
          <w:sz w:val="20"/>
          <w:bdr w:val="single" w:sz="12" w:space="1" w:color="000000"/>
        </w:rPr>
      </w:pPr>
      <w:r>
        <w:rPr>
          <w:sz w:val="20"/>
          <w:bdr w:val="single" w:sz="12" w:space="1" w:color="000000"/>
        </w:rPr>
        <w:t>8</w:t>
      </w:r>
    </w:p>
    <w:p>
      <w:pPr>
        <w:pStyle w:val="TextBody"/>
        <w:bidi w:val="0"/>
        <w:spacing w:before="0" w:after="0"/>
        <w:ind w:left="39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2773"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by the Registered Holder in order to Convert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convert *$</w:t>
      </w:r>
      <w:r>
        <w:rPr>
          <w:rFonts w:ascii="Times New Roman;Times;Serif" w:hAnsi="Times New Roman;Times;Serif"/>
          <w:b w:val="false"/>
          <w:i w:val="false"/>
          <w:caps w:val="false"/>
          <w:smallCaps w:val="false"/>
          <w:sz w:val="20"/>
          <w:u w:val="single"/>
        </w:rPr>
        <w:t>___________</w:t>
      </w:r>
      <w:r>
        <w:rPr>
          <w:rFonts w:ascii="Times New Roman;Times;Serif" w:hAnsi="Times New Roman;Times;Serif"/>
          <w:b w:val="false"/>
          <w:i w:val="false"/>
          <w:caps w:val="false"/>
          <w:smallCaps w:val="false"/>
          <w:sz w:val="20"/>
        </w:rPr>
        <w:t>of the above Note into ___________Shares of Common Stock of NEWGENIVF GROUP LIMITED (“Shares”) according to the conditions set forth in such Note, as of the date written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to be issued in the name of a person other than the undersigned, the undersigned will pay all transfer and other taxes and charges payable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Conversion: ______________________________________________________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Conversion Price: ____________________________________________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______________________________________________________________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 of Holder and Title of Signer]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_______________________________________________________________</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SSN or EIN: </w:t>
      </w:r>
      <w:r>
        <w:rPr>
          <w:rFonts w:ascii="Times New Roman;Times;Serif" w:hAnsi="Times New Roman;Times;Serif"/>
          <w:b w:val="false"/>
          <w:i w:val="false"/>
          <w:caps w:val="false"/>
          <w:smallCaps w:val="false"/>
          <w:sz w:val="20"/>
          <w:u w:val="single"/>
        </w:rPr>
        <w:t>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are to be registered in the following name: ______________________________________________________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_________________________________________________________________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_______________________________________________________________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SSN or EIN: 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are to be sent or delivered to the following account: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__________________________________________________________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_______________________________________________________________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consist of $</w:t>
      </w:r>
      <w:r>
        <w:rPr>
          <w:rFonts w:ascii="Times New Roman;Times;Serif" w:hAnsi="Times New Roman;Times;Serif"/>
          <w:b w:val="false"/>
          <w:i w:val="false"/>
          <w:caps w:val="false"/>
          <w:smallCaps w:val="false"/>
          <w:sz w:val="20"/>
          <w:u w:val="single"/>
        </w:rPr>
        <w:t>______</w:t>
      </w:r>
      <w:r>
        <w:rPr>
          <w:rFonts w:ascii="Times New Roman;Times;Serif" w:hAnsi="Times New Roman;Times;Serif"/>
          <w:b w:val="false"/>
          <w:i w:val="false"/>
          <w:caps w:val="false"/>
          <w:smallCaps w:val="false"/>
          <w:sz w:val="20"/>
        </w:rPr>
        <w:t>in principal, $</w:t>
      </w:r>
      <w:r>
        <w:rPr>
          <w:rFonts w:ascii="Times New Roman;Times;Serif" w:hAnsi="Times New Roman;Times;Serif"/>
          <w:b w:val="false"/>
          <w:i w:val="false"/>
          <w:caps w:val="false"/>
          <w:smallCaps w:val="false"/>
          <w:sz w:val="20"/>
          <w:u w:val="single"/>
        </w:rPr>
        <w:t>______</w:t>
      </w:r>
      <w:r>
        <w:rPr>
          <w:rFonts w:ascii="Times New Roman;Times;Serif" w:hAnsi="Times New Roman;Times;Serif"/>
          <w:b w:val="false"/>
          <w:i w:val="false"/>
          <w:caps w:val="false"/>
          <w:smallCaps w:val="false"/>
          <w:sz w:val="20"/>
        </w:rPr>
        <w:t>in interest and $</w:t>
      </w:r>
      <w:r>
        <w:rPr>
          <w:rFonts w:ascii="Times New Roman;Times;Serif" w:hAnsi="Times New Roman;Times;Serif"/>
          <w:b w:val="false"/>
          <w:i w:val="false"/>
          <w:caps w:val="false"/>
          <w:smallCaps w:val="false"/>
          <w:sz w:val="20"/>
          <w:u w:val="single"/>
        </w:rPr>
        <w:t>______</w:t>
      </w:r>
      <w:r>
        <w:rPr>
          <w:rFonts w:ascii="Times New Roman;Times;Serif" w:hAnsi="Times New Roman;Times;Serif"/>
          <w:b w:val="false"/>
          <w:i w:val="false"/>
          <w:caps w:val="false"/>
          <w:smallCaps w:val="false"/>
          <w:sz w:val="20"/>
        </w:rPr>
        <w:t>in fees pursuant to section 12 of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ea030132501ex10-45.htm"/>
      <w:bookmarkStart w:id="52" w:name="ksea030132501ex1045"/>
      <w:bookmarkEnd w:id="51"/>
      <w:bookmarkEnd w:id="52"/>
      <w:r>
        <w:rPr>
          <w:rFonts w:ascii="Times New Roman;Times;Serif" w:hAnsi="Times New Roman;Times;Serif"/>
          <w:b/>
          <w:i w:val="false"/>
          <w:caps w:val="false"/>
          <w:smallCaps w:val="false"/>
          <w:sz w:val="20"/>
        </w:rPr>
        <w:t>Exhibit 10.45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April 14,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with headquarters located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PACIFIC PIER CAPITAL II, LP</w:t>
      </w:r>
      <w:r>
        <w:rPr>
          <w:rFonts w:ascii="Times New Roman;Times;Serif" w:hAnsi="Times New Roman;Times;Serif"/>
          <w:b w:val="false"/>
          <w:i w:val="false"/>
          <w:caps w:val="false"/>
          <w:smallCaps w:val="false"/>
          <w:sz w:val="20"/>
        </w:rPr>
        <w:t>, a Delaware limited partnership, with its address at 285 Imperial Highway, Suite 203, Fullerton, CA 92835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Section 4(a)(2) of the Securities Act of 1933, as amended (the “1933 Act”) and Rule 506(b) promulgated by the United States Securities and Exchange Commission (the “SEC”) under the 1933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desires to purchase from the Company, and the Company desires to issue and sell to the Buyer, upon the terms and conditions set forth in this Agreement, a promissory note of the Company, in the aggregate principal amount of $200,000.00 (as the principal amount thereof may be increased pursuant to the terms thereof, and together with any note(s) issued in replacement thereof or as a dividend thereon or otherwise with respect thereto in accordance with the terms thereof,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“Note”), convertible into Class A ordinary shares of the Company, no par value per share (the “Common Stock”), upon the terms and subject to the limitations and conditions set forth in such Note;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the Note as is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agreements and covenants herein contained, and for other good and valuable consideration, the receipt and sufficiency of which is hereby acknowledged, the Company and the Buyer hereby agree as follows:</w:t>
      </w:r>
    </w:p>
    <w:p>
      <w:pPr>
        <w:pStyle w:val="TextBody"/>
        <w:bidi w:val="0"/>
        <w:spacing w:before="0" w:after="0"/>
        <w:ind w:left="0" w:right="0" w:firstLine="718"/>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Note.</w:t>
      </w:r>
      <w:r>
        <w:rPr>
          <w:rFonts w:ascii="Times New Roman;Times;Serif" w:hAnsi="Times New Roman;Times;Serif"/>
          <w:b w:val="false"/>
          <w:i w:val="false"/>
          <w:caps w:val="false"/>
          <w:smallCaps w:val="false"/>
          <w:sz w:val="20"/>
        </w:rPr>
        <w:t xml:space="preserve"> On the Closing Date (as defined below), the Company shall issue and sell to the Buyer, and the Buyer agrees to purchase from the Company, the Note, as further provided herein. As used in this Agreement, the term “business day” shall mean any day other than a Saturday, Sunday, or a day on which commercial banks in the city of New York, New York are authorized or required by law or executive order to remain closed.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On the Closing Date: (i) the Buyer shall pay the purchase price of $180,000.00 (the “Purchase Price”) for the Note, to be issued and sold to it at the Closing (as defined below), by wire transfer of immediately available funds to the Company, in accordance with the Company’s written wiring instructions, against delivery of the Note, and (ii) the Company shall deliver such duly executed Note on behalf of the Company, to the Buyer, against delivery of such Purchase Price. On the Closing Date, the Buyer shall withhold $5,000.00 from the Purchase Price to cover the Buyer’s legal fees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satisfaction (or written waiver) of the conditions thereto set forth in Section 6 and Section 7 below, the date and time of the issuance and sale of the Note pursuant to this Agreement (the “Closing Date”) shall be on the date that the Purchase Price for the Note is paid by Buyer pursuant to terms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(the “Closing”) shall occur on the Closing Date at such location as may be agreed to by the parties (including via exchange of electronic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as of the Closing Date that:</w:t>
      </w:r>
    </w:p>
    <w:p>
      <w:pPr>
        <w:pStyle w:val="TextBody"/>
        <w:bidi w:val="0"/>
        <w:spacing w:before="0" w:after="283"/>
        <w:jc w:val="left"/>
        <w:rPr/>
      </w:pPr>
      <w:r>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Closing Date, the Buyer is purchasing the Note (the Note, and shares of Common Stock issuable upon conversion of or otherwise pursuant to the Note (the “Conversion Shares”) shall collectively be referred to herein as the “Securities”) for its own account and not with a present view towards the public sale or distribution thereof, except pursuant to sales registered or exempted from registration under the 1933 Act; provided, however, that by making the representations herein, the Buyer does not agree to hold any of the Securities for any minimum or other specific term and reserves the right to dispose of the Securities at any time in accordance with or pursuant to a registration statement or an exemption under the 1933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The Buyer is an “accredited investor” as that term is defined in Rule 501(a) of Regulation D (an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xml:space="preserve">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Buyer and its advisors, if any, have been, and for so long as the Note remains outstanding will continue to be, furnished with all materials relating to the business, finances and operations of the Company and materials relating to the offer and sale of the Securities which have been requested by the Buyer or its advisors. The Buyer and its advisors, if any, have been, and for so long as the Note remains outstanding will continue to be, afforded the opportunity to ask questions of the Company regarding its business and affairs. Notwithstanding the foregoing, the Company has not disclosed to the Buyer any material nonpublic information regarding the Company or otherwise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xml:space="preserve"> The Buyer understands that no United States federal or state agency or any other government or governmental agency has passed upon or made any recommendation or endorsement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Company, an opinion of counsel (which may be the Legal Counsel Opinion (as defined below)) that shall be in form, substance and scope customary for opinions of counsel in comparable transactions to the effect that the Securities to be sold or transferred may be sold or transferred pursuant to an exemption from such registration, which opinion shall be accepted by the Company,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(d) the Securities are sold pursuant to Rule 144 or other applicable exemption, or (e) the Securities are sold pursuant to Regulation S under the 1933 Act (or a successor rule) (“Regulation S”), and the Buyer shall have delivered to the Company, at the cost of the Company, an opinion of counsel that shall be in form, substance and scope customary for opinions of counsel in corporate transactions, which opinion shall be accepted by the Company; (ii) any sale of such Securities made in reliance on Rule 144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 Notwithstanding the foregoing or anything else contained herein to the contrary, the Securities may be pledged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secured by the Securities, and such pledge of Securities shall not be deemed to be a transfer, sale or assignment of the Securities hereunder, and the Buyer in effecting such pledge of Securities shall not be required to provide the Company with any notice thereof or otherwise make any delivery to the Company pursuant to this Agreement or otherwise.</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Buyer understands that until such time as the Note and/or Conversion Shares have been registered under the 1933 Act or may be sold pursuant to Rule 144, Rule 144A under the 1933 Act, Regulation S, or other applicable exemption without any restriction as to the number of securities as of a particular date that can then be immediately sold, the Securities may bear a restrictive legend in substantially the following form (and a stop-transfer order may be placed against transfer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108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RULE 144A, REGULATION S, OR OTHER APPLICABLE EXEMPTION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or book entry statement for the applicable shares of Common Stock without such legend to the holder of any Security upon which it is stamped or (as requested by such holder) issue the applicable shares of Common Stock to such holder by electronic delivery by crediting the account of such holder’s broker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if, unless otherwise required by applicable state securities laws, (a) such Security is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Buyer provides the Legal Counsel Opinion (as contemplated by and in accordance with Section 4(l) hereof) to the effect that a public sale or transfer of such Security may be made without registration under the 1933 Act, which opinion shall be accepted by the Company so that the sale or transfer is effected. The Company shall be responsible for the fees of its transfer agent and all DTC fees associated with any such issuance. The Buyer agrees to sell all Securities, including those represented by a certificate(s) from which the legend has been removed, in compliance with applicable prospectus delivery requirements, if any. In the event that the Company does not accept the opinion of counsel provided by the Buyer with respect to the transfer of Securities pursuant to an exemption from registration, such as Rule 144, Rule 144A, Regulation S, or other applicable exemption at the Deadline (as defined in the Note), it will be considered an Event of Default pursuant to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This Agreement has been duly and validly authorized by the Buyer and has been duly executed and delivered on behalf of the Buyer, and this Agreement constitutes a valid and binding agreement of the Buyer enforceable in accordance with its terms, except as enforcement may be limited by bankruptcy, insolvency, reorganization, moratorium or other similar laws affecting creditors’ rights generally and except as may be limited by the exercise of judicial discretion in applying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represents and warrants to the Buyer as of the Closing Date that: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(as defined below), if any, is a corporation duly organized, validly existing and in good standing under the laws of the jurisdiction in which it is incorporated or formed, with full power and authority (corporate and other) to own, lease, use and operate its properties and to carry on its business as and where now owned, leased, used, operated and conducted. The SEC Documents set forth a list of all of the Subsidiaries of the Company and the jurisdiction in which each is incorporated. The Company and each of its Subsidiaries is duly qualified to do business and is in good standing in every jurisdiction in which its ownership or use of property or the nature of the business conducted by it makes such qualification necessary except where the failure to be so qualified or in good standing would not have a Material Adverse Effect.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The Company and Subsidiaries have all requisite corporate power and authority to enter into and perform the Transaction Documents and to consummate the transactions contemplated hereby and thereby and to issue the Securities, in accordance with the terms hereof and thereof. The Company represents and warrants that (i) the execution and delivery of the Transaction Documents, the Note, and Conversion Shares by the Company and the consummation by it of the transactions contemplated hereby and thereby (including without limitation, the issuance of the Note as well as the issuance and reservation for issuance of the Conversion Shares issuable upon conversion of the Note) have been duly authorized by the Company’s Board of Directors and no further consent or authorization of the Company, its Board of Directors, its shareholders, or its debt holders is required, (i) the Transaction Documents (together with any other instruments executed in connection herewith or therewith) have been duly executed and delivered by the Company and Subsidiaries by its authorized representatives, and such authorized representatives are the true and official representative with authority to sign the Transaction Documents and the other instruments documents executed in connection herewith or therewith and bind the Company and Subsidiaries accordingly, and (iii) the Transaction Documents constitute, and upon execution and delivery by the Company and Subsidiaries as applicable, each of such instruments will constitute, a legal, valid and binding obligation of the Company and Subsidiaries, enforceable against the Company and Subsidiaries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 Governing Documents.</w:t>
      </w:r>
      <w:r>
        <w:rPr>
          <w:rFonts w:ascii="Times New Roman;Times;Serif" w:hAnsi="Times New Roman;Times;Serif"/>
          <w:b w:val="false"/>
          <w:i w:val="false"/>
          <w:caps w:val="false"/>
          <w:smallCaps w:val="false"/>
          <w:sz w:val="20"/>
        </w:rPr>
        <w:t xml:space="preserve"> As of April 14, 2026, the authorized capital stock of the Company consists of: (i) unlimited authorized shares of Common Stock, of which 568,473 shares were issued and outstanding, (ii) unlimited authorized shares of Class B ordinary shares, of which 69 shares were issued and outstanding, and (iii) unlimited authorized shares of preferred stock, of which 0 shares were issued and outstanding. All of such outstanding shares of capital stock of the Company and the Conversion Shares are, or upon issuance will be, duly authorized, validly issued, fully paid and non-assessable. No shares of capital stock of the Company are subject to preemptive rights or any other similar rights of the shareholders of the Company or any liens or encumbrances imposed through the actions or failure to act of the Company. As of the effective date of this Agreement, other than as publicly announced prior to such date and reflected in the SEC Documents of the Company, (i) there are no outstanding options, warrants, scrip, rights to subscribe for, puts, calls, rights of first refusal, agreements, understandings, claims or other commitments or rights of any character whatsoever relating to, or securities or rights convertible into or exchangeable for any shares of capital stock of the Company or any of its Subsidiaries, or arrangements by which the Company or any of its Subsidiaries is or may become bound to issue additional shares of capital stock of the Company or any of its Subsidiaries, (ii) there are no agreements or arrangements under which the Company or any of its Subsidiaries is obligated to register the sale of any of its or their securities under the 1933 Act and (iii) there are no anti-dilution or price adjustment provisions contained in any security issued by the Company (or in any agreement providing rights to security holders) that will be triggered by the issuance of any of the Securities. The Company has furnished to the Buyer true and correct copies of the Company’s Certificate of Incorporation as in effect on the date hereof (“Certificate of Incorporation”), the Company’s By-laws, as in effect on the date hereof (the “By-laws”), and the terms of all securities convertible into or exercisable for Common Stock of the Company and the material rights of the holders thereof in respect thereto.</w:t>
      </w:r>
    </w:p>
    <w:p>
      <w:pPr>
        <w:pStyle w:val="TextBody"/>
        <w:bidi w:val="0"/>
        <w:spacing w:before="0" w:after="0"/>
        <w:ind w:left="0" w:right="0" w:firstLine="2161"/>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Conversion Shares.</w:t>
      </w:r>
      <w:r>
        <w:rPr>
          <w:rFonts w:ascii="Times New Roman;Times;Serif" w:hAnsi="Times New Roman;Times;Serif"/>
          <w:b w:val="false"/>
          <w:i w:val="false"/>
          <w:caps w:val="false"/>
          <w:smallCaps w:val="false"/>
          <w:sz w:val="20"/>
        </w:rPr>
        <w:t xml:space="preserve"> The Conversion Shares are duly authorized and reserved for issuance and, upon conversion of the Note in accordance with its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xml:space="preserve"> The Company understands and acknowledges the potentially dilutive effect of the Conversion Shares upon the conversion of the Note to the Common Stock. The Company further acknowledges that its obligation to issue, upon conversion of the Note, the Conversion Shares, are absolute and unconditional regardless of the dilutive effect that such issuance may have on the ownership interests of other shareholders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Documents by the Company and Subsidiaries, and the consummation by the Company and Subsidiaries of the transactions contemplated hereby and thereby (including, without limitation, the issuance and reservation for issuance of the Conversion Shares)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note, evidence of indebtedness,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is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or (iv) trigger any anti-dilution and/or ratchet provision contained in any other contract in which the Company is a party thereto or any security issued by the Company. Neither the Company nor any of its Subsidiaries is in violation of its Certificate of Incorporation, By-laws or other organizational documents and neither the Company nor any of its Subsidiaries is in default (and no event has occurred which with notice or lapse of time or both could put the Company or any of its Subsidiaries in default) under, and neither the Company nor any of its Subsidiaries has taken any action or failed to take any action that would give to others any rights of termination, amendment, acceleration or cancellation of, any agreement, indenture or instrument to which the Company or any of its Subsidiaries is a party or by which any property or assets of the Company or any of its Subsidiaries is bound or affected, except for possible defaults as would not, individually or in the aggregate, have a Material Adverse Effect. The businesses of the Company and its Subsidiaries, if any, are not being conducted, and shall not be conducted so long as the Buyer owns any of the Securities, in violation of any law, ordinance or regulation of any governmental entity. Except as specifically contemplated by this Agreement and as required under the 1933 Act and any applicable state securities laws, the Company is not required to obtain any consent, authorization or order of, or make any filing or registration with, any court, governmental agency, regulatory agency, self-regulatory organization or stock market or any third party in order for it to execute, deliver or perform any of its obligations under this Agreement and the Note in accordance with the terms hereof or thereof or to issue and sell the Note in accordance with the terms hereof and, upon conversion of the Note, issue Conversion Shares. All consents, authorizations, orders, filings and registrations which the Company is required to obtain pursuant to the preceding sentence have been obtained or effected on or prior to the date hereof. The Company is not in violation of the listing requirements of the Principal Market (as defined herein) and does not reasonably anticipate that the Common Stock will be delisted by the Principal Market in the foreseeable future. The Company and its Subsidiaries are unaware of any facts or circumstances which might give rise to any of the foregoing. The “Principal Market” shall mean the principal securities exchange or trading market where such Common Stock is listed or traded, including but not limited to any tier of the OTC Markets, any tier of the NASDAQ Stock Market (including NASDAQ Capital Market), or the NYSE American, or any successor to such markets.</w:t>
      </w:r>
    </w:p>
    <w:p>
      <w:pPr>
        <w:pStyle w:val="TextBody"/>
        <w:bidi w:val="0"/>
        <w:spacing w:before="0" w:after="0"/>
        <w:ind w:left="0" w:right="0" w:firstLine="2161"/>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financial statements of the Company included in the SEC Documents, the Company has no liabilities, contingent or otherwise, other than (i) liabilities incurred in the ordinary course of business subsequent to December 31, 2025,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The Company is subject to the reporting requirements of the 1934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2025, there has been no material adverse change and no material adverse development in the assets, liabilities, business, properties, operations, financial condition, results of operations, prospects or 1934 Act reporting status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SEC Documents contain a complete list and summary description of any pending or, to the knowledge of the Company, threatened proceeding against or affecting the Company or any of its Subsidiaries, without regard to whether it would have a Material Adverse Effect. The Company and its Subsidiaries are unaware of any facts or circumstances which might give rise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each of its Subsidiaries owns or possesses the requisite licenses or rights to use all patents, patent applications, patent rights, inventions, know-how, trade secrets, trademarks, trademark applications, service marks, service names, trade names and copyrights (“Intellectual Property”) necessary to enable it to conduct its business as now operated (and, as presently contemplated to be operated in the future); there is no claim or action by any person pertaining to, or proceeding pending, or to the Company’s knowledge threatened, which challenges the right of the Company or of a Subsidiary with respect to any Intellectual Property necessary to enable it to conduct its business as now operated (and, as presently contemplated to be operated in the future); to the best of the Company’s knowledge, the Company’s or its Subsidiaries’ current and intended products, services and processes do not infringe on any Intellectual Property or other rights held by any person; and the Company is unaware of any facts or circumstances which might give rise to any of the foregoing. The Company and each of its Subsidiaries have taken reasonable security measures to protect the secrecy, confidentiality and value of their Intellectual Property.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Materially Adverse Contracts, Etc.</w:t>
      </w:r>
      <w:r>
        <w:rPr>
          <w:rFonts w:ascii="Times New Roman;Times;Serif" w:hAnsi="Times New Roman;Times;Serif"/>
          <w:b w:val="false"/>
          <w:i w:val="false"/>
          <w:caps w:val="false"/>
          <w:smallCaps w:val="false"/>
          <w:sz w:val="20"/>
        </w:rPr>
        <w:t xml:space="preserve"> Neither the Company nor any of its Subsidiaries is subject to any charter, corporate or other legal restriction, or any judgment, decree, order, rule or regulation which in the judgment of the Company’s officers has or is expected in the future to have a Material Adverse Effect. Neither the Company nor any of its Subsidiaries is a party to any contract or agreement which in the judgment of the Company’s officers has or is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and each of its Subsidiaries has made or filed all federal, state and foreign income and all other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for arm’s length transactions pursuant to which the Company or any of its Subsidiaries makes payments in the ordinary course of business upon terms no less favorable than the Company or any of its Subsidiaries could obtain from third parties and other than the grant of stock options described in the SEC Documents, none of the officers, directors, or employees of the Company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pursuant to Section 2(d) hereof and otherwise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1934 Act are being incorporated into an effective registration statement filed by the Company under the 1933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xml:space="preserve"> The Company acknowledges and agrees that the Buyer is acting solely in the capacity of arm’s length purchaser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Buyer’s purchase of the Securities. The Company further represents to the Buyer that the Company’s decision to enter into this Agreement has been based solely on the independent evaluation of the Company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 The issuance of the Securities to the Buyer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firstLine="2089"/>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Brokers; No Solicitation.</w:t>
      </w:r>
      <w:r>
        <w:rPr>
          <w:rFonts w:ascii="Times New Roman;Times;Serif" w:hAnsi="Times New Roman;Times;Serif"/>
          <w:b w:val="false"/>
          <w:i w:val="false"/>
          <w:caps w:val="false"/>
          <w:smallCaps w:val="false"/>
          <w:sz w:val="20"/>
        </w:rPr>
        <w:t xml:space="preserve"> Except in the ordinary course of business, the Company has taken no action which would give rise to any claim by any person for brokerage commissions, transaction fees or similar payments relating to this Agreement or the transactions contemplated hereby. The Company represents and warrants that neither the Buyer nor its employee(s), member(s), beneficial owner(s), or partner(s) solicited the Company to enter into this Agreement and consummate the transactions described in this Agreement. The Company represents and warrants that neither the Buyer nor its employee(s), member(s), beneficial owner(s), or partner(s) is required to be registered as a broker-dealer under the Securities Exchange Act of 1934 in order to (i) enter into or consummate the transactions encompassed by this Agreement, the Note, and the related transaction documents entered into in connection herewith (the “Transaction Documents”), (ii) fulfill the Buyer’s obligations under the Transaction Documents, or (iii) exercise any of the Buyer’s rights under the Transaction Documents (including but not limited to the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xml:space="preserve">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“Company Permits”),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Since December 31, 2025,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to the Company’s knowledge, with respect to the Company or any of its Subsidiaries or any predecessor of the Company, no past or present violations of Environmental Laws (as defined below), releases of any material into the environment, actions, activities, circumstances, conditions, events, incidents, or contractual obligations which may give rise to any common law environmental liability or any liability under the Comprehensive Environmental Response, Compensation and Liability Act of 1980 or similar federal, state, local or foreign laws and neither the Company nor any of its Subsidiaries has received any notice with respect to any of the foregoing, nor is any action pending or, to the Company’s knowledge, threatened in connection with any of the foregoing.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7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those that are or were stored, used or disposed of in compliance with applicable law, no Hazardous Materials are contained on or about any real property currently owned, leased or used by the Company or any of its Subsidiaries, and no Hazardous Materials were released on or about any real property previously owned, leased or used by the Company or any of its Subsidiaries during the period the property was owned, leased or used by the Company or any of its Subsidiaries, except in the normal course of the Company’s or any of its Subsidiaries’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7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underground storage tanks on or under any real property owned, leased or used by the Company or any of its Subsidiaries that are not in compliance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xml:space="preserv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Upon written request the Company will provide to the Buyer true and correct copies of all policies relating to directors’ and officers’ liability coverage, errors and omissions coverage, and commercial general liability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of its Subsidiaries, nor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The Company (after giving effect to the transactions contemplated by this Agreement) is solvent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its assets have a fair market value in excess of the amount required to pay its probable liabilities on its existing debts as they become absolute and matured) and currently the Company has no information that would lead it to reasonably conclude that the Company would not, after giving effect to the transaction contemplated by this Agreement, have the ability to, nor does it intend to take any action that would impair its ability to, pay its debts from time to time incurred in connection therewith as such debts mature. The Company’s financial statements for its most recent fiscal year end and interim financial statements have been prepared assuming the Company will continue as a going concern, which contemplates the realization of assets and the satisfaction of liabilities in the normal course of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xml:space="preserve">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or that could reasonably be expected to cause or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Illegal or Unauthorized Payments; Political Contributions</w:t>
      </w:r>
      <w:r>
        <w:rPr>
          <w:rFonts w:ascii="Times New Roman;Times;Serif" w:hAnsi="Times New Roman;Times;Serif"/>
          <w:b w:val="false"/>
          <w:i w:val="false"/>
          <w:caps w:val="false"/>
          <w:smallCaps w:val="false"/>
          <w:sz w:val="20"/>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The Company agrees that if the Company breaches any of the representations or warranties set forth in this Section 3 and in addition to any other remedies available to the Buyer pursuant to this Agreement, it will be considered an Event of Default under Section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COVENANTS, AGREEMENTS AND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xml:space="preserve"> The parties shall use their best efforts to satisfy timely each of the conditions described in Section 6 and 7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The Company agrees to file a Form D with respect to the Securities if required under Regulation D and to provide a copy thereof to the Buyer promptly after such filing. The Company shall, on or before the Closing Date, take such action as the Company shall reasonably determine is necessary to qualify the Securities for sale to the Buyer at the applicable closing pursuant to this Agreement under applicable securities or “blue sky” laws of the states of the United States (or to obtain an exemption from such qualification), and shall provide evidence of any such action so taken to the Buyer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Purchase Price for business development and general working capital, and not in violation or contravention of any applicable law, rule or regulation.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Buyer in order to enforce any right or remedy under this Agreement, the Note and any document, agreement or instrument contemplated thereby. Notwithstanding any provision to the contrary contained in this Agreement, the Note and any document, agreement or instrument contemplated thereby, it is expressly agreed and provided that the total liability of the Company under this Agreement, the Note or any document, agreement or instrument contemplated thereby for payments which under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applicable law in the nature of interest that the Company may be obligated to pay under this Agreement, the Note and any document, agreement or instrument contemplated thereby exceed such Maximum Rate. It is agreed that if the maximum contract rate of interest allowed by law applicable to this Agreement, the Note and any document, agreement or instrument contemplated thereby is increased or decreased by statute or any official governmental action subsequent to the date hereof, the new maximum contract rate of interest allowed by law will be the Maximum Rate applicable to this Agreement, the Note and any document, agreement or instrument contemplated thereby from the effective date thereof forward, unless such application is precluded by applicable law. If under any circumstances whatsoever, interest in excess of the Maximum Rate is paid by the Company to the Buyer with respect to indebtedness evidenced by this Agreement, the Note and any document, agreement or instrument contemplated thereby, such excess shall be applied by the Buyer to the unpaid principal balance of any such indebtedness or be refunded to the Company, the manner of handling such excess to be at the Buyer’s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 on Activities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Buyer’s prior written consent, which consent shall not be unreasonably withheld or delayed, sell, divest, acquire, or dispose of all or substantially all of its assets other than in the ordinary course of business, or in the event of a Fundamental Transaction and subject to the conditions set out under Section 4(h)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will, so long as the Buyer owns any of the Securities, maintain the listing and trading of its Common Stock on the Principal Market or any equivalent replacement exchange or electronic quotation system (including but not limited to the Pink Sheets electronic quotation system)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from the Principal Market and any other exchanges or electronic quotation systems on which the Common Stock is then traded regarding the continued eligibility of the Common Stock for listing on such exchanges and quotation systems if requested in writing by the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The Company will, so long as the Buyer beneficially owns any of the Securities, maintain its corporate existence and shall not sell all or substantially all of the Company’s assets, except in the event of a Fundamental Transaction (as defined in the Note), where the surviving or successor entity in such transaction (i) assumes the Company’s obligations under the Transaction Documents and (ii) is a publicly traded corporation whose Common Stock is listed for trading or quotation on the Principal Market, any tier of the NASDAQ Stock Market, the New York Stock Exchange or the NYSE American.</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xml:space="preserve">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Compliance with 1934 Act; Public Information Failures.</w:t>
      </w:r>
      <w:r>
        <w:rPr>
          <w:rFonts w:ascii="Times New Roman;Times;Serif" w:hAnsi="Times New Roman;Times;Serif"/>
          <w:b w:val="false"/>
          <w:i w:val="false"/>
          <w:caps w:val="false"/>
          <w:smallCaps w:val="false"/>
          <w:sz w:val="20"/>
        </w:rPr>
        <w:t xml:space="preserve"> For so long as the Buyer beneficially owns the Note or any Conversion Shares, the Company shall comply with the reporting requirements of the 1934 Act; and the Company shall continue to be subject to the reporting requirements of the 1934 Act.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Legal Counsel Opinions</w:t>
      </w:r>
      <w:r>
        <w:rPr>
          <w:rFonts w:ascii="Times New Roman;Times;Serif" w:hAnsi="Times New Roman;Times;Serif"/>
          <w:b w:val="false"/>
          <w:i w:val="false"/>
          <w:caps w:val="false"/>
          <w:smallCaps w:val="false"/>
          <w:sz w:val="20"/>
        </w:rPr>
        <w:t>. Upon the request of the Buyer from to time to time, the Company shall be responsible (at its cost) for promptly supplying to the Company’s transfer agent and the Buyer a customary legal opinion letter of its counsel (the “Legal Counsel Opinion”) to the effect that the resale of the Conversion Shares by the Buyer or its affiliates, successors and assigns is exempt from the registration requirements of the 1933 Act pursuant to Rule 144 (provided the requirements of Rule 144 are satisfied and provided the Conversion Shares are not then registered under the 1933 Act for resale pursuant to an effective registration statement) or other applicable exemption (provided the requirements of such other applicable exemption are satisfied). In addition, the Buyer may (at the Company’s cost) at any time secure its own legal counsel to issue the Legal Counsel Opinion, and the Company will instruct its transfer agent to accept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Piggy-Back Registration Rights</w:t>
      </w:r>
      <w:r>
        <w:rPr>
          <w:rFonts w:ascii="Times New Roman;Times;Serif" w:hAnsi="Times New Roman;Times;Serif"/>
          <w:b w:val="false"/>
          <w:i w:val="false"/>
          <w:caps w:val="false"/>
          <w:smallCaps w:val="false"/>
          <w:sz w:val="20"/>
        </w:rPr>
        <w:t>. If the Company proposes to file any registration statement covering any of its securities (for sale by the Company, for resale by the holder(s) of such securities, or otherwise) (each a “Registration Statement”), the Company shall at each such time give written notice to Holder of its intention to do so (each a “Registration Notice”) at least five (5) calendar days prior to the filing of such Registration Statement and of the registration rights granted under this Agreement. Upon the written request of Holder made to the Company within three (3) calendar days after the receipt of any such Registration Notice, the Company shall, at its sole cost and expense, effect the registration of all Conversion Shares underlying the Note which the Company has been so requested to register by Holder in such Registration Statement, by inclusion of such Conversion Shares in the Registration Statement, to the extent required to permit the resale and disposition (in accordance with the intended methods of disposition, including but not limited to sales at prevailing market prices) of the Conversion Shares by Holder.</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neither it, nor any other person acting on its behalf will provide the Buyer or its agents or counsel with any information that constitutes, or the Company reasonably believes constitutes, material non-public information, unless prior thereto the Buyer shall have consented to the receipt of such information and agreed with the Company to keep such information confidential. The Company understands and confirms that the Buyer shall be relying on the foregoing covenant in effecting transactions in securities of the Company. To the extent that the Company delivers any material, non-public information to the Buyer without such Buyer’s consent, the Company hereby covenants and agrees that such Buyer shall not have any duty of confidentiality to the Company, any of its Subsidiaries, or any of their respective officers, directors, agents, employees or affiliates, not to trade on the basis of, such material, non- public information, provided that the Buyer shall remain subject to applicable law. To the extent that any notice provided, information provided, or any other communications made by the Company, to the Buyer, constitutes or contains material non-public information regarding the Company or any Subsidiaries, the Company shall simultaneously file such notice or other material information with the SEC pursuant to a Current Report on Form 8-K. In addition to any other remedies provided by this Agreement or the related transaction documents, if the Company provides any material non-public information to the Buyer without their prior written consent, and it fails to immediately (no later than that business day) file a Form 8-K disclosing this material non-public information, it shall pay the Buyer as partial liquidated damages and not as a penalty a sum equal to $3,000 per day beginning with the day the information is disclosed to the Buyer and ending and including the day the Form 8-K disclosing this information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Buyer is currently, or ever has been, a broker-dealer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xml:space="preserve"> The Company acknowledges and agrees that if the Company breaches any of the covenants set forth in this Section 4, in addition to any other remedies available to the Buyer pursuant to this Agreement, it will be considered an Event of Default under Section 3.3 of the Note.</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issue irrevocable instructions to the Company’s transfer agent to issue certificates and/or issue shares electronically at the Buyer’s option, registered in the name of the Buyer or its nominee, upon conversion of the Note, the Conversion Shares, in such amounts as specified from time to time by the Buyer to the Company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reserved shares of Common Stock in the Reserved Amount (as defined in the Note)) signed by the successor transfer agent to the Company and the Company. Prior to registration of the Conversion Shares under the 1933 Act or the date on which the Conversion Shares may be sold pursuant to Rule 144, Rule 144A, Regulation S, or other applicable exemption without any restriction as to the number of Securities as of a particular date that can then be immediately sold, all such certificates or book entry shares shall bear the restrictive legend specified in Section 2(g)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Securities to be issued to the Buyer upon conversion of or otherwise pursuant to the Note as and when required by the Note and this Agreement; (iii) it will not fail to remove (or directs its transfer agent not to remove or impairs, delays, and/or hinders its transfer agent from removing) any restrictive legend (or to withdraw any stop transfer instructions in respect thereof) on any certificate for any Securities issued to the Buyer upon conversion of or otherwise pursuant to the Note as and when required by the Note and/or this Agreement and (iv) it will provide any required corporate resolutions and issuance approvals to its transfer agent within 6 hours of each conversion of the Note. Nothing in this Section shall affect in any way the Buyer’s obligations and agreement set forth in Section 2(g) hereof to comply with all applicable prospectus delivery requirements, if any, upon re-sale of the Securities. If the Buyer provides the Company, at the cost of the Company, with (i) an opinion of counsel in form, substance and scope customary for opinions in comparable transactions, to the effect that a public sale or transfer of such Securities may be made without registration under the 1933 Act and such sale or transfer is effected or (ii) the Buyer provides reasonable assurances that the Securities can be sold pursuant to 144, Rule 144A, Regulation S, or other applicable exemption, the Company shall permit the transfer, and, in the case of the Securities, promptly instruct its transfer agent to issue one or more certificates, free from restrictive legend, in such name and in such denominations as specified by the Buyer.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xml:space="preserve"> The obligation of the Company hereunder to issue and sell the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have executed the Transaction Documents and delivered the same to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delivered the Purchase Price in accordance with Section 1(b) above.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Buyer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21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Buyer shall have delivered to the Company all information reasonably necessary and requested by the Company to comply with applicable federal and state securities laws in connection with the Agreement, which shall include, but not be limited to, the Buyer’s principal place of business or domicile for tax and securities law purposes and sufficient information to verify the Buyer’s status as an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Buyer’s Obligation to Purchase.</w:t>
      </w:r>
      <w:r>
        <w:rPr>
          <w:rFonts w:ascii="Times New Roman;Times;Serif" w:hAnsi="Times New Roman;Times;Serif"/>
          <w:b w:val="false"/>
          <w:i w:val="false"/>
          <w:caps w:val="false"/>
          <w:smallCaps w:val="false"/>
          <w:sz w:val="20"/>
        </w:rPr>
        <w:t xml:space="preserve"> The obligation of the Buyer hereunder to purchase the Note, on the Closing Date, is subject to the satisfaction, at or before the Closing Date, of each of the following conditions, provided that these conditions are for the Buyer’s sole benefit and may be waived by the Buyer at any time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8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Subsidiaries, as applicable, shall have executed the Transaction Documents and delivered the same to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Buyer the duly executed Note in such denominations as the Buyer shall request and in accordance with Section 1(b)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Buyer, shall have been delivered to and acknowledged in writing by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Trading in the Common Stock on the Principal Market shall not have been suspended by the SEC, FINRA or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Buyer (i) a certificate evidencing the formation and good standing of the Company in such entity’s jurisdiction of formation issued by the Secretary of State (or comparable office) of such jurisdiction, as of a date within ten (10) days of the Closing Date and (ii) resolutions adopted by the Company’s Board of Directors at a duly called meeting or by unanimous written consent authorizing this Agreement and all other documents, instruments and transactions contemplated hereby.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Arbitration of Claims; Governing Law; Venue</w:t>
      </w:r>
      <w:r>
        <w:rPr>
          <w:rFonts w:ascii="Times New Roman;Times;Serif" w:hAnsi="Times New Roman;Times;Serif"/>
          <w:b w:val="false"/>
          <w:i w:val="false"/>
          <w:caps w:val="false"/>
          <w:smallCaps w:val="false"/>
          <w:sz w:val="20"/>
        </w:rPr>
        <w:t xml:space="preserve">. The Company and Buyer shall submit all Claims (as defined in Exhibit B of this Purchase Agreement) (the “Claims”) arising under this Agreement or any other agreement between the Company and Buyer or their respective affiliates (including but not limited to the Transaction Documents) or any Claim relating to the relationship of the Company and Buyer or their respective affiliates to binding arbitration pursuant to the arbitration provisions set forth in Exhibit B of the Purchase Agreement (the “Arbitration Provisions”). The Company and Buyer hereby acknowledge and agree that the Arbitration Provisions are unconditionally binding on the Company and Buyer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Buyer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Buyer consent to and expressly agree that the exclusive venue for arbitration of any Claims arising under this Agreement or any other agreement between the Company and Buyer or their respective affiliates (including but not limited to the Transaction Documents) or any Claim relating to the relationship of the Company and Buyer or their respective affiliates shall be in Orange County, California. Without modifying the Company’s and Buyer’s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or otherwise related to Buyer in any way (specifically including, without limitation, any action where Company seeks to obtain an injunction, temporary restraining order, or otherwise prohibit the Company’s transfer agent from issuing shares of Common Stock to Buyer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Buyer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Buyer to realize on any collateral or any other security, or to enforce a judgment or other court ruling in favor of the Buyer,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but all of which shall constitute one and the same agreement and shall become effective when counterparts have been signed by each party and delivered to the other party. A facsimile or .pdf signature shall be considered due execution and shall be binding upon the signatory thereto with the same force and effect as if the signature were an original, not a facsimile or .pdf signature. Delivery of a counterpart signature hereto by facsimile or email/.pdf transmission shall be deemed validly delivery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xml:space="preserve"> This Agreement shall be deemed to be jointly drafted by the Company and the Buyer and shall not be construed against any person as the drafter hereof. The headings of this Agreement are for convenience of reference only and shall not form part of, or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Agreement, the Note, or any other agreement or instrument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Agreement, the Note, or any other agreement, certificate, instrument or document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the Note,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or any agreement or instrument contemplated hereby may be waived or amended other than by an instrument in writing signed by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800" w:right="0" w:firstLine="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800" w:right="0" w:firstLine="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800" w:right="0" w:firstLine="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800" w:right="0" w:firstLine="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800" w:right="0" w:firstLine="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PACIFIC PIER CAPITAL II, LP</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 Imperial Highway Suite 203</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Fullerton, CA 92835</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ed@pacific-pier.com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assigns. The Company shall not assign this Agreement or any rights or obligations hereunder without the prior written consent of the Buyer. The Buyer may assign its rights hereunder to any “accredited investor” (as defined in Rule 501(a) of the 1933 Act) in a private transaction from the Buyer or to any of its “affiliates,” as that term is defined under the 1934 Act, without the consent of the Company but shall provide prior notice to the Company of such assignment.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The Company, and the Buyer shall have the right to review a reasonable period of time before issuance of any press releases, SEC, Principal Market or FINRA filings, or any other public statements with respect to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without the prior approval of the Buyer, to make any press release or SEC, Principal Market (or other applicable trading market) or FINRA filings with respect to such transactions as is required by applicable law and regulations (although the Buyer shall be consulted by the Company in connection with any such press release prior to its release and shall be provided with a copy thereof and be given an opportunity to comment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xml:space="preserve">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Buyer’s execution and delivery of this Agreement and acquiring the Securities hereunder, and in addition to all of the Company’s other obligations under this Agreement or the Note, the Company shall defend, protect, indemnify and hold harmless the Buyer and its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the Note or any other agreement, certificate, instrument or document contemplated hereby or thereby, (b) any breach of any covenant, agreement or obligation of the Company contained in this Agreement, the Note or any other agreement,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this Agreement, the Note or any other agreement, certificate, instrument or document contemplated hereby or thereby, (ii) any transaction financed or to be financed in whole or in part, directly or indirectly, with the proceeds of the issuance of the Securities, or (iii) the status of the Buyer or holder of the Securities as an investor in the Company pursuant to the transactions contemplated by this Agreement. To the extent that the foregoing undertaking by the Company may be unenforceable for any reason, the Company shall make the maximum contribution to the payment and satisfaction of each of the Indemnified Liabilities that is permissible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the Note, or any other agreement, certificate, instrument or document contemplated hereby or thereby will be inadequate and agrees, in the event of a breach or threatened breach by the Company of the provisions of this Agreement, the Note, or any other agreement, certificate, instrument or document contemplated hereby or thereby, that the Buyer shall be entitled, in addition to all other available remedies at law or in equity, and in addition to the penalties assessable herein, to an injunction or injunctions restraining, preventing or curing any breach of this Agreement, the Note, or any other agreement, certificate, instrument or document contemplated hereby or thereby, and to enforce specifically the terms and provisions hereof and thereof, without the necessity of showing economic loss and without any bond or other security being required.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(i) Company makes a payment or payments to the Buyer hereunder, pursuant to the Note or pursuant to any other agreement, certificate, instrument or document contemplated hereby or thereby, or (ii) the Buyer enforces or exercises its rights hereunder or pursuant to the Note, or pursuant to any other agreement, certificate, instrument or document contemplated hereby or thereby,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Buyer,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Buyer a dollar amount equal to the amount that was for any reason (i) subsequently invalidated, declared to be fraudulent or preferential, set aside, recovered from, or disgorged by the Buyer,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Buyer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Buyer existing hereunder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6692" w:type="dxa"/>
        <w:jc w:val="left"/>
        <w:tblInd w:w="0" w:type="dxa"/>
        <w:tblLayout w:type="fixed"/>
        <w:tblCellMar>
          <w:top w:w="0" w:type="dxa"/>
          <w:left w:w="0" w:type="dxa"/>
          <w:bottom w:w="0" w:type="dxa"/>
          <w:right w:w="0" w:type="dxa"/>
        </w:tblCellMar>
      </w:tblPr>
      <w:tblGrid>
        <w:gridCol w:w="586"/>
        <w:gridCol w:w="1003"/>
        <w:gridCol w:w="4988"/>
        <w:gridCol w:w="115"/>
      </w:tblGrid>
      <w:tr>
        <w:trPr/>
        <w:tc>
          <w:tcPr>
            <w:tcW w:w="6577" w:type="dxa"/>
            <w:gridSpan w:val="3"/>
            <w:tcBorders/>
            <w:vAlign w:val="center"/>
          </w:tcPr>
          <w:p>
            <w:pPr>
              <w:pStyle w:val="TableContents"/>
              <w:bidi w:val="0"/>
              <w:spacing w:before="0" w:after="283"/>
              <w:jc w:val="left"/>
              <w:rPr>
                <w:b/>
              </w:rPr>
            </w:pPr>
            <w:r>
              <w:rPr>
                <w:b/>
              </w:rPr>
              <w:t>NEWGENIVF GROUP LIMITED</w:t>
            </w:r>
          </w:p>
        </w:tc>
        <w:tc>
          <w:tcPr>
            <w:tcW w:w="11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 </w:t>
            </w:r>
          </w:p>
        </w:tc>
        <w:tc>
          <w:tcPr>
            <w:tcW w:w="4988"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By:</w:t>
            </w:r>
          </w:p>
        </w:tc>
        <w:tc>
          <w:tcPr>
            <w:tcW w:w="5991"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Name:</w:t>
            </w:r>
          </w:p>
        </w:tc>
        <w:tc>
          <w:tcPr>
            <w:tcW w:w="4988" w:type="dxa"/>
            <w:tcBorders/>
            <w:vAlign w:val="center"/>
          </w:tcPr>
          <w:p>
            <w:pPr>
              <w:pStyle w:val="TableContents"/>
              <w:bidi w:val="0"/>
              <w:spacing w:before="0" w:after="283"/>
              <w:jc w:val="left"/>
              <w:rPr/>
            </w:pPr>
            <w:r>
              <w:rPr/>
              <w:t>WING FUNG ALFRED SIU</w:t>
            </w:r>
          </w:p>
        </w:tc>
        <w:tc>
          <w:tcPr>
            <w:tcW w:w="11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Title:</w:t>
            </w:r>
          </w:p>
        </w:tc>
        <w:tc>
          <w:tcPr>
            <w:tcW w:w="4988" w:type="dxa"/>
            <w:tcBorders/>
            <w:vAlign w:val="center"/>
          </w:tcPr>
          <w:p>
            <w:pPr>
              <w:pStyle w:val="TableContents"/>
              <w:bidi w:val="0"/>
              <w:spacing w:before="0" w:after="283"/>
              <w:jc w:val="left"/>
              <w:rPr/>
            </w:pPr>
            <w:r>
              <w:rPr/>
              <w:t>CHIEF EXECUTIVE OFFICER</w:t>
            </w:r>
          </w:p>
        </w:tc>
        <w:tc>
          <w:tcPr>
            <w:tcW w:w="11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 </w:t>
            </w:r>
          </w:p>
        </w:tc>
        <w:tc>
          <w:tcPr>
            <w:tcW w:w="4988"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6577" w:type="dxa"/>
            <w:gridSpan w:val="3"/>
            <w:tcBorders/>
            <w:vAlign w:val="center"/>
          </w:tcPr>
          <w:p>
            <w:pPr>
              <w:pStyle w:val="TableContents"/>
              <w:bidi w:val="0"/>
              <w:spacing w:before="0" w:after="283"/>
              <w:jc w:val="left"/>
              <w:rPr>
                <w:b/>
              </w:rPr>
            </w:pPr>
            <w:r>
              <w:rPr>
                <w:b/>
              </w:rPr>
              <w:t>PACIFIC PIER CAPITAL II, LP</w:t>
            </w:r>
          </w:p>
        </w:tc>
        <w:tc>
          <w:tcPr>
            <w:tcW w:w="11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 </w:t>
            </w:r>
          </w:p>
        </w:tc>
        <w:tc>
          <w:tcPr>
            <w:tcW w:w="4988"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6692" w:type="dxa"/>
            <w:gridSpan w:val="4"/>
            <w:tcBorders/>
            <w:vAlign w:val="center"/>
          </w:tcPr>
          <w:p>
            <w:pPr>
              <w:pStyle w:val="TableContents"/>
              <w:bidi w:val="0"/>
              <w:spacing w:before="0" w:after="283"/>
              <w:jc w:val="left"/>
              <w:rPr/>
            </w:pPr>
            <w:r>
              <w:rPr/>
              <w:t>By: Pacific Pier Capital Management Group, LLC, its General Partner</w:t>
            </w:r>
          </w:p>
        </w:tc>
      </w:tr>
      <w:tr>
        <w:trPr/>
        <w:tc>
          <w:tcPr>
            <w:tcW w:w="58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 </w:t>
            </w:r>
          </w:p>
        </w:tc>
        <w:tc>
          <w:tcPr>
            <w:tcW w:w="4988"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By:</w:t>
            </w:r>
          </w:p>
        </w:tc>
        <w:tc>
          <w:tcPr>
            <w:tcW w:w="5991"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Name:</w:t>
            </w:r>
          </w:p>
        </w:tc>
        <w:tc>
          <w:tcPr>
            <w:tcW w:w="4988" w:type="dxa"/>
            <w:tcBorders/>
            <w:vAlign w:val="center"/>
          </w:tcPr>
          <w:p>
            <w:pPr>
              <w:pStyle w:val="TableContents"/>
              <w:bidi w:val="0"/>
              <w:spacing w:before="0" w:after="283"/>
              <w:jc w:val="left"/>
              <w:rPr/>
            </w:pPr>
            <w:r>
              <w:rPr/>
              <w:t> </w:t>
            </w:r>
            <w:r>
              <w:rPr/>
              <w:t>EDWARD DEESE</w:t>
            </w:r>
          </w:p>
        </w:tc>
        <w:tc>
          <w:tcPr>
            <w:tcW w:w="11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Title:</w:t>
            </w:r>
          </w:p>
        </w:tc>
        <w:tc>
          <w:tcPr>
            <w:tcW w:w="4988" w:type="dxa"/>
            <w:tcBorders/>
            <w:vAlign w:val="center"/>
          </w:tcPr>
          <w:p>
            <w:pPr>
              <w:pStyle w:val="TableContents"/>
              <w:bidi w:val="0"/>
              <w:spacing w:before="0" w:after="283"/>
              <w:jc w:val="left"/>
              <w:rPr/>
            </w:pPr>
            <w:r>
              <w:rPr/>
              <w:t> </w:t>
            </w:r>
            <w:r>
              <w:rPr/>
              <w:t>MANAGER</w:t>
            </w:r>
          </w:p>
        </w:tc>
        <w:tc>
          <w:tcPr>
            <w:tcW w:w="1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[attached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Each party consents to and expressly agrees that the exclusive venue for arbitration of any dispute arising out of or relating to any of the Transaction Documents or the relationship of the parties or their affiliates shall be in Orange County, California. For purposes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means any disputes, claims, demands, causes of action, requests for injunctive relief, requests for specific performance, questions regarding severability of any provisions of the Transaction Documents,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The parties to this Agreement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hereby agree that the Claims may be arbitrated in one or more Arbitrations pursuant to these Arbitration Provisions (one for an injunction or injunctions and a separate one for all other Claims). The parties hereby agree that the arbitration provisions set forth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Arbitration Provisions</w:t>
      </w:r>
      <w:r>
        <w:rPr>
          <w:rFonts w:ascii="Times New Roman;Times;Serif" w:hAnsi="Times New Roman;Times;Serif"/>
          <w:b w:val="false"/>
          <w:i w:val="false"/>
          <w:caps w:val="false"/>
          <w:smallCaps w:val="false"/>
          <w:sz w:val="20"/>
        </w:rPr>
        <w:t>”)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These Arbitration Provisions shall also survive any termination or expiration of the Agreement. Any capitalized term not defined in these Arbitration Provisions shall have the meaning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Except as otherwise provided herein, all Claims must be submitted to arbitration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 to be conducted exclusively in Orange County, California and pursuant to the terms set forth in these Arbitration Provisions. Subject to the arbitration appeal right provided for in Paragraph 5 below (the “</w:t>
      </w:r>
      <w:r>
        <w:rPr>
          <w:rFonts w:ascii="Times New Roman;Times;Serif" w:hAnsi="Times New Roman;Times;Serif"/>
          <w:b/>
          <w:i w:val="false"/>
          <w:caps w:val="false"/>
          <w:smallCaps w:val="false"/>
          <w:sz w:val="20"/>
        </w:rPr>
        <w:t>Appeal Right</w:t>
      </w:r>
      <w:r>
        <w:rPr>
          <w:rFonts w:ascii="Times New Roman;Times;Serif" w:hAnsi="Times New Roman;Times;Serif"/>
          <w:b w:val="false"/>
          <w:i w:val="false"/>
          <w:caps w:val="false"/>
          <w:smallCaps w:val="false"/>
          <w:sz w:val="20"/>
        </w:rPr>
        <w:t>”), the parties agree that the award of the arbitrator rendered pursuant to Paragraph 4 below (the “</w:t>
      </w:r>
      <w:r>
        <w:rPr>
          <w:rFonts w:ascii="Times New Roman;Times;Serif" w:hAnsi="Times New Roman;Times;Serif"/>
          <w:b/>
          <w:i w:val="false"/>
          <w:caps w:val="false"/>
          <w:smallCaps w:val="false"/>
          <w:sz w:val="20"/>
        </w:rPr>
        <w:t>Arbitration Award</w:t>
      </w:r>
      <w:r>
        <w:rPr>
          <w:rFonts w:ascii="Times New Roman;Times;Serif" w:hAnsi="Times New Roman;Times;Serif"/>
          <w:b w:val="false"/>
          <w:i w:val="false"/>
          <w:caps w:val="false"/>
          <w:smallCaps w:val="false"/>
          <w:sz w:val="20"/>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(with respect to monetary awards) at the rate specified in the Note for Default Interest both before and after the Arbitration Award. Judgment upon the Arbitration Award will be entered and enforced by any state or federal court sitting in Orange County,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The Arbitration Act</w:t>
      </w:r>
      <w:r>
        <w:rPr>
          <w:rFonts w:ascii="Times New Roman;Times;Serif" w:hAnsi="Times New Roman;Times;Serif"/>
          <w:b w:val="false"/>
          <w:i w:val="false"/>
          <w:caps w:val="false"/>
          <w:smallCaps w:val="false"/>
          <w:sz w:val="20"/>
        </w:rPr>
        <w:t>. The parties hereby incorporate herein the provisions and procedures set forth in the California Arbitration Act, Title 9 §§ 1280-1294.4 (as amended or superseded from time to time, the “</w:t>
      </w:r>
      <w:r>
        <w:rPr>
          <w:rFonts w:ascii="Times New Roman;Times;Serif" w:hAnsi="Times New Roman;Times;Serif"/>
          <w:b/>
          <w:i w:val="false"/>
          <w:caps w:val="false"/>
          <w:smallCaps w:val="false"/>
          <w:sz w:val="20"/>
        </w:rPr>
        <w:t>Arbitration Act</w:t>
      </w:r>
      <w:r>
        <w:rPr>
          <w:rFonts w:ascii="Times New Roman;Times;Serif" w:hAnsi="Times New Roman;Times;Serif"/>
          <w:b w:val="false"/>
          <w:i w:val="false"/>
          <w:caps w:val="false"/>
          <w:smallCaps w:val="false"/>
          <w:sz w:val="20"/>
        </w:rPr>
        <w:t>”). Notwithstanding the foregoing, pursuant to, and to the maximum extent permitted by,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Arbitration Proceedings</w:t>
      </w:r>
      <w:r>
        <w:rPr>
          <w:rFonts w:ascii="Times New Roman;Times;Serif" w:hAnsi="Times New Roman;Times;Serif"/>
          <w:b w:val="false"/>
          <w:i w:val="false"/>
          <w:caps w:val="false"/>
          <w:smallCaps w:val="false"/>
          <w:sz w:val="20"/>
        </w:rPr>
        <w:t>. Arbitration between the parties will be subject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caps w:val="false"/>
          <w:smallCaps w:val="false"/>
          <w:sz w:val="20"/>
        </w:rPr>
        <w:t>Initiation of Arbitration</w:t>
      </w:r>
      <w:r>
        <w:rPr>
          <w:rFonts w:ascii="Times New Roman;Times;Serif" w:hAnsi="Times New Roman;Times;Serif"/>
          <w:b w:val="false"/>
          <w:i w:val="false"/>
          <w:caps w:val="false"/>
          <w:smallCaps w:val="false"/>
          <w:sz w:val="20"/>
        </w:rPr>
        <w:t>. The parties agree that a party may initiate Arbitration by giving written notice to the other party (“</w:t>
      </w:r>
      <w:r>
        <w:rPr>
          <w:rFonts w:ascii="Times New Roman;Times;Serif" w:hAnsi="Times New Roman;Times;Serif"/>
          <w:b/>
          <w:i w:val="false"/>
          <w:caps w:val="false"/>
          <w:smallCaps w:val="false"/>
          <w:sz w:val="20"/>
        </w:rPr>
        <w:t>Arbitration Notice</w:t>
      </w:r>
      <w:r>
        <w:rPr>
          <w:rFonts w:ascii="Times New Roman;Times;Serif" w:hAnsi="Times New Roman;Times;Serif"/>
          <w:b w:val="false"/>
          <w:i w:val="false"/>
          <w:caps w:val="false"/>
          <w:smallCaps w:val="false"/>
          <w:sz w:val="20"/>
        </w:rPr>
        <w:t xml:space="preserve">”) in the same manner that notice is permitted under Section 8(f) of the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Arbitration Notice may not be given by email or fax. Arbitration will be deemed initiated as of the date that the Arbitration Notice is deemed physically delivered to such other party under Section 8(f) of the Agreement (the “</w:t>
      </w:r>
      <w:r>
        <w:rPr>
          <w:rFonts w:ascii="Times New Roman;Times;Serif" w:hAnsi="Times New Roman;Times;Serif"/>
          <w:b/>
          <w:i w:val="false"/>
          <w:caps w:val="false"/>
          <w:smallCaps w:val="false"/>
          <w:sz w:val="20"/>
        </w:rPr>
        <w:t>Service Date</w:t>
      </w:r>
      <w:r>
        <w:rPr>
          <w:rFonts w:ascii="Times New Roman;Times;Serif" w:hAnsi="Times New Roman;Times;Serif"/>
          <w:b w:val="false"/>
          <w:i w:val="false"/>
          <w:caps w:val="false"/>
          <w:smallCaps w:val="false"/>
          <w:sz w:val="20"/>
        </w:rPr>
        <w:t>”). After the Service Date, information may be delivered, and notices may be given, by email or fax pursuant to Section 8(f) of the Agreement or any other method permitted thereunder. The Arbitration Notice must describe the nature of the controversy, the remedies sought, and the election to commence Arbitration proceedings. All Claims in the Arbitration Notice must be pleaded consistent with the California Code of Civil Procedure.</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caps w:val="false"/>
          <w:smallCaps w:val="false"/>
          <w:sz w:val="20"/>
        </w:rPr>
        <w:t>Selection and Payment of Arbitrator</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Service Date, Buyer shall select and submit to Company the names of four (4) arbitrators that are designated as “neutrals” or qualified arbitrators by American Arbitration Association (“AAA”) (https://www.adr.org/) or other arbitration service provider agreed upon by the parties (such four (4) designated persons hereunder are referred to herein as the “</w:t>
      </w:r>
      <w:r>
        <w:rPr>
          <w:rFonts w:ascii="Times New Roman;Times;Serif" w:hAnsi="Times New Roman;Times;Serif"/>
          <w:b/>
          <w:i w:val="false"/>
          <w:caps w:val="false"/>
          <w:smallCaps w:val="false"/>
          <w:sz w:val="20"/>
        </w:rPr>
        <w:t>Proposed Arbitrators</w:t>
      </w:r>
      <w:r>
        <w:rPr>
          <w:rFonts w:ascii="Times New Roman;Times;Serif" w:hAnsi="Times New Roman;Times;Serif"/>
          <w:b w:val="false"/>
          <w:i w:val="false"/>
          <w:caps w:val="false"/>
          <w:smallCaps w:val="false"/>
          <w:sz w:val="20"/>
        </w:rPr>
        <w:t>”). Within five (5) calendar days after Buyer has submitted to Company the names of the Proposed Arbitrators, Company must select, by written notice to Buyer, one (1) of the Proposed Arbitrators to act as the arbitrator for the parties under these Arbitration Provisions. If Company fails to select one of the Proposed Arbitrators in writing within such 5-day period, then Buyer may select the arbitrator from the Proposed Arbitrators by providing written notice of such selection to Company. The date that the Proposed Arbitrator selected pursuant to this Paragraph 4.2 agrees in writing (including via email) delivered to both parties to serve as the arbitrator hereunder is referred to herein as the “</w:t>
      </w:r>
      <w:r>
        <w:rPr>
          <w:rFonts w:ascii="Times New Roman;Times;Serif" w:hAnsi="Times New Roman;Times;Serif"/>
          <w:b/>
          <w:i w:val="false"/>
          <w:caps w:val="false"/>
          <w:smallCaps w:val="false"/>
          <w:sz w:val="20"/>
        </w:rPr>
        <w:t>Arbitration Commencement Date</w:t>
      </w:r>
      <w:r>
        <w:rPr>
          <w:rFonts w:ascii="Times New Roman;Times;Serif" w:hAnsi="Times New Roman;Times;Serif"/>
          <w:b w:val="false"/>
          <w:i w:val="false"/>
          <w:caps w:val="false"/>
          <w:smallCaps w:val="false"/>
          <w:sz w:val="20"/>
        </w:rPr>
        <w:t>”. If an arbitrator resigns or is unable to act during the Arbitration, a replacement arbitrator shall be chosen by Buyer in accordance with this Paragraph 4.2 to continue the Arbitration. If AAA or other arbitration service provider agreed upon by the parties ceases to exist or to provide a list of neutrals and there is no successor thereto, then the arbitrator shall be selected under the then prevailing rules of the American Arbitration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caps w:val="false"/>
          <w:smallCaps w:val="false"/>
          <w:sz w:val="20"/>
        </w:rPr>
        <w:t>Applicability of Certain California Rules</w:t>
      </w:r>
      <w:r>
        <w:rPr>
          <w:rFonts w:ascii="Times New Roman;Times;Serif" w:hAnsi="Times New Roman;Times;Serif"/>
          <w:b w:val="false"/>
          <w:i w:val="false"/>
          <w:caps w:val="false"/>
          <w:smallCaps w:val="false"/>
          <w:sz w:val="20"/>
        </w:rPr>
        <w:t>. The parties agree that the Arbitration shall be conducted generally in accordance with the California Code of Civil Procedure and the California Rules of Evidence. More specifically, the California Code of Civil Procedure shall apply, without limitation, to the filing of any pleadings, motions or memoranda, the conducting of discovery, and the taking of any depositions. The California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California Code of Civil Procedure or the California Rules of Evidence and these Arbitration Provisions, these Arbitration Provisions shall control.</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caps w:val="false"/>
          <w:smallCaps w:val="false"/>
          <w:sz w:val="20"/>
        </w:rPr>
        <w:t>Answer and Default</w:t>
      </w:r>
      <w:r>
        <w:rPr>
          <w:rFonts w:ascii="Times New Roman;Times;Serif" w:hAnsi="Times New Roman;Times;Serif"/>
          <w:b w:val="false"/>
          <w:i w:val="false"/>
          <w:caps w:val="false"/>
          <w:smallCaps w:val="false"/>
          <w:sz w:val="20"/>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caps w:val="false"/>
          <w:smallCaps w:val="false"/>
          <w:sz w:val="20"/>
        </w:rPr>
        <w:t>Discovery</w:t>
      </w:r>
      <w:r>
        <w:rPr>
          <w:rFonts w:ascii="Times New Roman;Times;Serif" w:hAnsi="Times New Roman;Times;Serif"/>
          <w:b w:val="false"/>
          <w:i w:val="false"/>
          <w:caps w:val="false"/>
          <w:smallCaps w:val="false"/>
          <w:sz w:val="20"/>
        </w:rPr>
        <w:t>. The parties agree that discovery shall be conducted in accordance with the Arbitration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caps w:val="false"/>
          <w:smallCaps w:val="false"/>
          <w:sz w:val="20"/>
        </w:rPr>
        <w:t>Dispositive Motions</w:t>
      </w:r>
      <w:r>
        <w:rPr>
          <w:rFonts w:ascii="Times New Roman;Times;Serif" w:hAnsi="Times New Roman;Times;Serif"/>
          <w:b w:val="false"/>
          <w:i w:val="false"/>
          <w:caps w:val="false"/>
          <w:smallCaps w:val="false"/>
          <w:sz w:val="20"/>
        </w:rPr>
        <w:t>. Each party shall have the right to submit dispositive motions pursuant to the California Code of Civil Procedure (a “</w:t>
      </w:r>
      <w:r>
        <w:rPr>
          <w:rFonts w:ascii="Times New Roman;Times;Serif" w:hAnsi="Times New Roman;Times;Serif"/>
          <w:b/>
          <w:i w:val="false"/>
          <w:caps w:val="false"/>
          <w:smallCaps w:val="false"/>
          <w:sz w:val="20"/>
        </w:rPr>
        <w:t>Dispositive Motion</w:t>
      </w:r>
      <w:r>
        <w:rPr>
          <w:rFonts w:ascii="Times New Roman;Times;Serif" w:hAnsi="Times New Roman;Times;Serif"/>
          <w:b w:val="false"/>
          <w:i w:val="false"/>
          <w:caps w:val="false"/>
          <w:smallCaps w:val="false"/>
          <w:sz w:val="20"/>
        </w:rPr>
        <w:t>”). The party submitting the Dispositive Motion may, but is not required to, deliver to the arbitrator and to the other party a memorandum in support (the “</w:t>
      </w:r>
      <w:r>
        <w:rPr>
          <w:rFonts w:ascii="Times New Roman;Times;Serif" w:hAnsi="Times New Roman;Times;Serif"/>
          <w:b/>
          <w:i w:val="false"/>
          <w:caps w:val="false"/>
          <w:smallCaps w:val="false"/>
          <w:sz w:val="20"/>
        </w:rPr>
        <w:t>Memorandum in Support</w:t>
      </w:r>
      <w:r>
        <w:rPr>
          <w:rFonts w:ascii="Times New Roman;Times;Serif" w:hAnsi="Times New Roman;Times;Serif"/>
          <w:b w:val="false"/>
          <w:i w:val="false"/>
          <w:caps w:val="false"/>
          <w:smallCaps w:val="false"/>
          <w:sz w:val="20"/>
        </w:rPr>
        <w:t>”) of the Dispositive Motion. Within seven (7) calendar days of delivery of the Memorandum in Support, the other party shall deliver to the arbitrator and to the other party a memorandum in opposition to the Memorandum in Support (the “</w:t>
      </w:r>
      <w:r>
        <w:rPr>
          <w:rFonts w:ascii="Times New Roman;Times;Serif" w:hAnsi="Times New Roman;Times;Serif"/>
          <w:b/>
          <w:i w:val="false"/>
          <w:caps w:val="false"/>
          <w:smallCaps w:val="false"/>
          <w:sz w:val="20"/>
        </w:rPr>
        <w:t>Memorandum in Opposition</w:t>
      </w:r>
      <w:r>
        <w:rPr>
          <w:rFonts w:ascii="Times New Roman;Times;Serif" w:hAnsi="Times New Roman;Times;Serif"/>
          <w:b w:val="false"/>
          <w:i w:val="false"/>
          <w:caps w:val="false"/>
          <w:smallCaps w:val="false"/>
          <w:sz w:val="20"/>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Times;Serif" w:hAnsi="Times New Roman;Times;Serif"/>
          <w:b/>
          <w:i w:val="false"/>
          <w:caps w:val="false"/>
          <w:smallCaps w:val="false"/>
          <w:sz w:val="20"/>
        </w:rPr>
        <w:t>Reply Memorandum</w:t>
      </w:r>
      <w:r>
        <w:rPr>
          <w:rFonts w:ascii="Times New Roman;Times;Serif" w:hAnsi="Times New Roman;Times;Serif"/>
          <w:b w:val="false"/>
          <w:i w:val="false"/>
          <w:caps w:val="false"/>
          <w:smallCaps w:val="false"/>
          <w:sz w:val="20"/>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ind w:left="0" w:right="0" w:hanging="0"/>
        <w:jc w:val="left"/>
        <w:rPr/>
      </w:pPr>
      <w:r>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caps w:val="false"/>
          <w:smallCaps w:val="false"/>
          <w:sz w:val="20"/>
        </w:rPr>
        <w:t>Authorization; Timing; Scheduling Order</w:t>
      </w:r>
      <w:r>
        <w:rPr>
          <w:rFonts w:ascii="Times New Roman;Times;Serif" w:hAnsi="Times New Roman;Times;Serif"/>
          <w:b w:val="false"/>
          <w:i w:val="false"/>
          <w:caps w:val="false"/>
          <w:smallCaps w:val="false"/>
          <w:sz w:val="20"/>
        </w:rPr>
        <w:t>. Subject to all other portions of these Arbitration Provisions, the parties hereby authorize and direct the arbitrator to take such actions and make such rulings as may be necessary to carry out the parties’ intent for the Arbitration proceedings to be efficient and expeditious. The parties hereby agree that an Arbitration Award must be made within one hundred twenty (120) calendar days after the Arbitration Commencement Date.</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caps w:val="false"/>
          <w:smallCaps w:val="false"/>
          <w:sz w:val="20"/>
        </w:rPr>
        <w:t>Relief</w:t>
      </w:r>
      <w:r>
        <w:rPr>
          <w:rFonts w:ascii="Times New Roman;Times;Serif" w:hAnsi="Times New Roman;Times;Serif"/>
          <w:b w:val="false"/>
          <w:i w:val="false"/>
          <w:caps w:val="false"/>
          <w:smallCaps w:val="false"/>
          <w:sz w:val="20"/>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Arbitration Appeal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caps w:val="false"/>
          <w:smallCaps w:val="false"/>
          <w:sz w:val="20"/>
        </w:rPr>
        <w:t>Initiation of Appeal.</w:t>
      </w:r>
      <w:r>
        <w:rPr>
          <w:rFonts w:ascii="Times New Roman;Times;Serif" w:hAnsi="Times New Roman;Times;Serif"/>
          <w:b w:val="false"/>
          <w:i w:val="false"/>
          <w:caps w:val="false"/>
          <w:smallCaps w:val="false"/>
          <w:sz w:val="20"/>
        </w:rPr>
        <w:t xml:space="preserve"> Following the entry of the Arbitration Award, either party (the “</w:t>
      </w:r>
      <w:r>
        <w:rPr>
          <w:rFonts w:ascii="Times New Roman;Times;Serif" w:hAnsi="Times New Roman;Times;Serif"/>
          <w:b/>
          <w:i w:val="false"/>
          <w:caps w:val="false"/>
          <w:smallCaps w:val="false"/>
          <w:sz w:val="20"/>
        </w:rPr>
        <w:t>Appellant</w:t>
      </w:r>
      <w:r>
        <w:rPr>
          <w:rFonts w:ascii="Times New Roman;Times;Serif" w:hAnsi="Times New Roman;Times;Serif"/>
          <w:b w:val="false"/>
          <w:i w:val="false"/>
          <w:caps w:val="false"/>
          <w:smallCaps w:val="false"/>
          <w:sz w:val="20"/>
        </w:rPr>
        <w:t>”) shall have a period of thirty (30) calendar days in which to notify the other party (the “</w:t>
      </w:r>
      <w:r>
        <w:rPr>
          <w:rFonts w:ascii="Times New Roman;Times;Serif" w:hAnsi="Times New Roman;Times;Serif"/>
          <w:b/>
          <w:i w:val="false"/>
          <w:caps w:val="false"/>
          <w:smallCaps w:val="false"/>
          <w:sz w:val="20"/>
        </w:rPr>
        <w:t>Appellee</w:t>
      </w:r>
      <w:r>
        <w:rPr>
          <w:rFonts w:ascii="Times New Roman;Times;Serif" w:hAnsi="Times New Roman;Times;Serif"/>
          <w:b w:val="false"/>
          <w:i w:val="false"/>
          <w:caps w:val="false"/>
          <w:smallCaps w:val="false"/>
          <w:sz w:val="20"/>
        </w:rPr>
        <w:t>”), in writing, that the Appellant elects to appeal (the “</w:t>
      </w:r>
      <w:r>
        <w:rPr>
          <w:rFonts w:ascii="Times New Roman;Times;Serif" w:hAnsi="Times New Roman;Times;Serif"/>
          <w:b/>
          <w:i w:val="false"/>
          <w:caps w:val="false"/>
          <w:smallCaps w:val="false"/>
          <w:sz w:val="20"/>
        </w:rPr>
        <w:t>Appeal</w:t>
      </w:r>
      <w:r>
        <w:rPr>
          <w:rFonts w:ascii="Times New Roman;Times;Serif" w:hAnsi="Times New Roman;Times;Serif"/>
          <w:b w:val="false"/>
          <w:i w:val="false"/>
          <w:caps w:val="false"/>
          <w:smallCaps w:val="false"/>
          <w:sz w:val="20"/>
        </w:rPr>
        <w:t>”) the Arbitration Award (such notice, an “</w:t>
      </w:r>
      <w:r>
        <w:rPr>
          <w:rFonts w:ascii="Times New Roman;Times;Serif" w:hAnsi="Times New Roman;Times;Serif"/>
          <w:b/>
          <w:i w:val="false"/>
          <w:caps w:val="false"/>
          <w:smallCaps w:val="false"/>
          <w:sz w:val="20"/>
        </w:rPr>
        <w:t>Appeal Notice</w:t>
      </w:r>
      <w:r>
        <w:rPr>
          <w:rFonts w:ascii="Times New Roman;Times;Serif" w:hAnsi="Times New Roman;Times;Serif"/>
          <w:b w:val="false"/>
          <w:i w:val="false"/>
          <w:caps w:val="false"/>
          <w:smallCaps w:val="false"/>
          <w:sz w:val="20"/>
        </w:rPr>
        <w:t>”) to a panel of arbitrators in accordance with the Arbitration Act.</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xml:space="preserve"> 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Except as otherwise expressly provided for in these Arbitration Provisions, these Arbitration Provisions shall be governed by the laws of the State of Delaware without regard to the conflict of laws principles therein.</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headings of these Arbitration Provisions are for convenience of reference only and shall not form part of, or affect the interpretation of, these Arbitration Provisions.</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caps w:val="false"/>
          <w:smallCaps w:val="false"/>
          <w:sz w:val="20"/>
        </w:rPr>
        <w:t>Waiver</w:t>
      </w:r>
      <w:r>
        <w:rPr>
          <w:rFonts w:ascii="Times New Roman;Times;Serif" w:hAnsi="Times New Roman;Times;Serif"/>
          <w:b w:val="false"/>
          <w:i w:val="false"/>
          <w:caps w:val="false"/>
          <w:smallCaps w:val="false"/>
          <w:sz w:val="20"/>
        </w:rPr>
        <w:t>. No waiver of any provision of these Arbitration Provisions shall be effective unless it is in the form of a writing signed by the party granting the waiver.</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caps w:val="false"/>
          <w:smallCaps w:val="false"/>
          <w:sz w:val="20"/>
        </w:rPr>
        <w:t>Time is of the Essence</w:t>
      </w:r>
      <w:r>
        <w:rPr>
          <w:rFonts w:ascii="Times New Roman;Times;Serif" w:hAnsi="Times New Roman;Times;Serif"/>
          <w:b w:val="false"/>
          <w:i w:val="false"/>
          <w:caps w:val="false"/>
          <w:smallCaps w:val="false"/>
          <w:sz w:val="20"/>
        </w:rPr>
        <w:t>. Time is expressly made of the essence with respect to each and every provision of these Arbitration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53" w:name="ea030132501ex10-46.htm"/>
      <w:bookmarkStart w:id="54" w:name="ksea030132501ex1046"/>
      <w:bookmarkEnd w:id="53"/>
      <w:bookmarkEnd w:id="54"/>
      <w:r>
        <w:rPr>
          <w:b/>
        </w:rPr>
        <w:t>Exhibit 10.46</w:t>
      </w:r>
      <w:r>
        <w:br w:type="page"/>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OR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367"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4790"/>
        <w:gridCol w:w="2660"/>
      </w:tblGrid>
      <w:tr>
        <w:trPr/>
        <w:tc>
          <w:tcPr>
            <w:tcW w:w="4790" w:type="dxa"/>
            <w:tcBorders/>
            <w:vAlign w:val="center"/>
          </w:tcPr>
          <w:p>
            <w:pPr>
              <w:pStyle w:val="TableContents"/>
              <w:bidi w:val="0"/>
              <w:spacing w:before="0" w:after="283"/>
              <w:jc w:val="left"/>
              <w:rPr>
                <w:b/>
              </w:rPr>
            </w:pPr>
            <w:r>
              <w:rPr>
                <w:b/>
              </w:rPr>
              <w:t>Principal Amount: $200,000.00</w:t>
            </w:r>
          </w:p>
        </w:tc>
        <w:tc>
          <w:tcPr>
            <w:tcW w:w="2660" w:type="dxa"/>
            <w:tcBorders/>
            <w:vAlign w:val="center"/>
          </w:tcPr>
          <w:p>
            <w:pPr>
              <w:pStyle w:val="TableContents"/>
              <w:bidi w:val="0"/>
              <w:spacing w:before="0" w:after="283"/>
              <w:jc w:val="right"/>
              <w:rPr>
                <w:b/>
              </w:rPr>
            </w:pPr>
            <w:r>
              <w:rPr>
                <w:b/>
              </w:rPr>
              <w:t>Issue Date: April 14, 2026</w:t>
            </w:r>
          </w:p>
        </w:tc>
      </w:tr>
      <w:tr>
        <w:trPr/>
        <w:tc>
          <w:tcPr>
            <w:tcW w:w="4790" w:type="dxa"/>
            <w:tcBorders/>
            <w:vAlign w:val="center"/>
          </w:tcPr>
          <w:p>
            <w:pPr>
              <w:pStyle w:val="TableContents"/>
              <w:bidi w:val="0"/>
              <w:spacing w:before="0" w:after="283"/>
              <w:jc w:val="left"/>
              <w:rPr>
                <w:b/>
              </w:rPr>
            </w:pPr>
            <w:r>
              <w:rPr>
                <w:b/>
              </w:rPr>
              <w:t>Actual Amount of Purchase Price: $180,000.00</w:t>
            </w:r>
          </w:p>
        </w:tc>
        <w:tc>
          <w:tcPr>
            <w:tcW w:w="2660" w:type="dxa"/>
            <w:tcBorders/>
            <w:vAlign w:val="center"/>
          </w:tcPr>
          <w:p>
            <w:pPr>
              <w:pStyle w:val="TableContents"/>
              <w:bidi w:val="0"/>
              <w:spacing w:before="0" w:after="283"/>
              <w:jc w:val="right"/>
              <w:rPr/>
            </w:pPr>
            <w:r>
              <w:rPr/>
              <w:t> </w:t>
            </w:r>
          </w:p>
        </w:tc>
      </w:tr>
    </w:tbl>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(hereinafter called the “Borrower” or the “Company”), hereby promises to pay to the order of </w:t>
      </w:r>
      <w:r>
        <w:rPr>
          <w:rFonts w:ascii="Times New Roman;Times;Serif" w:hAnsi="Times New Roman;Times;Serif"/>
          <w:b/>
          <w:i w:val="false"/>
          <w:caps w:val="false"/>
          <w:smallCaps w:val="false"/>
          <w:sz w:val="20"/>
        </w:rPr>
        <w:t>PACIFIC PIER CAPITAL II, LP</w:t>
      </w:r>
      <w:r>
        <w:rPr>
          <w:rFonts w:ascii="Times New Roman;Times;Serif" w:hAnsi="Times New Roman;Times;Serif"/>
          <w:b w:val="false"/>
          <w:i w:val="false"/>
          <w:caps w:val="false"/>
          <w:smallCaps w:val="false"/>
          <w:sz w:val="20"/>
        </w:rPr>
        <w:t>, a Delaware limited partnership, or registered assigns (the “Holder”), in the form of lawful money of the United States of America, the principal sum of $200,000.00 (the “Principal Amount”) (subject to adjustment herein), which includes the purchase price of $180,000.00 plus an original issue discount in the amount of $20,000.00 (the “OID”), and to pay a one-time interest charge on the Principal Amount hereof at the rate of ten percent (10%) (the “Interest Rate”) (which is equal to $20,000.00 and shall be guaranteed and earned in full as of the date hereof (the “Issue Date”)), when such amounts become due and payable, whether at maturity or upon acceleration or by prepayment or otherwise, as further provided herein. The maturity date shall be twelve (12) months from the Issue Date (the “Maturity Date”), and is the date upon which the Principal Amount (which includes the OID) and any accrued and unpaid interest and other fees, shall be due and payable.</w:t>
      </w:r>
    </w:p>
    <w:p>
      <w:pPr>
        <w:pStyle w:val="TextBody"/>
        <w:bidi w:val="0"/>
        <w:spacing w:before="0" w:after="0"/>
        <w:ind w:left="1077"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prepaid or repaid in whole or in part except as otherwise explicitly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Principal Amount or interest on this Note which is not paid when due shall bear interest at the rate of the lesser of (i) sixteen percent (16%) per annum and (ii) the maximum amount permitted by law from the due date thereof until the same is paid (“Default Interest”). Interest and Default Interest shall be computed on the basis of a 365-day year and the actual number of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(to the extent not converted into Class A ordinary shares of the Borrower, no par value per share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herein, and not otherwise defined, shall have the meaning ascribed thereto in that certain Securities Purchase Agreement, dated as of the Issue Date, pursuant to which this Note was originally issued (the “Purchase Agreement”). As used in this Note, the term “business day” shall mean any day other than a Saturday, Sunday or a day on which commercial banks in the city of New York, New York are authorized or required by law or executive order to remain closed. As used herein, the term “Trading Day” means any day that shares of Common Stock are listed for trading or quotation on the Principal Market (as defined in the Purchase Agreement), provided, however, that if the Common Stock is not then listed or quoted on any Principal Market, then any calendar day.</w:t>
      </w:r>
    </w:p>
    <w:p>
      <w:pPr>
        <w:pStyle w:val="TextBody"/>
        <w:bidi w:val="0"/>
        <w:spacing w:before="0" w:after="0"/>
        <w:ind w:left="360" w:right="0" w:firstLine="718"/>
        <w:jc w:val="both"/>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also apply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xml:space="preserve"> The Holder shall have the right, on any calendar day, at any time on or following the date that is one hundred eighty (180) calendar days after the Issue Date, to convert all or any portion of the then outstanding and unpaid Principal Amount and interest (including any Default Interest)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determined as provided herein (a “Conversion”), by submitting to the Borrower a Notice of Conversion (as defined in this Note) by facsimile, e-mail or other reasonable means of communication dispatched on the Conversion Date (as defined in this Note) prior to 11:59 p.m., New York, New York time;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notwithstanding anything to the contrary contained herein, the Holder shall not have the right to convert any portion of this Note, pursuant to Section 1 or otherwise, to the extent that after giving effect to such issuance after conversion as set forth on the applicable Notice of Conversion, the Holder (together with the Holder’s affiliates (the “Affiliates”), and any other Persons (as defined below)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nonconverted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Securities Exchange Act of 1934, as amended (the “1934 Act”) and the rules and regulations promulgated thereunder, it being acknowledged by the Holder that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Section 1.1,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“Beneficial Ownership Limitation” shall be 4.99% of the number of shares of the Common Stock outstanding at the time of the respective calculation hereunder, provided, however, that the Holder may from time to time increase or decrease the Beneficial Ownership Limitation to any other percentage not in excess of 9.99% by delivering written notice of such to the Company, with such increase or decrease not effective until the sixty-first (61st) day after delivery of such written notice. “Person” and “Persons” means an individual, a limited liability company, a partnership, a joint venture, a corporation, a trust, an unincorporated organization, any other entity and any governmental entity or any department or agency thereof. The limitations contained in this paragraph shall apply to a successor holder of this Note. The number of Conversion Shares to be issued upon each conversion of this Note shall be determined by dividing the Conversion Amount (as defined below) by the applicable Conversion Price then in effect on the date specified in the notice of conversion,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“Notice of Conversion”), delivered to the Borrower by the Holder in accordance with the terms of this Note; provided that the Notice of Conversion is submitted by facsimile or e-mail (or by other means resulting in, or reasonably expected to result in, notice) to the Borrower before 11:59 p.m., New York, New York time on such conversion date (the “Conversion Date”). The term “Conversion Amount”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 to the Conversion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at the Holder’s option, Default Interest, if any, on the amounts referred to in the immediately preceding clauses (1) and/or (2).</w:t>
      </w:r>
    </w:p>
    <w:p>
      <w:pPr>
        <w:pStyle w:val="TextBody"/>
        <w:bidi w:val="0"/>
        <w:spacing w:before="0" w:after="0"/>
        <w:ind w:left="2095" w:right="0" w:hanging="297"/>
        <w:jc w:val="left"/>
        <w:rPr>
          <w:caps w:val="false"/>
          <w:smallCaps w:val="false"/>
        </w:rPr>
      </w:pPr>
      <w:r>
        <w:rPr>
          <w:caps w:val="false"/>
          <w:smallCaps w:val="false"/>
        </w:rPr>
        <w:t> </w:t>
      </w:r>
    </w:p>
    <w:p>
      <w:pPr>
        <w:pStyle w:val="TextBody"/>
        <w:bidi w:val="0"/>
        <w:spacing w:before="0" w:after="0"/>
        <w:ind w:left="2095" w:right="0" w:hanging="297"/>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2095" w:right="0" w:hanging="297"/>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32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1730" w:type="dxa"/>
            <w:tcBorders/>
            <w:vAlign w:val="center"/>
          </w:tcPr>
          <w:p>
            <w:pPr>
              <w:pStyle w:val="TableContents"/>
              <w:bidi w:val="0"/>
              <w:spacing w:before="0" w:after="283"/>
              <w:jc w:val="left"/>
              <w:rPr>
                <w:u w:val="single"/>
              </w:rPr>
            </w:pPr>
            <w:r>
              <w:rPr>
                <w:u w:val="single"/>
              </w:rPr>
              <w:t>Conversion Price.</w:t>
            </w:r>
          </w:p>
        </w:tc>
      </w:tr>
    </w:tbl>
    <w:p>
      <w:pPr>
        <w:pStyle w:val="TextBody"/>
        <w:bidi w:val="0"/>
        <w:spacing w:before="0" w:after="0"/>
        <w:ind w:left="358"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Calculation of Conversion Price.</w:t>
      </w:r>
      <w:r>
        <w:rPr>
          <w:rFonts w:ascii="Times New Roman;Times;Serif" w:hAnsi="Times New Roman;Times;Serif"/>
          <w:b w:val="false"/>
          <w:i w:val="false"/>
          <w:caps w:val="false"/>
          <w:smallCaps w:val="false"/>
          <w:sz w:val="20"/>
        </w:rPr>
        <w:t xml:space="preserve"> The per share conversion price into which Principal Amount and interest (including any Default Interest) under this Note shall be convertible into shares of Common Stock hereunder as further described in this Note (the “Conversion Price”) shall equal the Market Price (as defined in this Note), subject to adjustment as provided in this Note. “Market Price” shall mean 75% of the lowest traded price of the Common Stock on the Principal Market during the ten (10) Trading Day period immediately preceding the respective Conversion Date, provided, however, that at all times on and after the date that an Event of Default (as defined in this Note) occurs under this Note, Market Price shall instead mean 70% of the lowest traded price of the Common Stock on the Principal Market on any Trading Day during the fifteen (15) Trading Days prior to the respective Conversion Date.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“Additional Principal”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Holder shall be entitled to deduct $1,200.00 from the conversion amount of not less than $50,000 in each Notice of Conversion to cover Holder’s fees associated with each Notice of Conversion. All such Conversion Price determinations are to be appropriately adjusted for any stock dividend, stock split, stock combination, rights offerings, reclassification or similar transaction that proportionately decreases or increases the Common Stock. If the Company, at any time while this Note is outstanding: (i) pays a stock dividend or otherwise makes a distribution or distributions payable in shares of Common Stock on shares of Common Stock or any Common Stock Equivalents,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Price shall be multiplied by a fraction of which the numerator shall be the number of shares of Common Stock (excluding any treasury shares of the Company) outstanding immediately before such event, and of which the denominator shall be the number of shares of Common Stock outstanding immediately after such event. Any adjustment made pursuant to the immediately preceding sentence shall become effective immediately after the record date for the determination of shareholders entitled to receive such dividend or distribution and shall become effective immediately after the effective date in the case of a subdivision, combination or re-classification. “Common Stock Equivalents” means any securities of the Company or the Company’s Subsidiaries (as defined in the Purchase Agreement)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358"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while this Note is outstanding, with the prior written consent of the Holder, reduce the then applicable Conversion Price to any amount and for any period of time deemed appropriate by the Board of Directors of the Company. For the avoidance of doubt, the Holder shall not be required to effectuate such conversion in the event of any reduction in Conversion Price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and Reserved Shares.</w:t>
      </w:r>
      <w:r>
        <w:rPr>
          <w:rFonts w:ascii="Times New Roman;Times;Serif" w:hAnsi="Times New Roman;Times;Serif"/>
          <w:b w:val="false"/>
          <w:i w:val="false"/>
          <w:caps w:val="false"/>
          <w:smallCaps w:val="false"/>
          <w:sz w:val="20"/>
        </w:rPr>
        <w:t xml:space="preserve"> The Borrower shall use commercially reasonable endeavors to ensure that at all times beginning on the Issue Date and continuing until the Note is extinguished in the entirety, the Borrower will reserve from its authorized and unissued Common Stock a sufficient number of shares, free from preemptive rights, to provide for the issuance of a number of Conversion Shares equal to the greater of: (a) 1,000,000 shares of Common Stock or (b) the sum of (i) the number of Conversion Shares issuable upon the full conversion of this Note at a conversion price equal to the Conversion Price (assuming no payment of Principal Amount or interest)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(ii) three (3) (the “Reserved Amount”). For the avoidance of doubt, the Reserved Amount shall be required to be reserved by the Borrower pursuant to this Section even if the Note is not yet convertible into Common Stock by the Holder under Section 1.1 of this Note. The Borrower represents that upon issuance, the Conversion Shares will be duly and validly issued, fully paid, as applicable, and non-assessable. The Borrower (i) acknowledges that it has irrevocably instructed its transfer agent to issue certificates for the Conversion Shares or instructions to have the Conversion Shares issued as contemplated by Section 1.4(e) hereof, and (ii) agrees that its issuance of this Note shall constitute full authority to its officers and agents who are charged with the duty of executing stock certificates or cause the Company to electronically issue shares of Common Stock to execute and issue the necessary certificates for the Conversion Shares or cause the Conversion Shares to be issued as contemplated by Section 1.4(e) hereof in accordance with the terms and conditions of this Note.</w:t>
      </w:r>
    </w:p>
    <w:p>
      <w:pPr>
        <w:pStyle w:val="TextBody"/>
        <w:bidi w:val="0"/>
        <w:spacing w:before="0" w:after="0"/>
        <w:ind w:left="2095" w:right="0" w:hanging="297"/>
        <w:jc w:val="left"/>
        <w:rPr>
          <w:caps w:val="false"/>
          <w:smallCaps w:val="false"/>
        </w:rPr>
      </w:pPr>
      <w:r>
        <w:rPr>
          <w:caps w:val="false"/>
          <w:smallCaps w:val="false"/>
        </w:rPr>
        <w:t> </w:t>
      </w:r>
    </w:p>
    <w:p>
      <w:pPr>
        <w:pStyle w:val="TextBody"/>
        <w:bidi w:val="0"/>
        <w:spacing w:before="0" w:after="0"/>
        <w:ind w:left="2095" w:right="0" w:hanging="297"/>
        <w:jc w:val="center"/>
        <w:rPr>
          <w:sz w:val="20"/>
          <w:bdr w:val="single" w:sz="12" w:space="1" w:color="000000"/>
        </w:rPr>
      </w:pPr>
      <w:r>
        <w:rPr>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2095" w:right="0" w:hanging="297"/>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32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2240" w:type="dxa"/>
            <w:tcBorders/>
            <w:vAlign w:val="center"/>
          </w:tcPr>
          <w:p>
            <w:pPr>
              <w:pStyle w:val="TableContents"/>
              <w:bidi w:val="0"/>
              <w:spacing w:before="0" w:after="283"/>
              <w:jc w:val="left"/>
              <w:rPr>
                <w:u w:val="single"/>
              </w:rPr>
            </w:pPr>
            <w:r>
              <w:rPr>
                <w:u w:val="single"/>
              </w:rPr>
              <w:t>Method of Conversion.</w:t>
            </w:r>
          </w:p>
        </w:tc>
      </w:tr>
    </w:tbl>
    <w:p>
      <w:pPr>
        <w:pStyle w:val="TextBody"/>
        <w:bidi w:val="0"/>
        <w:spacing w:before="0" w:after="0"/>
        <w:ind w:left="36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xml:space="preserve"> Notwithstanding anything to the contrary set forth herein, upon conversion of this Note in accordance with the terms hereof, the Holder shall not be required to physically surrender this Note to the Borrower unless the entire unpaid Principal Amount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rFonts w:ascii="Times New Roman;Times;Serif" w:hAnsi="Times New Roman;Times;Serif"/>
          <w:b w:val="false"/>
          <w:i/>
          <w:caps w:val="false"/>
          <w:smallCaps w:val="false"/>
          <w:sz w:val="20"/>
        </w:rPr>
        <w:t xml:space="preserve">prima facie, </w:t>
      </w:r>
      <w:r>
        <w:rPr>
          <w:rFonts w:ascii="Times New Roman;Times;Serif" w:hAnsi="Times New Roman;Times;Serif"/>
          <w:b w:val="false"/>
          <w:i w:val="false"/>
          <w:caps w:val="false"/>
          <w:smallCaps w:val="false"/>
          <w:sz w:val="20"/>
        </w:rPr>
        <w:t>be controlling and determinative in the absence of manifest error.</w:t>
      </w:r>
    </w:p>
    <w:p>
      <w:pPr>
        <w:pStyle w:val="TextBody"/>
        <w:bidi w:val="0"/>
        <w:spacing w:before="0" w:after="0"/>
        <w:ind w:left="36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Borrower shall not be required to pay any tax which may be payable in respect of any transfer involved in the issue and delivery of shares of Common Stock or other securities or property on conversion of this Note in a name other than that of the Holder (or in street name), and the Borrower shall not be required to issue or deliver any such shares or other securities or property unless and until the person or persons (other than the Holder or the custodian in whose street name such shares are to be held for the Holder’s account) requesting the issuance thereof shall have paid to the Borrower the amount of any such tax or shall have established to the satisfaction of the Borrower that such tax has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Common Stock Upon Conversion</w:t>
      </w:r>
      <w:r>
        <w:rPr>
          <w:rFonts w:ascii="Times New Roman;Times;Serif" w:hAnsi="Times New Roman;Times;Serif"/>
          <w:b w:val="false"/>
          <w:i w:val="false"/>
          <w:caps w:val="false"/>
          <w:smallCaps w:val="false"/>
          <w:sz w:val="20"/>
        </w:rPr>
        <w:t>. Upon receipt by the Borrower from the Holder of an e-mail (or other reasonable means of communication) of a Notice of Conversion meeting the requirements for conversion as provided in this Section 1.4, the Borrower shall issue and deliver or cause to be issued and delivered to or upon the order of the Holder certificates for the Conversion Shares (or cause the electronic delivery of the Conversion Shares as contemplated by Section 1.4(e) hereof) within one (1) Trading Day after such receipt (the “Deadline”) (and, solely in the case of conversion of the entire unpaid Principal Amount and interest (including any Default Interest) under this Note, surrender of this Note). If the Company shall fail for any reason or for no reason to issue to the Holder on or prior to the Deadline a certificate for the number of Conversion Shares or to which the Holder is entitled hereunder and register such Conversion Shares on the Company’s share register or to credit the Holder’s balance account with DTC (as defined below) for such number of Conversion Shares to which the Holder is entitled upon the Holder’s conversion of this Note (a “Conversion Failure”), then, in addition to all other remedies available to the Holder, (i) the Company shall pay in cash to the Holder on each day after the Deadline and during such Conversion Failure an amount equal to 2.0% of the product of (A) the sum of the number of Conversion Shares not issued to the Holder on or prior to the Deadline and to which the Holder is entitled and (B) the closing sale price of the Common Stock on the Trading Day immediately preceding the last possible date which the Company could have issued such Conversion Shares to the Holder without violating this Section 1.4(c); and (ii) the Holder, upon written notice to the Company, may void all or any portion of such Notice of Conversion; provided that the voiding of all or any portion of a Notice of Conversion shall not affect the Company’s obligations to make any payments which have accrued prior to the date of such notice. In addition to the foregoing, if on or prior to the Deadline the Company shall fail to issue and deliver a certificate to the Holder and register such Conversion Shares on the Company’s share register or credit the Holder’s balance account with DTC for the number of Conversion Shares to which the Holder is entitled upon the Holder’s exercise hereunder or pursuant to the Company’s obligation pursuant to clause (ii) below, and if on or after such Trading Day the Holder purchases (in an open market transaction or otherwise) shares of Common Stock to deliver in satisfaction of a sale by the Holder of shares of Common Stock issuable upon such exercise that the Holder anticipated receiving from the Company, then the Company shall, within two (2) Trading Days after the Holder’s request and in the Holder’s discretion, either (i) pay cash to the Holder in an amount equal to the Holder’s total purchase price (including brokerage commissions and other reasonable and customary out-of-pocket expenses, if any) for the shares of Common Stock so purchased (the “Buy-In Price”), at which point the Company’s obligation to deliver such certificate (and to issue such Conversion Shares) or credit such Holder’s balance account with DTC for such Conversion Shares shall terminate, or (ii) promptly honor its obligation to deliver to the Holder a certificate or certificates representing such Conversion Shares or credit such Holder’s balance account with DTC and pay cash to the Holder in an amount equal to the excess (if any) of the Buy-In Price over the product of (A) such number of shares of Common Stock, times (B) the closing sales price of the Common Stock on the date of exercise.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Conversion Shares (or to electronically deliver such Conversion Shares) upon the conversion of this Note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Obligation of Borrower to Deliver Common Stock.</w:t>
      </w:r>
      <w:r>
        <w:rPr>
          <w:rFonts w:ascii="Times New Roman;Times;Serif" w:hAnsi="Times New Roman;Times;Serif"/>
          <w:b w:val="false"/>
          <w:i w:val="false"/>
          <w:caps w:val="false"/>
          <w:smallCaps w:val="false"/>
          <w:sz w:val="20"/>
        </w:rPr>
        <w:t xml:space="preserve"> At the time that the Holder submits the Notice of Conversion to the Borrower, the Holder shall be deemed to be the holder of record of the Conversion Shares issuable upon such conversion, the outstanding Principal Amount and the amount of accrued and unpaid interest (including any Default Interest) under this Note shall be reduced to reflect such conversion, and, unless the Borrower defaults on its obligations under this Article I,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the Conversion Shares (or cause the electronic delivery of the Conversion Shares as contemplated by Section 1.4(e) hereof)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sent to the Borrower before 11:59 p.m., New York, New York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Conversion Shares by Electronic Transfer</w:t>
      </w:r>
      <w:r>
        <w:rPr>
          <w:rFonts w:ascii="Times New Roman;Times;Serif" w:hAnsi="Times New Roman;Times;Serif"/>
          <w:b w:val="false"/>
          <w:i w:val="false"/>
          <w:caps w:val="false"/>
          <w:smallCaps w:val="false"/>
          <w:sz w:val="20"/>
        </w:rPr>
        <w:t>. In lieu of delivering physical certificates representing the Conversion Shares issuable upon conversion hereof, provided the Borrower is participating in the Depository Trust Company (“DTC”) Fast Automated Securities Transfer or Deposit/Withdrawal at Custodian programs, upon request of the Holder and its compliance with the provisions contained in Section 1.1 and in this Section 1.4, the Borrower shall use its best efforts to cause its transfer agent to electronically transmit the Conversion Shares issuable upon conversion hereof to the Holder by crediting the account of Holder’s Prime Broker with DTC through its Deposit Withdrawal Agent Commission system.</w:t>
      </w:r>
    </w:p>
    <w:p>
      <w:pPr>
        <w:pStyle w:val="TextBody"/>
        <w:bidi w:val="0"/>
        <w:spacing w:before="0" w:after="0"/>
        <w:ind w:left="358"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Conversion Shares issuable upon conversion of this Note may not be sold or transferred unless (i) such shares are sold pursuant to an effective registration statement under the 1933 Act or (ii) the Borrower or its transfer agent shall have been furnished with an opinion of counsel (which opinion shall be the Legal Counsel Opinion (as defined in the Purchase Agreement)) to the effect that the shares to be sold or transferred may be sold or transferred pursuant to an exemption from such registration or (iii) such shares are sold or transferred pursuant to Rule 144, Rule 144A, Regulation S, or other applicable exemption, or (iv) such shares are transferred to an “affiliate” (as defined in Rule 144) of the Borrower who agrees to sell or otherwise transfer the shares only in accordance with this Section 1.5 and who is an Accredited Investor (as defined in the Purchase Agreement). Except as otherwise provided in the Purchase Agreement (and subject to the removal provisions set forth below), until such time as the Conversion Shares have been registered under the 1933 Act or otherwise may be sold pursuant to Rule 144, Rule 144A, Regulation S, or other applicable exemption without any restriction as to the number of securities as of a particular date that can then be immediately sold, each certificate for the Conversion Shares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both"/>
              <w:rPr/>
            </w:pPr>
            <w:r>
              <w:rPr/>
              <w:t>“</w:t>
            </w:r>
            <w:r>
              <w:rPr>
                <w:b/>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REGULATION S UNDER SAID ACT, OR OTHER APPLICABLE EXEMPTION. NOTWITHSTANDING THE FOREGOING, THE SECURITIES MAY BE PLEDGED IN CONNECTION WITH A BONA FIDE MARGIN ACCOUNT OR OTHER LOAN OR FINANCING ARRANGEMENT SECURED BY THE SECURITIES.”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to the Holder a certificate for the applicable Conversion Shares without such legend upon which it is stamped or (as requested by the Holder) issue the applicable Conversion Shares by electronic delivery by crediting the account of such holder’s broker with DTC, if, unless otherwise required by applicable state securities laws: (a) such Conversion Shares are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Holder provides the Legal Counsel Opinion (as contemplated by and in accordance with Section 4(l) of the Purchase Agreement) to the effect that a public sale or transfer of such Conversion Shares may be made without registration under the 1933 Act, which opinion shall be accepted by the Company so that the sale or transfer is effected. The Company shall be responsible for the fees of its transfer agent and all DTC fees associated with any such issuance. The Holder agrees to sell all Conversion Shares, including those represented by a certificate(s) from which the legend has been removed, in compliance with applicable prospectus delivery requirements, if any. In the event that the Company does not accept the opinion of counsel provided by the Holder with respect to the transfer of Conversion Shares pursuant to an exemption from registration, such as Rule 144, Rule 144A, Regulation S, or other applicable exemption, at the Deadline, notwithstanding that the conditions of Rule 144, Rule 144A, Regulation S, or other applicable exemption, as applicable, have been met, it will be considered an Event of Default under this Note.</w:t>
      </w:r>
    </w:p>
    <w:p>
      <w:pPr>
        <w:pStyle w:val="TextBody"/>
        <w:bidi w:val="0"/>
        <w:spacing w:before="0" w:after="0"/>
        <w:ind w:left="2095" w:right="0" w:hanging="297"/>
        <w:jc w:val="left"/>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32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1.6</w:t>
            </w:r>
          </w:p>
        </w:tc>
        <w:tc>
          <w:tcPr>
            <w:tcW w:w="2375" w:type="dxa"/>
            <w:tcBorders/>
            <w:vAlign w:val="center"/>
          </w:tcPr>
          <w:p>
            <w:pPr>
              <w:pStyle w:val="TableContents"/>
              <w:bidi w:val="0"/>
              <w:spacing w:before="0" w:after="283"/>
              <w:jc w:val="left"/>
              <w:rPr>
                <w:u w:val="single"/>
              </w:rPr>
            </w:pPr>
            <w:r>
              <w:rPr>
                <w:u w:val="single"/>
              </w:rPr>
              <w:t>Effect of Certain Events.</w:t>
            </w:r>
          </w:p>
        </w:tc>
      </w:tr>
    </w:tbl>
    <w:p>
      <w:pPr>
        <w:pStyle w:val="TextBody"/>
        <w:bidi w:val="0"/>
        <w:spacing w:before="0" w:after="0"/>
        <w:ind w:left="36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At the option of the Holder, the sale, conveyance or disposition of all or substantially all of the assets of the Borrower, or the consolidation, merger or other business combination of the Borrower with or into any other Person (as defined below) or Persons when the Borrower is not the survivor shall be treated pursuant to Section 1.6(b) hereof. “Person” shall mean any individual, corporation, limited liability company, partnership, association, trust or other entity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this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(each a “Fundamental Transaction”),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effectuate any transaction described in this Section 1.6(b) unless (a) it first gives, to the extent practicable, at least twenty (20) days prior written notice (but in any event at least ten (10)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(b) the resulting successor or acquiring entity (if not the Borrower) assumes by written instrument the obligations of this Section 1.6(b), and (c) the resulting successor or acquiring entity (if not the Borrower) is a publicly traded corporation whose common stock is listed for trading or quotation on any tier of the NASDAQ Stock Market, the New York Stock Exchange or the NYSE American. The above provisions shall similarly apply to successive consolidations, mergers, sales, transfers or share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xml:space="preserve"> If the Borrower shall declare or make any distribution of its assets (or rights to acquire its assets) to holders of Common Stock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shareholders entitled to such Distribution.</w:t>
      </w:r>
    </w:p>
    <w:p>
      <w:pPr>
        <w:pStyle w:val="TextBody"/>
        <w:bidi w:val="0"/>
        <w:spacing w:before="0" w:after="0"/>
        <w:ind w:left="36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If, at any time when all or any portion of this Note is issued and outstanding, the Borrower issues any convertible securities or rights to purchase stock, warrants, securities or other property (the “Purchase Rights”)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Section 1.6 of this Note, the Borrower shall, at its expense and within one (1) calendar day after the occurrence of each respective adjustment or readjustment of the Conversion Price, compute such adjustment or readjustment and prepare and furnish to the Holder a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In addition, the Borrower shall, within one (1) calendar day after each written request from the Holder, furnish to such Holder a like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For the avoidance of doubt, each adjustment or readjustment of the Conversion Price as a result of the events described in Section 1.6 of this Note shall occur without any action by the Holder and regardless of whether the Borrower complied with the notification provisions in Section 1.6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the Holder, (i) the Conversion Shares covered thereby shall be deemed converted into shares of Common Stock and (ii) the Holder’s rights as the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the Holder has not received certificates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the Note has not been surrendered, adjust its records to reflect that such portion of this Note has not been converted. In all cases, the Holder shall retain all of its rights and remedies for the Borrower’s failure to convert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At any time prior to the date that an Event of Default occurs under this Note, the Borrower shall have the right, exercisable on three (3) Trading Days prior written notice to the Holder of the Note, to prepay the outstanding Principal Amount and interest then due under this Note in accordance with this Section 1.8. Any notice of prepayment hereunder (an “Optional Prepayment Notice”) shall be delivered to the Holder of the Note at its registered addresses and shall state: (1) that the Borrower is exercising its right to prepay the Note, and (2) the date of prepayment which shall be three (3) Trading Days from the date of the Optional Prepayment Notice (the “Optional Prepayment Date”). The Holder shall have the right, during the period beginning on the date of Holder’s receipt of the Optional Prepayment Notice and until the Holder’s actual receipt of the full prepayment amount on the Optional Prepayment Date, to instead convert all or any portion of the Note pursuant to the terms of this Note, including the amount of this Note to be prepaid by the Borrower in accordance with this Section 1.8, even if the Note is not yet convertible into Common Stock by the Holder under Section 1.1 of this Note. On the Optional Prepayment Date, the Borrower shall make payment of the amounts designated below to or upon the order of the Holder as specified by the Holder in writing to the Borrower. If the Borrower exercises its right to prepay the Note in accordance with this Section 1.8, the Borrower shall make payment to the Holder of an amount in cash equal to the sum of: (w) the prepayment percentage set forth in the table immediately following this paragraph for the applicable prepayment period set forth in the table immediately following this paragraph (“Prepayment Percentage”) multiplied by the Principal Amount then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the Prepayment Percentage multiplied by the accrued and unpaid interest on the Principal Amount to the Optional Prepayment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0"/>
        <w:gridCol w:w="8303"/>
        <w:gridCol w:w="1702"/>
      </w:tblGrid>
      <w:tr>
        <w:trPr/>
        <w:tc>
          <w:tcPr>
            <w:tcW w:w="8503"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Prepayment Period</w:t>
            </w:r>
          </w:p>
        </w:tc>
        <w:tc>
          <w:tcPr>
            <w:tcW w:w="170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Prepayment Percentage</w:t>
            </w:r>
          </w:p>
        </w:tc>
      </w:tr>
      <w:tr>
        <w:trPr/>
        <w:tc>
          <w:tcPr>
            <w:tcW w:w="200" w:type="dxa"/>
            <w:tcBorders>
              <w:left w:val="single" w:sz="8" w:space="0" w:color="000000"/>
              <w:bottom w:val="single" w:sz="8" w:space="0" w:color="000000"/>
            </w:tcBorders>
            <w:tcMar>
              <w:top w:w="0" w:type="dxa"/>
              <w:bottom w:w="160" w:type="dxa"/>
              <w:right w:w="0" w:type="dxa"/>
            </w:tcMar>
            <w:vAlign w:val="center"/>
          </w:tcPr>
          <w:p>
            <w:pPr>
              <w:pStyle w:val="TableContents"/>
              <w:bidi w:val="0"/>
              <w:spacing w:before="0" w:after="283"/>
              <w:jc w:val="both"/>
              <w:rPr>
                <w:sz w:val="20"/>
              </w:rPr>
            </w:pPr>
            <w:r>
              <w:rPr>
                <w:sz w:val="20"/>
              </w:rPr>
              <w:t xml:space="preserve">1. </w:t>
            </w:r>
          </w:p>
        </w:tc>
        <w:tc>
          <w:tcPr>
            <w:tcW w:w="8303" w:type="dxa"/>
            <w:tcBorders>
              <w:bottom w:val="single" w:sz="8" w:space="0" w:color="000000"/>
              <w:right w:val="single" w:sz="8" w:space="0" w:color="000000"/>
            </w:tcBorders>
            <w:tcMar>
              <w:top w:w="0" w:type="dxa"/>
              <w:left w:w="0" w:type="dxa"/>
              <w:bottom w:w="160" w:type="dxa"/>
            </w:tcMar>
            <w:vAlign w:val="center"/>
          </w:tcPr>
          <w:p>
            <w:pPr>
              <w:pStyle w:val="TableContents"/>
              <w:bidi w:val="0"/>
              <w:spacing w:before="0" w:after="283"/>
              <w:jc w:val="both"/>
              <w:rPr>
                <w:sz w:val="20"/>
              </w:rPr>
            </w:pPr>
            <w:r>
              <w:rPr>
                <w:sz w:val="20"/>
              </w:rPr>
              <w:t>The period beginning on the Issue Date and continuing through the date that is 90 calendar days after the Issue Date</w:t>
            </w:r>
          </w:p>
        </w:tc>
        <w:tc>
          <w:tcPr>
            <w:tcW w:w="1702" w:type="dxa"/>
            <w:tcBorders>
              <w:bottom w:val="single" w:sz="8" w:space="0" w:color="000000"/>
              <w:right w:val="single" w:sz="8" w:space="0" w:color="000000"/>
            </w:tcBorders>
            <w:tcMar>
              <w:top w:w="0" w:type="dxa"/>
              <w:left w:w="0" w:type="dxa"/>
              <w:bottom w:w="160" w:type="dxa"/>
            </w:tcMar>
            <w:vAlign w:val="center"/>
          </w:tcPr>
          <w:p>
            <w:pPr>
              <w:pStyle w:val="TableContents"/>
              <w:bidi w:val="0"/>
              <w:spacing w:before="0" w:after="283"/>
              <w:jc w:val="center"/>
              <w:rPr>
                <w:sz w:val="20"/>
              </w:rPr>
            </w:pPr>
            <w:r>
              <w:rPr>
                <w:sz w:val="20"/>
              </w:rPr>
              <w:t>120%</w:t>
            </w:r>
          </w:p>
        </w:tc>
      </w:tr>
      <w:tr>
        <w:trPr/>
        <w:tc>
          <w:tcPr>
            <w:tcW w:w="200"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sz w:val="20"/>
              </w:rPr>
            </w:pPr>
            <w:r>
              <w:rPr>
                <w:sz w:val="20"/>
              </w:rPr>
              <w:t xml:space="preserve">2. </w:t>
            </w:r>
          </w:p>
        </w:tc>
        <w:tc>
          <w:tcPr>
            <w:tcW w:w="83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The period beginning on the date that is 91 calendar days after the Issue Date and continuing until the date that an Event of Default occurs under this Note</w:t>
            </w:r>
          </w:p>
        </w:tc>
        <w:tc>
          <w:tcPr>
            <w:tcW w:w="17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RANKING AND CERTAIN COVENANTS</w:t>
      </w:r>
    </w:p>
    <w:p>
      <w:pPr>
        <w:pStyle w:val="TextBody"/>
        <w:bidi w:val="0"/>
        <w:spacing w:before="0" w:after="0"/>
        <w:ind w:left="0" w:right="0" w:hanging="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32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6635" w:type="dxa"/>
            <w:tcBorders/>
            <w:vAlign w:val="center"/>
          </w:tcPr>
          <w:p>
            <w:pPr>
              <w:pStyle w:val="TableContents"/>
              <w:bidi w:val="0"/>
              <w:spacing w:before="0" w:after="283"/>
              <w:jc w:val="left"/>
              <w:rPr/>
            </w:pPr>
            <w:r>
              <w:rPr>
                <w:u w:val="single"/>
              </w:rPr>
              <w:t>Ranking</w:t>
            </w:r>
            <w:r>
              <w:rPr/>
              <w:t>. This Note shall be an unsecured obligation of the Borrower.</w:t>
            </w:r>
          </w:p>
        </w:tc>
      </w:tr>
    </w:tbl>
    <w:p>
      <w:pPr>
        <w:pStyle w:val="TextBody"/>
        <w:bidi w:val="0"/>
        <w:spacing w:before="0" w:after="0"/>
        <w:ind w:left="358"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Distributions on Capital Stock.</w:t>
      </w:r>
      <w:r>
        <w:rPr>
          <w:rFonts w:ascii="Times New Roman;Times;Serif" w:hAnsi="Times New Roman;Times;Serif"/>
          <w:b w:val="false"/>
          <w:i w:val="false"/>
          <w:caps w:val="false"/>
          <w:smallCaps w:val="false"/>
          <w:sz w:val="20"/>
        </w:rPr>
        <w:t xml:space="preserve"> So long as the Borrower shall have any obligation under this Note, the Borrower shall not without the Holder’s written consent (a) pay, declare or set apart for such payment, any dividend or other distribution (whether in cash, property or other securities) on shares of capital stock other than dividends on shares of Common Stock solely in the form of additional shares of Common Stock or (b) directly or indirectly or through any subsidiary make any other payment or distribution in respect of its capital stock except for distributions pursuant to any shareholders’ rights plan which is approved by a majority of the Borrower’s disinterested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Holder’s prior written consent, which consent shall not be unreasonably withheld or delayed, sell, divest, acquire, or dispose of all or substantially all of its assets other than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considered an event of default if any of the following events listed in this Article III (each, an “Event of Default”) shall occur on or after the Issue Date, subject, in each case (except Section 3.2 under this Note), to a five (5) business day cure period: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xml:space="preserve"> The Borrower fails to pay the Principal Amount hereof or interest thereon when due on this Note, whether at maturity, upon acceleration or otherwise, or fails to fully comply with Section 1.10 of this Note.</w:t>
      </w:r>
    </w:p>
    <w:p>
      <w:pPr>
        <w:pStyle w:val="TextBody"/>
        <w:bidi w:val="0"/>
        <w:spacing w:before="0" w:after="0"/>
        <w:ind w:left="358"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xml:space="preserve"> The Borrower (i) fails to issue Conversion Shares to the Holder (or announces or threatens in writing that it will not honor its obligation to do so) upon exercise by the Holder of the conversion rights of the Holder in accordance with the terms of this Note, (ii) fails to transfer or cause its transfer agent to transfer (issue) (electronically or in certificated form) any certificate for the Conversion Shares issuable to the Holder upon conversion of or otherwise pursuant to this Note as and when required by this Note, (iii) fails to reserve the Reserved Amount at all times, (iv) the Borrower directs its transfer agent not to transfer or delays, impairs, and/or hinders its transfer agent in transferring (or issuing) (electronically or in certificated form) any certificate for the Conversion Shares issuable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Conversion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Trading Days after the Holder shall have delivered a Notice of Conversion, and/or (v) fails to remain current in its obligations to its transfer agent (including but not limited to payment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added to the principal balance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Agreements and Covenants.</w:t>
      </w:r>
      <w:r>
        <w:rPr>
          <w:rFonts w:ascii="Times New Roman;Times;Serif" w:hAnsi="Times New Roman;Times;Serif"/>
          <w:b w:val="false"/>
          <w:i w:val="false"/>
          <w:caps w:val="false"/>
          <w:smallCaps w:val="false"/>
          <w:sz w:val="20"/>
        </w:rPr>
        <w:t xml:space="preserve"> The Borrower breaches any covenant, agreement, or other term or condition contained in the Purchase Agreement, this Note, Irrevocable Transfer Agent Instructions, or in any agreement, statement or certificate given in writing pursuant hereto or in connection herewith or therewith.</w:t>
      </w:r>
    </w:p>
    <w:p>
      <w:pPr>
        <w:pStyle w:val="TextBody"/>
        <w:bidi w:val="0"/>
        <w:spacing w:before="0" w:after="0"/>
        <w:ind w:left="358"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xml:space="preserve"> Any representation or warranty of the Borrower made in the Purchase Agreement, this Note, Irrevocable Transfer Agent Instructions, or in any agreement, statement or certificate given in writing pursuant hereto or in connection herewith or therewith shall be false or misleading in any material respect when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xml:space="preserv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xml:space="preserve"> Any money judgment, writ or similar process shall be entered or filed against the Borrower or any subsidiary of the Borrower or any of its property or other assets for more than $100,000, and shall remain unvacated, unbonded or unstayed for a period of twenty (20) days unless otherwise consented to by the Holder, which consent will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1934 Act.</w:t>
      </w:r>
      <w:r>
        <w:rPr>
          <w:rFonts w:ascii="Times New Roman;Times;Serif" w:hAnsi="Times New Roman;Times;Serif"/>
          <w:b w:val="false"/>
          <w:i w:val="false"/>
          <w:caps w:val="false"/>
          <w:smallCaps w:val="false"/>
          <w:sz w:val="20"/>
        </w:rPr>
        <w:t xml:space="preserve"> At any time after the Issue Date, the Borrower shall fail to comply with the reporting requirements of the 1934 Act and/or the Borrower shall cease to be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xml:space="preserve"> Any dissolution, liquidation, or winding up of Borrower or any substantial portion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xml:space="preserve">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xml:space="preserve"> The failure by Borrower to maintain any material intellectual property rights, personal, real property or other assets which are necessary to conduct its business (whether now or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xml:space="preserve">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actual transmittal, conveyance, or disclosure by the Borrower or its officers, directors, and/or affiliates of, material non-public information concerning the Borrower, to the Holder or its successors and assigns, which is not cured by Borrower’s filing of a Form 6-K pursuant to Regulation FD.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Unavailability of Rule 144</w:t>
      </w:r>
      <w:r>
        <w:rPr>
          <w:rFonts w:ascii="Times New Roman;Times;Serif" w:hAnsi="Times New Roman;Times;Serif"/>
          <w:b w:val="false"/>
          <w:i w:val="false"/>
          <w:caps w:val="false"/>
          <w:smallCaps w:val="false"/>
          <w:sz w:val="20"/>
        </w:rPr>
        <w:t>. If, at any time on or after the date that is six (6) calendar months after the Issue Date, the Holder is unable to (i) obtain a standard “144 legal opinion letter” from an attorney reasonably acceptable to the Borrower’s transfer agent in order to facilitate the Holder’s conversion of any portion of the Note into free trading shares of the Borrower’s Common Stock pursuant to Rule 144, and/or (ii) thereupon deposit such shares into the Holder’s brokerage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Delisting, Suspension, or Quotation of Trading of Common Stock</w:t>
      </w:r>
      <w:r>
        <w:rPr>
          <w:rFonts w:ascii="Times New Roman;Times;Serif" w:hAnsi="Times New Roman;Times;Serif"/>
          <w:b w:val="false"/>
          <w:i w:val="false"/>
          <w:caps w:val="false"/>
          <w:smallCaps w:val="false"/>
          <w:sz w:val="20"/>
        </w:rPr>
        <w:t>. If, at any time on or after the Issue Date, the Borrower’s Common Stock (i) is suspended from trading, (ii) halted from trading, and/or (iii) fails to be listed or quoted on a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Rights and Remedies Upon an Event of Default</w:t>
      </w:r>
      <w:r>
        <w:rPr>
          <w:rFonts w:ascii="Times New Roman;Times;Serif" w:hAnsi="Times New Roman;Times;Serif"/>
          <w:b w:val="false"/>
          <w:i w:val="false"/>
          <w:caps w:val="false"/>
          <w:smallCaps w:val="false"/>
          <w:sz w:val="20"/>
        </w:rPr>
        <w:t>. Upon the occurrence of any Event of Default specified in this Article III, this Note shall become immediately due and payable, and the Borrower shall pay to the Holder, in full satisfaction of its obligations hereunder, an amount equal to the Principal Amount then outstanding plus accrued interest (including any Default Interest) through the date of full repayment multiplied by 150% (collectively the “Default Amount”), as well as all costs, including, without limitation, legal fees and expenses, of collection, all without demand, presentment or notice, all of which hereby are expressly waived by the Borrower. Holder may, in Holder’s sole discretion, convert all or any portion of this Note (including the Default Amount) into Common Stock pursuant to the terms of this Note (for the avoidance of doubt, this shall apply even if such conversion occurs after the Maturity Date). The Holder shall be entitled to exercise all other rights and remedies available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4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Holder existing hereunder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1366"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NewGenIvf Group Limited </w:t>
        <w:br/>
      </w:r>
      <w:r>
        <w:rPr>
          <w:rFonts w:ascii="Times New Roman;Times;Serif" w:hAnsi="Times New Roman;Times;Serif"/>
          <w:b w:val="false"/>
          <w:i w:val="false"/>
          <w:caps w:val="false"/>
          <w:smallCaps w:val="false"/>
          <w:sz w:val="20"/>
        </w:rPr>
        <w:t xml:space="preserve">36/39-36/40, 13th Floor, PS Tower </w:t>
        <w:br/>
        <w:t xml:space="preserve">Sukhumvit 21 Road (Asoke) </w:t>
        <w:br/>
        <w:t xml:space="preserve">Khlong Toei Nuea Sub-district </w:t>
        <w:br/>
        <w:t xml:space="preserve">Watthana District, Bangkok 10110 </w:t>
        <w:br/>
        <w:t xml:space="preserve">Attention: Wing Fung Alfred Siu </w:t>
        <w:br/>
        <w:t>e-mail: Alfred.Siu@newgenivf.com</w:t>
      </w:r>
    </w:p>
    <w:p>
      <w:pPr>
        <w:pStyle w:val="TextBody"/>
        <w:bidi w:val="0"/>
        <w:spacing w:before="0" w:after="0"/>
        <w:ind w:left="1078" w:right="0" w:firstLine="287"/>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1078" w:right="0" w:firstLine="287"/>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PACIFIC PIER CAPITAL II, LP</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 Imperial Highway, Suite 203</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Fullerton, CA 92835</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ed@pacific-pier.com</w:t>
      </w:r>
    </w:p>
    <w:p>
      <w:pPr>
        <w:pStyle w:val="TextBody"/>
        <w:bidi w:val="0"/>
        <w:spacing w:before="0" w:after="0"/>
        <w:ind w:left="2115" w:right="0" w:hanging="345"/>
        <w:jc w:val="left"/>
        <w:rPr>
          <w:caps w:val="false"/>
          <w:smallCaps w:val="false"/>
        </w:rPr>
      </w:pPr>
      <w:r>
        <w:rPr>
          <w:caps w:val="false"/>
          <w:smallCaps w:val="false"/>
        </w:rPr>
        <w:t> </w:t>
      </w:r>
    </w:p>
    <w:p>
      <w:pPr>
        <w:pStyle w:val="TextBody"/>
        <w:bidi w:val="0"/>
        <w:spacing w:before="0" w:after="0"/>
        <w:ind w:left="2115" w:right="0" w:hanging="345"/>
        <w:jc w:val="center"/>
        <w:rPr>
          <w:sz w:val="20"/>
          <w:bdr w:val="single" w:sz="12" w:space="1" w:color="000000"/>
        </w:rPr>
      </w:pPr>
      <w:r>
        <w:rPr>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2115" w:right="0" w:hanging="345"/>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Note and any provision hereof may only be amended by an instrument in writing signed by the Borrower and the Holder. The term “Note” and all reference thereto, as used throughout this instrument, shall mean this instrument as originally executed, or if later amended or supplemented, then as so amended or supplemented.</w:t>
      </w:r>
    </w:p>
    <w:p>
      <w:pPr>
        <w:pStyle w:val="TextBody"/>
        <w:bidi w:val="0"/>
        <w:spacing w:before="0" w:after="0"/>
        <w:ind w:left="419" w:right="0" w:firstLine="135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The Borrower shall not assign this Note or any rights or obligations hereunder without the prior written consent of the Holder. The Holder may assign its rights hereunder to any “accredited investor” (as defined in Rule 501(a) of the 1933 Act) in a private transaction from the Holder or to any of its “affiliates”, as that term is defined under the 1934 Act, without the consent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xml:space="preserve"> If default is made in the payment of this Note, the Borrower shall pay the Holder hereof costs of collection, including reasonable attorneys’ fees.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Arbitration of Claims; Governing Law; Venue; Attorney’s Fees.</w:t>
      </w:r>
      <w:r>
        <w:rPr>
          <w:rFonts w:ascii="Times New Roman;Times;Serif" w:hAnsi="Times New Roman;Times;Serif"/>
          <w:b w:val="false"/>
          <w:i w:val="false"/>
          <w:caps w:val="false"/>
          <w:smallCaps w:val="false"/>
          <w:sz w:val="20"/>
        </w:rPr>
        <w:t xml:space="preserve"> The Company and Holder shall submit all Claims (as defined in Exhibit B of the Purchase Agreement) (the “Claims”) arising under this Note or any other agreement between the parties and their affiliates or any Claim relating to the relationship of the parties to binding arbitration pursuant to the arbitration provisions set forth in Exhibit B of the Purchase Agreement (the “Arbitration Provisions”). The Company and Holder hereby acknowledge and agree that the Arbitration Provisions are unconditionally binding on the Company and Holder hereto and are severable from all other provisions of this Note. By executing this Note,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The Company acknowledges and agrees that Holder may rely upon the foregoing representations and covenants of the Company regarding the Arbitration Provisions.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Holder consent to and expressly agree that the exclusive venue for arbitration of any Claims arising under this Note or any other agreement between the Company and Holder or their respective affiliates (including but not limited to the Transaction Documents) or any Claim relating to the relationship of the Company and Holder or their respective affiliates shall be in Orange County, California. Without modifying the Company’s and Holder’s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(as defined in the Purchase Agreement) or otherwise related to Holder in any way (specifically including, without limitation, any action where Company seeks to obtain an injunction, temporary restraining order, or otherwise prohibit the Company’s transfer agent from issuing shares of Common Stock to Holder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Holder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Holder to realize on any collateral or any other security, or to enforce a judgment or other court ruling in favor of the Holder,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THE COMPANY HEREBY IRREVOCABLY WAIVES ANY RIGHT IT MAY HAVE, AND AGREES NOT TO REQUEST, A JURY TRIAL FOR THE ADJUDICATION OF ANY DISPUTE HEREUNDER OR IN CONNECTION WITH OR ARISING OUT OF THIS NOTE OR ANY TRANSACTIONS CONTEMPLATED HEREBY. The Company irrevocably waives </w:t>
      </w:r>
      <w:r>
        <w:rPr>
          <w:rFonts w:ascii="Times New Roman;Times;Serif" w:hAnsi="Times New Roman;Times;Serif"/>
          <w:b w:val="false"/>
          <w:i w:val="false"/>
          <w:caps w:val="false"/>
          <w:smallCaps w:val="false"/>
          <w:sz w:val="20"/>
        </w:rPr>
        <w:t>personal service of process and consents to process being served in any suit, action or proceeding in connection with this Note or any other agreement, certificate, instrument or document contemplated hereby or thereby by mailing a copy thereof via registered or certified mail or overnight delivery (with evidence of delivery) to Company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Note or any other agreement, certificate, instrument or document contemplated hereby or thereby shall be entitled to recover from the other party its reasonable attorney’s fees and costs. If any provision of this Note shall be invalid or unenforceable in any jurisdiction, such invalidity or unenforceability shall not affect the validity or enforceability of the remainder of this Note in that jurisdiction or the validity or enforceability of any provision of this Note in any other jurisdiction.</w:t>
      </w:r>
    </w:p>
    <w:p>
      <w:pPr>
        <w:pStyle w:val="TextBody"/>
        <w:bidi w:val="0"/>
        <w:spacing w:before="0" w:after="0"/>
        <w:ind w:left="420" w:right="0" w:firstLine="1440"/>
        <w:jc w:val="both"/>
        <w:rPr>
          <w:caps w:val="false"/>
          <w:smallCaps w:val="false"/>
        </w:rPr>
      </w:pPr>
      <w:r>
        <w:rPr>
          <w:caps w:val="false"/>
          <w:smallCaps w:val="false"/>
        </w:rPr>
        <w:t> </w:t>
      </w:r>
    </w:p>
    <w:p>
      <w:pPr>
        <w:pStyle w:val="TextBody"/>
        <w:bidi w:val="0"/>
        <w:spacing w:before="0" w:after="0"/>
        <w:ind w:left="420" w:right="0" w:firstLine="1440"/>
        <w:jc w:val="center"/>
        <w:rPr>
          <w:sz w:val="20"/>
          <w:bdr w:val="single" w:sz="12" w:space="1" w:color="000000"/>
        </w:rPr>
      </w:pPr>
      <w:r>
        <w:rPr>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4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xml:space="preserve"> Whenever pursuant to this Note the Borrower is required to pay an amount in excess of the outstanding Principal Amount (or the portion thereof required to be paid at that time) plus accrued and unpaid interest plus Default Interest on such interest, the Borrower and the Holder agree that the actual damages to the Holder from the receipt of cash payment on this Note may be difficult to determine and the amount to be so paid by the Borrower represents stipulated damages and not a penalty and is intended to compensate the Holder in part for loss of the opportunity to convert this Note and to earn a return from the sale of shares of Common Stock acquired upon conversion of this Note at a price in excess of the price paid for such shares pursuant to this Note. The Borrower and the Holder hereby agree that such amount of stipulated damages is not plainly disproportionate to the possible loss to the Holder from the receipt of a cash payment without the opportunity to convert this Note into shares of Common Stock.</w:t>
      </w:r>
    </w:p>
    <w:p>
      <w:pPr>
        <w:pStyle w:val="TextBody"/>
        <w:bidi w:val="0"/>
        <w:spacing w:before="0" w:after="0"/>
        <w:ind w:left="4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xml:space="preserve"> The Company and the Holder shall be bound by the applicable terms of the Purchase Agreement, and the Transaction Documents entered into in connection herewith and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420" w:right="0" w:firstLine="135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all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Holder in order to enforce any right or remedy under this Note. Notwithstanding any provision to the contrary contained in this Note, it is expressly agreed and provided that the total liability of the Company under this Note for payments which under the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the applicable law in the nature of interest that the Company may be obligated to pay under this Note exceed such Maximum Rate. It is agreed that if the maximum contract rate of interest allowed by applicable law and applicable to this Note is increased or decreased by statute or any official governmental action subsequent to the Issue Date, the new maximum contract rate of interest allowed by law will be the Maximum Rate applicable to this Note from the effective date thereof forward, unless such application is precluded by applicable law. If under any circumstances whatsoever, interest in excess of the Maximum Rate is paid by the Company to the Holder with respect to indebtedness evidenced by this the Note, such excess shall be applied by the Holder to the unpaid principal balance of any such indebtedness or be refunded to the Company, the manner of handling such excess to be at the Holder’s election.</w:t>
      </w:r>
    </w:p>
    <w:p>
      <w:pPr>
        <w:pStyle w:val="TextBody"/>
        <w:bidi w:val="0"/>
        <w:spacing w:before="0" w:after="0"/>
        <w:ind w:left="330" w:right="0" w:firstLine="1440"/>
        <w:jc w:val="both"/>
        <w:rPr>
          <w:caps w:val="false"/>
          <w:smallCaps w:val="false"/>
        </w:rPr>
      </w:pPr>
      <w:r>
        <w:rPr>
          <w:caps w:val="false"/>
          <w:smallCaps w:val="false"/>
        </w:rPr>
        <w:t> </w:t>
      </w:r>
    </w:p>
    <w:p>
      <w:pPr>
        <w:pStyle w:val="TextBody"/>
        <w:bidi w:val="0"/>
        <w:spacing w:before="0" w:after="0"/>
        <w:ind w:left="330" w:right="0" w:firstLine="1440"/>
        <w:jc w:val="center"/>
        <w:rPr>
          <w:sz w:val="20"/>
          <w:bdr w:val="single" w:sz="12" w:space="1" w:color="000000"/>
        </w:rPr>
      </w:pPr>
      <w:r>
        <w:rPr>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33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Note is invalid or unenforceable under any applicable statute or rule of law (including any judicial ruling),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Terms of Future Financings.</w:t>
      </w:r>
      <w:r>
        <w:rPr>
          <w:rFonts w:ascii="Times New Roman;Times;Serif" w:hAnsi="Times New Roman;Times;Serif"/>
          <w:b w:val="false"/>
          <w:i w:val="false"/>
          <w:caps w:val="false"/>
          <w:smallCaps w:val="false"/>
          <w:sz w:val="20"/>
        </w:rPr>
        <w:t xml:space="preserve"> So long as this Note is outstanding, upon any issuance by the Borrower or any of its Subsidiaries of any Common Stock Equivalents, or amendment to any Common Stock Equivalents that was originally issued before the Issue Date, with any term that the Holder reasonably believes is more favorable to the holder of such security or with a term in favor of the holder of such security that the Holder reasonably believes was not similarly provided to the Holder in this Note (even if the holder of such other security does not receive the benefit of such more favorable term until a default occurs under such other security), then (i) the Borrower shall notify the Holder of such additional or more favorable term within one (1) business day of the issuance and/or amendment (as applicable) of the respective security, and (ii) such term, at Holder’s option, shall become a part of the transaction documents with the Holder (regardless of whether the Borrower complied with the notification provision of this Section 4.13). The types of terms contained in another security that may be more favorable to the holder of such security include, but are not limited to, terms addressing prepayment rate, interest rates, conversion rate, and original issue discount. Notwithstanding the foregoing, this Section 4.13 of this Note shall not apply to (i) the Borrower’s offering of equity securities pursuant to a registration statement of the Borrower; (ii) in connection with the Borrower’s acquisition of all or part of another entity by stock acquisition, merger, consolidation or other reorganization, or by the purchase of all or part of the assets of such other entity approved by the Board of Directors of the Borrower and provided that such transactions are not for the purpose of raising capital); (iii) pursuant to the issuance, vesting and/or exercise of options, warrants, restricted stock, restricted stock units or other common stock purchase rights issued (or to be issued) to employees, officers, directors, or employees of the Borrower for compensatory purposes pursuant to any stock purchase plan, stock option plan, equity incentive plan or other plan or arrangement approved by the Board of Directors of the Borrower at any time; and (iv) pursuant to the exercise or conversion of Common Stock Equivalents outstanding prior to the Issue Date so long as (a) such Common Stock Equivalents were disclosed in the SEC Documents prior to the Issue Date and (b) the terms or provisions of such Common Stock Equivalents were not altered, amended, or changed on or after the Issue Date.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5" w:right="0" w:hanging="0"/>
        <w:jc w:val="center"/>
        <w:rPr>
          <w:sz w:val="20"/>
          <w:bdr w:val="single" w:sz="12" w:space="1" w:color="000000"/>
        </w:rPr>
      </w:pPr>
      <w:r>
        <w:rPr>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Borrower has caused this Note to be signed in its name by its duly authorized officer on April 14, 2026.</w:t>
      </w:r>
    </w:p>
    <w:p>
      <w:pPr>
        <w:pStyle w:val="TextBody"/>
        <w:bidi w:val="0"/>
        <w:spacing w:before="0" w:after="0"/>
        <w:ind w:left="360" w:right="0" w:hanging="0"/>
        <w:jc w:val="left"/>
        <w:rPr>
          <w:caps w:val="false"/>
          <w:smallCaps w:val="false"/>
        </w:rPr>
      </w:pPr>
      <w:r>
        <w:rPr>
          <w:caps w:val="false"/>
          <w:smallCaps w:val="false"/>
        </w:rPr>
        <w:t> </w:t>
      </w:r>
    </w:p>
    <w:tbl>
      <w:tblPr>
        <w:tblW w:w="3390" w:type="dxa"/>
        <w:jc w:val="left"/>
        <w:tblInd w:w="0" w:type="dxa"/>
        <w:tblLayout w:type="fixed"/>
        <w:tblCellMar>
          <w:top w:w="0" w:type="dxa"/>
          <w:left w:w="0" w:type="dxa"/>
          <w:bottom w:w="0" w:type="dxa"/>
          <w:right w:w="0" w:type="dxa"/>
        </w:tblCellMar>
      </w:tblPr>
      <w:tblGrid>
        <w:gridCol w:w="380"/>
        <w:gridCol w:w="650"/>
        <w:gridCol w:w="2285"/>
        <w:gridCol w:w="75"/>
      </w:tblGrid>
      <w:tr>
        <w:trPr/>
        <w:tc>
          <w:tcPr>
            <w:tcW w:w="3315" w:type="dxa"/>
            <w:gridSpan w:val="3"/>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31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935" w:type="dxa"/>
            <w:gridSpan w:val="2"/>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85"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5" w:right="0" w:hanging="0"/>
        <w:jc w:val="center"/>
        <w:rPr>
          <w:sz w:val="20"/>
          <w:bdr w:val="single" w:sz="12" w:space="1" w:color="000000"/>
        </w:rPr>
      </w:pPr>
      <w:r>
        <w:rPr>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360" w:right="0" w:firstLine="718"/>
        <w:jc w:val="both"/>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xml:space="preserve">____________principal amount of the Note (defined below) into that number of shares of Common Stock to be issued pursuant to the conversion of the Note (“Common Stock”) as set forth below, of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a British Virgin Islands company (the “Borrower”), according to the conditions of the promissory note of the Borrower dated as of April 14, 2026 (the “Note”), as of the date written below. No fee will be charged to the Holder for any conversion, except for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Borrower shall electronically transmit the Common Stock issuable pursuant to this Notice of Conversion to the account of the undersigned or its nominee with DTC through its Deposit Withdrawal Agent Commission system (“DWAC Transfer”).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Name of DTC Prime Broker: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Account Number:</w:t>
            </w:r>
          </w:p>
        </w:tc>
      </w:tr>
    </w:tbl>
    <w:p>
      <w:pPr>
        <w:pStyle w:val="TextBody"/>
        <w:bidi w:val="0"/>
        <w:spacing w:before="0" w:after="0"/>
        <w:ind w:left="149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tc>
      </w:tr>
    </w:tbl>
    <w:p>
      <w:pPr>
        <w:pStyle w:val="TextBody"/>
        <w:bidi w:val="0"/>
        <w:spacing w:before="0" w:after="0"/>
        <w:ind w:left="1490" w:right="0" w:hanging="573"/>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3620"/>
        <w:gridCol w:w="62"/>
        <w:gridCol w:w="63"/>
        <w:gridCol w:w="75"/>
      </w:tblGrid>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sz w:val="20"/>
              </w:rPr>
            </w:pPr>
            <w:r>
              <w:rPr>
                <w:sz w:val="20"/>
              </w:rPr>
              <w:t>Date of Conversion:</w:t>
            </w:r>
          </w:p>
        </w:tc>
        <w:tc>
          <w:tcPr>
            <w:tcW w:w="125" w:type="dxa"/>
            <w:gridSpan w:val="2"/>
            <w:tcBorders>
              <w:bottom w:val="single" w:sz="12" w:space="0" w:color="000000"/>
            </w:tcBorders>
            <w:tcMar>
              <w:bottom w:w="28" w:type="dxa"/>
            </w:tcMar>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Conversion Price:</w:t>
            </w:r>
          </w:p>
        </w:tc>
        <w:tc>
          <w:tcPr>
            <w:tcW w:w="12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to be</w:t>
            </w:r>
          </w:p>
        </w:tc>
        <w:tc>
          <w:tcPr>
            <w:tcW w:w="12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Pursuant to Conversion of the Note:</w:t>
            </w:r>
          </w:p>
        </w:tc>
        <w:tc>
          <w:tcPr>
            <w:tcW w:w="62" w:type="dxa"/>
            <w:tcBorders/>
            <w:vAlign w:val="center"/>
          </w:tcPr>
          <w:p>
            <w:pPr>
              <w:pStyle w:val="TableContents"/>
              <w:bidi w:val="0"/>
              <w:spacing w:before="0" w:after="283"/>
              <w:jc w:val="right"/>
              <w:rPr/>
            </w:pPr>
            <w:r>
              <w:rPr/>
              <w:t> </w:t>
            </w:r>
          </w:p>
        </w:tc>
        <w:tc>
          <w:tcPr>
            <w:tcW w:w="63" w:type="dxa"/>
            <w:tcBorders>
              <w:bottom w:val="single" w:sz="12" w:space="0" w:color="000000"/>
            </w:tcBorders>
            <w:tcMar>
              <w:bottom w:w="28" w:type="dxa"/>
            </w:tcMar>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Principal Balance Due remaining</w:t>
            </w:r>
          </w:p>
        </w:tc>
        <w:tc>
          <w:tcPr>
            <w:tcW w:w="12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Note after this conversion:</w:t>
            </w:r>
          </w:p>
        </w:tc>
        <w:tc>
          <w:tcPr>
            <w:tcW w:w="62" w:type="dxa"/>
            <w:tcBorders/>
            <w:vAlign w:val="center"/>
          </w:tcPr>
          <w:p>
            <w:pPr>
              <w:pStyle w:val="TableContents"/>
              <w:bidi w:val="0"/>
              <w:spacing w:before="0" w:after="283"/>
              <w:jc w:val="right"/>
              <w:rPr/>
            </w:pPr>
            <w:r>
              <w:rPr/>
              <w:t> </w:t>
            </w:r>
          </w:p>
        </w:tc>
        <w:tc>
          <w:tcPr>
            <w:tcW w:w="63" w:type="dxa"/>
            <w:tcBorders>
              <w:bottom w:val="single" w:sz="12" w:space="0" w:color="000000"/>
            </w:tcBorders>
            <w:tcMar>
              <w:bottom w:w="28" w:type="dxa"/>
            </w:tcMar>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15" w:type="dxa"/>
        <w:jc w:val="left"/>
        <w:tblInd w:w="0" w:type="dxa"/>
        <w:tblLayout w:type="fixed"/>
        <w:tblCellMar>
          <w:top w:w="0" w:type="dxa"/>
          <w:left w:w="0" w:type="dxa"/>
          <w:bottom w:w="0" w:type="dxa"/>
          <w:right w:w="0" w:type="dxa"/>
        </w:tblCellMar>
      </w:tblPr>
      <w:tblGrid>
        <w:gridCol w:w="75"/>
        <w:gridCol w:w="545"/>
        <w:gridCol w:w="60"/>
        <w:gridCol w:w="60"/>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68"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1468"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5" w:name="ea030132501ex10-47.htm"/>
      <w:bookmarkStart w:id="56" w:name="ksea030132501ex1047"/>
      <w:bookmarkEnd w:id="55"/>
      <w:bookmarkEnd w:id="56"/>
      <w:r>
        <w:rPr>
          <w:rFonts w:ascii="Times New Roman;Times;Serif" w:hAnsi="Times New Roman;Times;Serif"/>
          <w:b/>
          <w:i w:val="false"/>
          <w:caps w:val="false"/>
          <w:smallCaps w:val="false"/>
          <w:sz w:val="20"/>
        </w:rPr>
        <w:t>Exhibit 10.47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April 20,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with headquarters located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LABRYS FUND II, L.P.</w:t>
      </w:r>
      <w:r>
        <w:rPr>
          <w:rFonts w:ascii="Times New Roman;Times;Serif" w:hAnsi="Times New Roman;Times;Serif"/>
          <w:b w:val="false"/>
          <w:i w:val="false"/>
          <w:caps w:val="false"/>
          <w:smallCaps w:val="false"/>
          <w:sz w:val="20"/>
        </w:rPr>
        <w:t>, a Delaware limited partnership, with its address at 145 Tremont Street, Suite 201-1408, Boston, MA 02111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Section 4(a)(2) of the Securities Act of 1933, as amended (the “1933 Act”) and Rule 506(b) promulgated by the United States Securities and Exchange Commission (the “SEC”) under the 1933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desires to purchase from the Company, and the Company desires to issue and sell to the Buyer, upon the terms and conditions set forth in this Agreement, a promissory note of the Company, in the aggregate principal amount of $250,000.00 (as the principal amount thereof may be increased pursuant to the terms thereof, and together with any note(s) issued in replacement thereof or as a dividend thereon or otherwise with respect thereto in accordance with the terms thereof,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“Note”), convertible into Class A ordinary shares of the Company, no par value per share (the “Common Stock”), upon the terms and subject to the limitations and conditions set forth in such Note;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the Note as is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agreements and covenants herein contained, and for other good and valuable consideration, the receipt and sufficiency of which is hereby acknowledged, the Company and the Buyer hereby agree as follows:</w:t>
      </w:r>
    </w:p>
    <w:p>
      <w:pPr>
        <w:pStyle w:val="TextBody"/>
        <w:bidi w:val="0"/>
        <w:spacing w:before="0" w:after="0"/>
        <w:ind w:left="0" w:right="0" w:hanging="202"/>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Note.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of Note.</w:t>
      </w:r>
      <w:r>
        <w:rPr>
          <w:rFonts w:ascii="Times New Roman;Times;Serif" w:hAnsi="Times New Roman;Times;Serif"/>
          <w:b w:val="false"/>
          <w:i w:val="false"/>
          <w:caps w:val="false"/>
          <w:smallCaps w:val="false"/>
          <w:sz w:val="20"/>
        </w:rPr>
        <w:t xml:space="preserve"> On the Closing Date (as defined below), the Company shall issue and sell to the Buyer, and the Buyer agrees to purchase from the Company, the Note, as further provided herein. As used in this Agreement, the term “business day” shall mean any day other than a Saturday, Sunday, or a day on which commercial banks in the city of New York, New York are authorized or required by law or executive order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On the Closing Date: (i) the Buyer shall pay the purchase price of $232,500.00 (the “Purchase Price”) for the Note, to be issued and sold to it at the Closing (as defined below), by wire transfer of immediately available funds to the Company, in accordance with the Company’s written wiring instructions, against delivery of the Note, and (ii) the Company shall deliver such duly executed Note on behalf of the Company, to the Buyer, against delivery of such Purchase Price. On the Closing, the Buyer shall withhold (i) $6,000.00 from the Purchase Price to cover the Buyer’s legal fees in connection with the transactions contemplated by this Agreement and (ii) $5,000.00 from the Purchase Price to be paid to Labrys II Management, LLC to cover the Holder’s due diligence costs in connection with the transactions contemplated by this Agreement. On the Closing, the Buyer shall also withhold a sum of $15,000.00 from the Purchase Price to cover the payment of the Company’s fees owed to Enclave Capital LLC, a registered broker-dealer (CRD #22732) (the “Placement Agent”) in connection with the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satisfaction (or written waiver) of the conditions thereto set forth in Section 6 and Section 7 below, the date and time of the issuance and sale of the Note pursuant to this Agreement (the “Closing Date”) shall be on the date that the Purchase Price for the Note is paid by Buyer pursuant to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(the “Closing”) shall occur on the Closing Date at such location as may be agreed to by the parties (including via exchange of electronic signatures).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as of the Closing Date that: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Closing Date, the Buyer is purchasing the Note (the Note and shares of Common Stock issuable upon conversion of or otherwise pursuant to the Note (the “Conversion Shares”) shall collectively be referred to herein as the “Securities”) for its own account and not with a present view towards the public sale or distribution thereof, except pursuant to sales registered or exempted from registration under the 1933 Act; provided, however, that by making the representations herein, the Buyer does not agree to hold any of the Securities for any minimum or other specific term and reserves the right to dispose of the Securities at any time in accordance with or pursuant to a registration statement or an exemption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The Buyer is an “accredited investor” as that term is defined in Rule 501(a) of Regulation D (an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xml:space="preserve">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Buyer and its advisors, if any, have been, and for so long as the Note remains outstanding will continue to be, furnished with all materials relating to the business, finances and operations of the Company and materials relating to the offer and sale of the Securities which have been requested by the Buyer or its advisors. The Buyer and its advisors, if any, have been, and for so long as the Note remains outstanding will continue to be, afforded the opportunity to ask questions of the Company regarding its business and affairs. Notwithstanding the foregoing, the Company has not disclosed to the Buyer any material nonpublic information regarding the Company or otherwise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xml:space="preserve"> The Buyer understands that no United States federal or state agency or any other government or governmental agency has passed upon or made any recommendation or endorsement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Company, an opinion of counsel (which may be the Legal Counsel Opinion (as defined below)) that shall be in form, substance and scope customary for opinions of counsel in comparable transactions to the effect that the Securities to be sold or transferred may be sold or transferred pursuant to an exemption from such registration, which opinion shall be accepted by the Company,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(d) the Securities are sold pursuant to Rule 144 or other applicable exemption, or (e) the Securities are sold pursuant to Regulation S under the 1933 Act (or a successor rule) (“Regulation S”), and the Buyer shall have delivered to the Company, at the cost of the Company, an opinion of counsel that shall be in form, substance and scope customary for opinions of counsel in corporate transactions, which opinion shall be accepted by the Company; (ii) any sale of such Securities made in reliance on Rule 144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 Notwithstanding the foregoing or anything else contained herein to the contrary, the Securities may be pledged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secured by the Securities, and such pledge of Securities shall not be deemed to be a transfer, sale or assignment of the Securities hereunder, and the Buyer in effecting such pledge of Securities shall not be required to provide the Company with any notice thereof or otherwise make any delivery to the Company pursuant to this Agreement or otherwise.</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Buyer understands that until such time as the Note and/or Conversion Shares have been registered under the 1933 Act or may be sold pursuant to Rule 144, Rule 144A under the 1933 Act, Regulation S, or other applicable exemption without any restriction as to the number of securities as of a particular date that can then be immediately sold, the Securities may bear a restrictive legend in substantially the following form (and a stop-transfer order may be placed against transfer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108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RULE 144A, REGULATION S, OR OTHER APPLICABLE EXEMPTION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or book entry statement for the applicable shares of Common Stock without such legend to the holder of any Security upon which it is stamped or (as requested by such holder) issue the applicable shares of Common Stock to such holder by electronic delivery by crediting the account of such holder’s broker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if, unless otherwise required by applicable state securities laws, (a) such Security is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Buyer provides the Legal Counsel Opinion (as contemplated by and in accordance with Section 4(l) hereof) to the effect that a public sale or transfer of such Security may be made without registration under the 1933 Act, which opinion shall be accepted by the Company so that the sale or transfer is effected. The Company shall be responsible for the fees of its transfer agent and all DTC fees associated with any such issuance. The Buyer agrees to sell all Securities, including those represented by a certificate(s) from which the legend has been removed, in compliance with applicable prospectus delivery requirements, if any. In the event that the Company does not accept the opinion of counsel provided by the Buyer with respect to the transfer of Securities pursuant to an exemption from registration, such as Rule 144, Rule 144A, Regulation S, or other applicable exemption at the Deadline (as defined in the Note), it will be considered an Event of Default pursuant to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This Agreement has been duly and validly authorized by the Buyer and has been duly executed and delivered on behalf of the Buyer, and this Agreement constitutes a valid and binding agreement of the Buyer enforceable in accordance with its terms, except as enforcement may be limited by bankruptcy, insolvency, reorganization, moratorium or other similar laws affecting creditors’ rights generally and except as may be limited by the exercise of judicial discretion in applying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represents and warrants to the Buyer as of the Closing Date that: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(as defined below), if any, is a corporation duly organized, validly existing and in good standing under the laws of the jurisdiction in which it is incorporated or formed, with full power and authority (corporate and other) to own, lease, use and operate its properties and to carry on its business as and where now owned, leased, used, operated and conducted. The SEC Documents set forth a list of all of the Subsidiaries of the Company and the jurisdiction in which each is incorporated. The Company and each of its Subsidiaries is duly qualified to do business and is in good standing in every jurisdiction in which its ownership or use of property or the nature of the business conducted by it makes such qualification necessary except where the failure to be so qualified or in good standing would not have a Material Adverse Effect.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The Company and Subsidiaries have all requisite corporate power and authority to enter into and perform the Transaction Documents and to consummate the transactions contemplated hereby and thereby and to issue the Securities, in accordance with the terms hereof and thereof. The Company represents and warrants that (i) the execution and delivery of the Transaction Documents, the Note, and Conversion Shares by the Company and the consummation by it of the transactions contemplated hereby and thereby (including without limitation, the issuance of the Note as well as the issuance and reservation for issuance of the Conversion Shares issuable upon conversion of the Note) have been duly authorized by the Company’s Board of Directors and no further consent or authorization of the Company, its Board of Directors, its shareholders, or its debt holders is required, (i) the Transaction Documents (together with any other instruments executed in connection herewith or therewith) have been duly executed and delivered by the Company and Subsidiaries by its authorized representatives, and such authorized representatives are the true and official representative with authority to sign the Transaction Documents and the other instruments documents executed in connection herewith or therewith and bind the Company and Subsidiaries accordingly, and (iii) the Transaction Documents constitute, and upon execution and delivery by the Company and Subsidiaries as applicable, each of such instruments will constitute, a legal, valid and binding obligation of the Company and Subsidiaries, enforceable against the Company and Subsidiaries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Capitalization; Governing Documents.</w:t>
      </w:r>
      <w:r>
        <w:rPr>
          <w:rFonts w:ascii="Times New Roman;Times;Serif" w:hAnsi="Times New Roman;Times;Serif"/>
          <w:b w:val="false"/>
          <w:i w:val="false"/>
          <w:caps w:val="false"/>
          <w:smallCaps w:val="false"/>
          <w:sz w:val="20"/>
        </w:rPr>
        <w:t xml:space="preserve"> As of April 20, 2026, the authorized capital stock of the Company consists of: (i) unlimited authorized shares of Common Stock, of which 605,567 shares were issued and outstanding, (ii) unlimited authorized shares of Class B ordinary shares, of which 69 shares were issued and outstanding, and (iii) unlimited authorized shares of preferred stock, of which 0 shares were issued and outstanding. All of such outstanding shares of capital stock of the Company and the Conversion Shares are, or upon issuance will be, duly authorized, validly issued, fully paid, as applicable, and non-assessable. No shares of capital stock of the Company are subject to preemptive rights or any other similar rights of the shareholders of the Company or any liens or encumbrances imposed through the actions or failure to act of the Company. As of the effective date of this Agreement, other than as publicly announced prior to such date and reflected in the SEC Documents of the Company (i) there are no outstanding options, warrants, scrip, rights to subscribe for, puts, calls, rights of first refusal, agreements, understandings, claims or other commitments or rights of any character whatsoever relating to, or securities or rights convertible into or exchangeable for any shares of capital stock of the Company or any of its Subsidiaries, or arrangements by which the Company or any of its Subsidiaries is or may become bound to issue additional shares of capital stock of the Company or any of its Subsidiaries, (ii) there are no agreements or arrangements under which the Company or any of its Subsidiaries is obligated to register the sale of any of its or their securities under the 1933 Act and (iii) there are no anti-dilution or price adjustment provisions contained in any security issued by the Company (or in any agreement providing rights to security holders) that will be triggered by the issuance of any of the Securities. The Company has furnished to the Buyer true and correct copies of the Company’s Certificate of Incorporation as in effect on the date hereof (“Certificate of Incorporation”), the Company’s By-laws, as in effect on the date hereof (the “By-laws”), and the terms of all securities convertible into or exercisable for Common Stock of the Company and the material rights of the holders thereof in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Conversion Shares.</w:t>
      </w:r>
      <w:r>
        <w:rPr>
          <w:rFonts w:ascii="Times New Roman;Times;Serif" w:hAnsi="Times New Roman;Times;Serif"/>
          <w:b w:val="false"/>
          <w:i w:val="false"/>
          <w:caps w:val="false"/>
          <w:smallCaps w:val="false"/>
          <w:sz w:val="20"/>
        </w:rPr>
        <w:t xml:space="preserve"> The Conversion Shares are duly authorized and reserved for issuance and, upon conversion of the Note in accordance with its terms, will be validly issued, fully paid, as applicable,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xml:space="preserve"> The Company understands and acknowledges the potentially dilutive effect of the Conversion Shares upon the conversion of the Note to the Common Stock. The Company further acknowledges that its obligation to issue, upon conversion of the Note, the Conversion Shares, are absolute and unconditional regardless of the dilutive effect that such issuance may have on the ownership interests of other shareholders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Documents by the Company and Subsidiaries, and the consummation by the Company and Subsidiaries of the transactions contemplated hereby and thereby (including, without limitation, the issuance and reservation for issuance of the Conversion Shares)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note, evidence of indebtedness,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is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or (iv) trigger any anti-dilution and/or ratchet provision contained in any other contract in which the Company is a party thereto or any security issued by the Company. Neither the Company nor any of its Subsidiaries is in violation of its Certificate of Incorporation, By-laws or other organizational documents and neither the Company nor any of its Subsidiaries is in default (and no event has occurred which with notice or lapse of time or both could put the Company or any of its Subsidiaries in default) under, and neither the Company nor any of its Subsidiaries has taken any action or failed to take any action that would give to others any rights of termination, amendment, acceleration or cancellation of, any agreement, indenture or instrument to which the Company or any of its Subsidiaries is a party or by which any property or assets of the Company or any of its Subsidiaries is bound or affected, except for possible defaults as would not, individually or in the aggregate, have a Material Adverse Effect. The businesses of the Company and its Subsidiaries, if any, are not being conducted, and shall not be conducted so long as the Buyer owns any of the Securities, in violation of any law, ordinance or regulation of any governmental entity. Except as specifically contemplated by this Agreement and as required under the 1933 Act and any applicable state securities laws, the Company is not required to obtain any consent, authorization or order of, or make any filing or registration with, any court, governmental agency, regulatory agency, self-regulatory organization or stock market or any third party in order for it to execute, deliver or perform any of its obligations under this Agreement and the Note in accordance with the terms hereof or thereof or to issue and sell the Note in accordance with the terms hereof and, upon conversion of the Note, issue Conversion Shares. All consents, authorizations, orders, filings and registrations which the Company is required to obtain pursuant to the preceding sentence have been obtained or effected on or prior to the date hereof. The Company is not in violation of the listing requirements of the Principal Market (as defined herein) and does not reasonably anticipate that the Common Stock will be delisted by the Principal Market in the foreseeable future. The Company and its Subsidiaries are unaware of any facts or circumstances which might give rise to any of the foregoing. The “Principal Market” shall mean the principal securities exchange or trading market where such Common Stock is listed or traded, including but not limited to any tier of the OTC Markets, any tier of the NASDAQ Stock Market (including NASDAQ Capital Market), or the NYSE American, or any successor to such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financial statements of the Company included in the SEC Documents, the Company has no liabilities, contingent or otherwise, other than (i) liabilities incurred in the ordinary course of business subsequent to December 31, 2025,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The Company is subject to the reporting requirements of the 1934 Act. The Company has never been a “shell company” as described in Rule 144(i)(1)(i).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2025, there has been no material adverse change and no material adverse development in the assets, liabilities, business, properties, operations, financial condition, results of operations, prospects or 1934 Act reporting status of the Company or any of its Subsidiaries.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SEC Documents contain a complete list and summary description of any pending or, to the knowledge of the Company, threatened proceeding against or affecting the Company or any of its Subsidiaries, without regard to whether it would have a Material Adverse Effect. The Company and its Subsidiaries are unaware of any facts or circumstances which might give rise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each of its Subsidiaries owns or possesses the requisite licenses or rights to use all patents, patent applications, patent rights, inventions, know-how, trade secrets, trademarks, trademark applications, service marks, service names, trade names and copyrights (“Intellectual Property”) necessary to enable it to conduct its business as now operated (and, as presently contemplated to be operated in the future); there is no claim or action by any person pertaining to, or proceeding pending, or to the Company’s knowledge threatened, which challenges the right of the Company or of a Subsidiary with respect to any Intellectual Property necessary to enable it to conduct its business as now operated (and, as presently contemplated to be operated in the future); to the best of the Company’s knowledge, the Company’s or its Subsidiaries’ current and intended products, services and processes do not infringe on any Intellectual Property or other rights held by any person; and the Company is unaware of any facts or circumstances which might give rise to any of the foregoing. The Company and each of its Subsidiaries have taken reasonable security measures to protect the secrecy, confidentiality and value of their Intellectual Property.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Materially Adverse Contracts, Etc.</w:t>
      </w:r>
      <w:r>
        <w:rPr>
          <w:rFonts w:ascii="Times New Roman;Times;Serif" w:hAnsi="Times New Roman;Times;Serif"/>
          <w:b w:val="false"/>
          <w:i w:val="false"/>
          <w:caps w:val="false"/>
          <w:smallCaps w:val="false"/>
          <w:sz w:val="20"/>
        </w:rPr>
        <w:t xml:space="preserve"> Neither the Company nor any of its Subsidiaries is subject to any charter, corporate or other legal restriction, or any judgment, decree, order, rule or regulation which in the judgment of the Company’s officers has or is expected in the future to have a Material Adverse Effect. Neither the Company nor any of its Subsidiaries is a party to any contract or agreement which in the judgment of the Company’s officers has or is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and each of its Subsidiaries has made or filed all federal, state and foreign income and all other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for arm’s length transactions pursuant to which the Company or any of its Subsidiaries makes payments in the ordinary course of business upon terms no less favorable than the Company or any of its Subsidiaries could obtain from third parties and other than the grant of stock options described in the SEC Documents, none of the officers, directors, or employees of the Company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pursuant to Section 2(d) hereof and otherwise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1934 Act are being incorporated into an effective registration statement filed by the Company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xml:space="preserve"> The Company acknowledges and agrees that the Buyer is acting solely in the capacity of arm’s length purchaser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Buyer’s purchase of the Securities. The Company further represents to the Buyer that the Company’s decision to enter into this Agreement has been based solely on the independent evaluation of the Company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 The issuance of the Securities to the Buyer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No Brokers; No Solicitation.</w:t>
      </w:r>
      <w:r>
        <w:rPr>
          <w:rFonts w:ascii="Times New Roman;Times;Serif" w:hAnsi="Times New Roman;Times;Serif"/>
          <w:b w:val="false"/>
          <w:i w:val="false"/>
          <w:caps w:val="false"/>
          <w:smallCaps w:val="false"/>
          <w:sz w:val="20"/>
        </w:rPr>
        <w:t xml:space="preserve"> Except with respect to the Placement Agent, the Company has taken no action which would give rise to any claim by any person for brokerage commissions, transaction fees or similar payments relating to this Agreement or the transactions contemplated hereby. The Company represents and warrants that neither the Buyer nor its employee(s), member(s), beneficial owner(s), or partner(s) solicited the Company to enter into this Agreement and consummate the transactions described in this Agreement. The Company represents and warrants that neither the Buyer nor its employee(s), member(s), beneficial owner(s), or partner(s) is required to be registered as a broker-dealer under the Securities Exchange Act of 1934 in order to (i) enter into or consummate the transactions encompassed by this Agreement, the Note, and the related transaction documents entered into in connection herewith (the “Transaction Documents”), (ii) fulfill the Buyer’s obligations under the Transaction Documents, or (iii) exercise any of the Buyer’s rights under the Transaction Documents (including but not limited to the sale of the Securities).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xml:space="preserve">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“Company Permits”),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Since December 31, 2025,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to the Company’s knowledge, with respect to the Company or any of its Subsidiaries or any predecessor of the Company, no past or present violations of Environmental Laws (as defined below), releases of any material into the environment, actions, activities, circumstances, conditions, events, incidents, or contractual obligations which may give rise to any common law environmental liability or any liability under the Comprehensive Environmental Response, Compensation and Liability Act of 1980 or similar federal, state, local or foreign laws and neither the Company nor any of its Subsidiaries has received any notice with respect to any of the foregoing, nor is any action pending or, to the Company’s knowledge, threatened in connection with any of the foregoing.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7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those that are or were stored, used or disposed of in compliance with applicable law, no Hazardous Materials are contained on or about any real property currently owned, leased or used by the Company or any of its Subsidiaries, and no Hazardous Materials were released on or about any real property previously owned, leased or used by the Company or any of its Subsidiaries during the period the property was owned, leased or used by the Company or any of its Subsidiaries, except in the normal course of the Company’s or any of its Subsidiaries’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7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underground storage tanks on or under any real property owned, leased or used by the Company or any of its Subsidiaries that are not in compliance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xml:space="preserv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Upon written request the Company will provide to the Buyer true and correct copies of all policies relating to directors’ and officers’ liability coverage, errors and omissions coverage, and commercial general liability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of its Subsidiaries, nor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The Company (after giving effect to the transactions contemplated by this Agreement) is solvent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its assets have a fair market value in excess of the amount required to pay its probable liabilities on its existing debts as they become absolute and matured) and currently the Company has no information that would lead it to reasonably conclude that the Company would not, after giving effect to the transaction contemplated by this Agreement, have the ability to, nor does it intend to take any action that would impair its ability to, pay its debts from time to time incurred in connection therewith as such debts mature. The Company’s financial statements for its most recent fiscal year end and interim financial statements have been prepared assuming the Company will continue as a going concern, which contemplates the realization of assets and the satisfaction of liabilities in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xml:space="preserve">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tab/>
      </w:r>
      <w:r>
        <w:rPr>
          <w:rFonts w:ascii="Times New Roman;Times;Serif" w:hAnsi="Times New Roman;Times;Serif"/>
          <w:b w:val="false"/>
          <w:i w:val="false"/>
          <w:caps w:val="false"/>
          <w:smallCaps w:val="false"/>
          <w:sz w:val="20"/>
          <w:u w:val="single"/>
        </w:rPr>
        <w:t>No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tab/>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tab/>
      </w: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or that could reasonably be expected to cause or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tab/>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tab/>
      </w:r>
      <w:r>
        <w:rPr>
          <w:rFonts w:ascii="Times New Roman;Times;Serif" w:hAnsi="Times New Roman;Times;Serif"/>
          <w:b w:val="false"/>
          <w:i w:val="false"/>
          <w:caps w:val="false"/>
          <w:smallCaps w:val="false"/>
          <w:sz w:val="20"/>
          <w:u w:val="single"/>
        </w:rPr>
        <w:t>Illegal or Unauthorized Payments; Political Contributions</w:t>
      </w:r>
      <w:r>
        <w:rPr>
          <w:rFonts w:ascii="Times New Roman;Times;Serif" w:hAnsi="Times New Roman;Times;Serif"/>
          <w:b w:val="false"/>
          <w:i w:val="false"/>
          <w:caps w:val="false"/>
          <w:smallCaps w:val="false"/>
          <w:sz w:val="20"/>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tab/>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The Company agrees that if the Company breaches any of the representations or warranties set forth in this Section 3 and in addition to any other remedies available to the Buyer pursuant to this Agreement, it will be considered an Event of Default under Section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of the Note.</w:t>
      </w:r>
    </w:p>
    <w:p>
      <w:pPr>
        <w:pStyle w:val="TextBody"/>
        <w:bidi w:val="0"/>
        <w:spacing w:before="0" w:after="0"/>
        <w:ind w:left="0" w:right="0" w:hanging="20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COVENANTS, AGREEMENTS AND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xml:space="preserve"> The parties shall use their best efforts to satisfy timely each of the conditions described in Section 6 and 7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The Company agrees to file a Form D with respect to the Securities if required under Regulation D and to provide a copy thereof to the Buyer promptly after such filing. The Company shall, on or before the Closing Date, take such action as the Company shall reasonably determine is necessary to qualify the Securities for sale to the Buyer at the applicable closing pursuant to this Agreement under applicable securities or “blue sky” laws of the states of the United States (or to obtain an exemption from such qualification), and shall provide evidence of any such action so taken to the Buyer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Purchase Price for business development and general working capital, and not for any other purpose, including but not limited to (i) the repayment of any indebtedness owed to officers, directors or employees of the Company or their affiliates, (ii) the repayment of any debt issued in corporate finance transactions (including but not limited to promissory notes that have the ability to be converted into Common Stock), (iii) any loan to or investment in any other corporation, partnership, enterprise or other person (except in connection with the Company’s currently existing operations), (iv) any loan, credit, or advance to any officers, directors, employees, or affiliates of the Company, or (v) in violation or contravention of any applicable law, rule or regulation.</w:t>
      </w:r>
    </w:p>
    <w:p>
      <w:pPr>
        <w:pStyle w:val="TextBody"/>
        <w:bidi w:val="0"/>
        <w:spacing w:before="0" w:after="0"/>
        <w:ind w:left="0" w:right="0" w:hanging="202"/>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Buyer in order to enforce any right or remedy under this Agreement, the Note and any document, agreement or instrument contemplated thereby. Notwithstanding any provision to the contrary contained in this Agreement, the Note and any document, agreement or instrument contemplated thereby, it is expressly agreed and provided that the total liability of the Company under this Agreement, the Note or any document, agreement or instrument contemplated thereby for payments which under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applicable law in the nature of interest that the Company may be obligated to pay under this Agreement, the Note and any document, agreement or instrument contemplated thereby exceed such Maximum Rate. It is agreed that if the maximum contract rate of interest allowed by law applicable to this Agreement, the Note and any document, agreement or instrument contemplated thereby is increased or decreased by statute or any official governmental action subsequent to the date hereof, the new maximum contract rate of interest allowed by law will be the Maximum Rate applicable to this Agreement, the Note and any document, agreement or instrument contemplated thereby from the effective date thereof forward, unless such application is precluded by applicable law. If under any circumstances whatsoever, interest in excess of the Maximum Rate is paid by the Company to the Buyer with respect to indebtedness evidenced by this Agreement, the Note and any document, agreement or instrument contemplated thereby, such excess shall be applied by the Buyer to the unpaid principal balance of any such indebtedness or be refunded to the Company, the manner of handling such excess to be at the Buyer’s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 on Activities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Buyer’s prior written consent, which consent shall not be unreasonably withheld: (a) change the nature of its business; or (b) sell, divest, acquire, change the structure of any material assets other than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will, so long as the Buyer owns any of the Securities, maintain the listing and trading of its Common Stock on the Principal Market or any equivalent replacement exchange or electronic quotation system (including but not limited to the Pink Sheets electronic quotation system)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from the Principal Market and any other exchanges or electronic quotation systems on which the Common Stock is then traded regarding the continued eligibility of the Common Stock for listing on such exchanges and quotation systems if requested in writing by the Buyer.</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The Company will, so long as the Buyer beneficially owns any of the Securities, maintain its corporate existence and shall not sell all or substantially all of the Company’s assets, except in the event of a merger or consolidation or sale of all or substantially all of the Company’s assets, where the surviving or successor entity in such transaction (i) assumes the Company’s obligations hereunder and under the agreements and instruments entered into in connection herewith and (ii) is a publicly traded corporation whose Common Stock is listed for trading or quotation on the Principal Market, any tier of the NASDAQ Stock Market, the New York Stock Exchange or the NYSE American.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xml:space="preserve">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Compliance with 1934 Act; Public Information Failures.</w:t>
      </w:r>
      <w:r>
        <w:rPr>
          <w:rFonts w:ascii="Times New Roman;Times;Serif" w:hAnsi="Times New Roman;Times;Serif"/>
          <w:b w:val="false"/>
          <w:i w:val="false"/>
          <w:caps w:val="false"/>
          <w:smallCaps w:val="false"/>
          <w:sz w:val="20"/>
        </w:rPr>
        <w:t xml:space="preserve"> For so long as the Buyer beneficially owns the Note or any Conversion Shares, the Company shall comply with the reporting requirements of the 1934 Act; and the Company shall continue to be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Legal Counsel Opinions</w:t>
      </w:r>
      <w:r>
        <w:rPr>
          <w:rFonts w:ascii="Times New Roman;Times;Serif" w:hAnsi="Times New Roman;Times;Serif"/>
          <w:b w:val="false"/>
          <w:i w:val="false"/>
          <w:caps w:val="false"/>
          <w:smallCaps w:val="false"/>
          <w:sz w:val="20"/>
        </w:rPr>
        <w:t>. Upon the request of the Buyer from to time to time, the Company shall be responsible (at its cost) for promptly supplying to the Company’s transfer agent and the Buyer a customary legal opinion letter of its counsel (the “Legal Counsel Opinion”) to the effect that the resale of the Conversion Shares by the Buyer or its affiliates, successors and assigns is exempt from the registration requirements of the 1933 Act pursuant to Rule 144 (provided the requirements of Rule 144 are satisfied and provided the Conversion Shares are not then registered under the 1933 Act for resale pursuant to an effective registration statement) or other applicable exemption (provided the requirements of such other applicable exemption are satisfied). In addition, the Buyer may (at the Company’s cost) at any time secure its own legal counsel to issue the Legal Counsel Opinion, and the Company will instruct its transfer agent to accept such opinion. The Company hereby agrees that it may never take the position that it is a “shell company” in connection with its obligations under this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neither it, nor any other person acting on its behalf will provide the Buyer or its agents or counsel with any information that constitutes, or the Company reasonably believes constitutes, material non-public information, unless prior thereto the Buyer shall have consented to the receipt of such information and agreed with the Company to keep such information confidential. The Company understands and confirms that the Buyer shall be relying on the foregoing covenant in effecting transactions in securities of the Company. To the extent that the Company delivers any material, non-public information to the Buyer without such Buyer’s consent, the Company hereby covenants and agrees that such Buyer shall not have any duty of confidentiality to the Company, any of its Subsidiaries, or any of their respective officers, directors, agents, employees or affiliates, not to trade on the basis of, such material, non- public information, provided that the Buyer shall remain subject to applicable law. To the extent that any notice provided, information provided, or any other communications made by the Company, to the Buyer, constitutes or contains material non-public information regarding the Company or any Subsidiaries, the Company shall simultaneously file such notice or other material information with the SEC pursuant to a Current Report on Form 8-K. In addition to any other remedies provided by this Agreement or the related transaction documents, if the Company provides any material non-public information to the Buyer without their prior written consent, and it fails to immediately (no later than that business day) file a Form 8-K disclosing this material non-public information, it shall pay the Buyer as partial liquidated damages and not as a penalty a sum equal to $3,000 per day beginning with the day the information is disclosed to the Buyer and ending and including the day the Form 8-K disclosing this information is filed.</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Buyer is currently, or ever has been, a broker-dealer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xml:space="preserve"> The Company acknowledges and agrees that if the Company breaches any of the covenants set forth in this Section 4, in addition to any other remedies available to the Buyer pursuant to this Agreement, it will be considered an Event of Default under Section 3.3 of the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issue irrevocable instructions to the Company’s transfer agent to issue certificates and/or issue shares electronically at the Buyer’s option, registered in the name of the Buyer or its nominee, upon conversion of the Note, the Conversion Shares, in such amounts as specified from time to time by the Buyer to the Company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reserved shares of Common Stock in the Reserved Amount (as defined in the Note)) signed by the successor transfer agent to the Company and the Company. Prior to registration of the Conversion Shares under the 1933 Act or the date on which the Conversion Shares may be sold pursuant to Rule 144, Rule 144A, Regulation S, or other applicable exemption without any restriction as to the number of Securities as of a particular date that can then be immediately sold, all such certificates or book entry shares shall bear the restrictive legend specified in Section 2(g)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Securities to be issued to the Buyer upon conversion of or otherwise pursuant to the Note as and when required by the Note and this Agreement; (iii) it will not fail to remove (or directs its transfer agent not to remove or impairs, delays, and/or hinders its transfer agent from removing) any restrictive legend (or to withdraw any stop transfer instructions in respect thereof) on any certificate for any Securities issued to the Buyer upon conversion of or otherwise pursuant to the Note as and when required by the Note and/or this Agreement and (iv) it will provide any required corporate resolutions and issuance approvals to its transfer agent within 6 hours of each conversion of the Note. Nothing in this Section shall affect in any way the Buyer’s obligations and agreement set forth in Section 2(g) hereof to comply with all applicable prospectus delivery requirements, if any, upon re-sale of the Securities. If the Buyer provides the Company, at the cost of the Company, with (i) an opinion of counsel in form, substance and scope customary for opinions in comparable transactions, to the effect that a public sale or transfer of such Securities may be made without registration under the 1933 Act and such sale or transfer is effected or (ii) the Buyer provides reasonable assurances that the Securities can be sold pursuant to 144, Rule 144A, Regulation S, or other applicable exemption, the Company shall permit the transfer, and, in the case of the Securities, promptly instruct its transfer agent to issue one or more certificates, free from restrictive legend, in such name and in such denominations as specified by the Buyer.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xml:space="preserve"> The obligation of the Company hereunder to issue and sell the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have executed the Transaction Documents and delivered the same to the Company.</w:t>
      </w:r>
    </w:p>
    <w:p>
      <w:pPr>
        <w:pStyle w:val="TextBody"/>
        <w:bidi w:val="0"/>
        <w:spacing w:before="0" w:after="0"/>
        <w:ind w:left="0" w:right="0" w:hanging="232"/>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delivered the Purchase Price in accordance with Section 1(b) above.</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21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Buyer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158"/>
        <w:jc w:val="both"/>
        <w:rPr>
          <w:caps w:val="false"/>
          <w:smallCaps w:val="false"/>
        </w:rPr>
      </w:pPr>
      <w:r>
        <w:rPr>
          <w:caps w:val="false"/>
          <w:smallCaps w:val="false"/>
        </w:rPr>
        <w:t> </w:t>
      </w:r>
    </w:p>
    <w:p>
      <w:pPr>
        <w:pStyle w:val="TextBody"/>
        <w:bidi w:val="0"/>
        <w:spacing w:before="0" w:after="0"/>
        <w:ind w:left="0" w:right="0" w:firstLine="21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Buyer shall have delivered to the Company all information reasonably necessary and requested by the Company to comply with applicable federal and state securities laws in connection with the Agreement, which shall include, but not be limited to, the Buyer’s principal place of residence or domicile for tax and securities law purposes and sufficient information to verify the Buyer’s status as an accredited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Conditions to The Buyer’s Obligation to Purchase.</w:t>
      </w:r>
      <w:r>
        <w:rPr>
          <w:rFonts w:ascii="Times New Roman;Times;Serif" w:hAnsi="Times New Roman;Times;Serif"/>
          <w:b w:val="false"/>
          <w:i w:val="false"/>
          <w:caps w:val="false"/>
          <w:smallCaps w:val="false"/>
          <w:sz w:val="20"/>
        </w:rPr>
        <w:t xml:space="preserve"> The obligation of the Buyer hereunder to purchase the Note, on the Closing Date, is subject to the satisfaction, at or before the Closing Date, of each of the following conditions, provided that these conditions are for the Buyer’s sole benefit and may be waived by the Buyer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8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Subsidiaries, as applicable, shall have executed the Transaction Documents and delivered the same to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Buyer the duly executed Note in such denominations as the Buyer shall request and in accordance with Section 1(b)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Buyer, shall have been delivered to and acknowledged in writing by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Trading in the Common Stock on the Principal Market shall not have been suspended by the SEC, FINRA or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Buyer (i) a certificate evidencing the formation and good standing of the Company in such entity’s jurisdiction of formation issued by the Secretary of State (or comparable office) of such jurisdiction, as of a date within ten (10) days of the Closing Date and (ii) resolutions adopted by the Company’s Board of Directors at a duly called meeting or by unanimous written consent authorizing this Agreement and all other documents, instruments and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Arbitration of Claims; Governing Law; Venue</w:t>
      </w:r>
      <w:r>
        <w:rPr>
          <w:rFonts w:ascii="Times New Roman;Times;Serif" w:hAnsi="Times New Roman;Times;Serif"/>
          <w:b w:val="false"/>
          <w:i w:val="false"/>
          <w:caps w:val="false"/>
          <w:smallCaps w:val="false"/>
          <w:sz w:val="20"/>
        </w:rPr>
        <w:t xml:space="preserve">. The Company and Buyer shall submit all Claims (as defined in Exhibit B of this Purchase Agreement) (the “Claims”) arising under this Agreement or any other agreement between the Company and Buyer or their respective affiliates (including but not limited to the Transaction Documents) or any Claim relating to the relationship of the Company and Buyer or their respective affiliates to binding arbitration pursuant to the arbitration provisions set forth in Exhibit B of the Purchase Agreement (the “Arbitration Provisions”). The Company and Buyer hereby acknowledge and agree that the Arbitration Provisions are unconditionally binding on the Company and Buyer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Buyer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Buyer consent to and expressly agree that the exclusive venue for arbitration of any Claims arising under this Agreement or any other agreement between the Company and Buyer or their respective affiliates (including but not limited to the Transaction Documents) or any Claim relating to the relationship of the Company and Buyer or their respective affiliates shall be in the Commonwealth of Massachusetts. Without modifying the Company’s and Buyer’s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or otherwise related to Buyer in any way (specifically including, without limitation, any action where Company seeks to obtain an injunction, temporary restraining order, or otherwise prohibit the Company’s transfer agent from issuing shares of Common Stock to Buyer for any reason)), each party hereto hereby (i) consents to and expressly submits to the exclusive personal jurisdiction of any state or federal court sitting in the Commonwealth of Massachusetts,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Buyer for any reason) outside of any state or federal court sitting in the Commonwealth of Massachusetts,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Buyer to realize on any collateral or any other security, or to enforce a judgment or other court ruling in favor of the Buyer,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but all of which shall constitute one and the same agreement and shall become effective when counterparts have been signed by each party and delivered to the other party. A facsimile or .pdf signature shall be considered due execution and shall be binding upon the signatory thereto with the same force and effect as if the signature were an original, not a facsimile or .pdf signature. Delivery of a counterpart signature hereto by facsimile or email/.pdf transmission shall be deemed validly delivery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xml:space="preserve"> This Agreement shall be deemed to be jointly drafted by the Company and the Buyer and shall not be construed against any person as the drafter hereof. The headings of this Agreement are for convenience of reference only and shall not form part of, or affect the interpretation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Agreement, the Note, or any other agreement or instrument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Agreement, the Note, or any other agreement, certificate, instrument or document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the Note,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or any agreement or instrument contemplated hereby may be waived or amended other than by an instrument in writing signed by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firstLine="1"/>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LABRYS FUND II, L.P.</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Tremont Street, Suite 201-1408</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admin@labrysii.com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assigns. The Company shall not assign this Agreement or any rights or obligations hereunder without the prior written consent of the Buyer. The Buyer may assign its rights hereunder to any “accredited investor” (as defined in Rule 501(a) of the 1933 Act) in a private transaction from the Buyer or to any of its “affiliates,” as that term is defined under the 1934 Act, without the consent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The Company, and the Buyer shall have the right to review a reasonable period of time before issuance of any press releases, SEC, Principal Market or FINRA filings, or any other public statements with respect to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without the prior approval of the Buyer, to make any press release or SEC, Principal Market (or other applicable trading market) or FINRA filings with respect to such transactions as is required by applicable law and regulations (although the Buyer shall be consulted by the Company in connection with any such press release prior to its release and shall be provided with a copy thereof and be given an opportunity to comment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xml:space="preserve">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Buyer’s execution and delivery of this Agreement and acquiring the Securities hereunder, and in addition to all of the Company’s other obligations under this Agreement or the Note, the Company shall defend, protect, indemnify and hold harmless the Buyer and its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the Note or any other agreement, certificate, instrument or document contemplated hereby or thereby, (b) any breach of any covenant, agreement or obligation of the Company contained in this Agreement, the Note or any other agreement,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this Agreement, the Note or any other agreement, certificate, instrument or document contemplated hereby or thereby, (ii) any transaction financed or to be financed in whole or in part, directly or indirectly, with the proceeds of the issuance of the Securities, or (iii) the status of the Buyer or holder of the Securities as an investor in the Company pursuant to the transactions contemplated by this Agreement. To the extent that the foregoing undertaking by the Company may be unenforceable for any reason, the Company shall make the maximum contribution to the payment and satisfaction of each of the Indemnified Liabilities that is permissible under applicable law.</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the Note, or any other agreement, certificate, instrument or document contemplated hereby or thereby will be inadequate and agrees, in the event of a breach or threatened breach by the Company of the provisions of this Agreement, the Note, or any other agreement, certificate, instrument or document contemplated hereby or thereby, that the Buyer shall be entitled, in addition to all other available remedies at law or in equity, and in addition to the penalties assessable herein, to an injunction or injunctions restraining, preventing or curing any breach of this Agreement, the Note, or any other agreement, certificate, instrument or document contemplated hereby or thereby, and to enforce specifically the terms and provisions hereof and thereof, without the necessity of showing economic loss and without any bond or other security being required.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(i) Company makes a payment or payments to the Buyer hereunder, pursuant to the Note or pursuant to any other agreement, certificate, instrument or document contemplated hereby or thereby, or (ii) the Buyer enforces or exercises its rights hereunder or pursuant to the Note, or pursuant to any other agreement, certificate, instrument or document contemplated hereby or thereby,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Buyer,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Buyer a dollar amount equal to the amount that was for any reason (i) subsequently invalidated, declared to be fraudulent or preferential, set aside, recovered from, or disgorged by the Buyer,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Buyer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Buyer existing hereunder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380"/>
        <w:gridCol w:w="650"/>
        <w:gridCol w:w="3230"/>
        <w:gridCol w:w="75"/>
      </w:tblGrid>
      <w:tr>
        <w:trPr/>
        <w:tc>
          <w:tcPr>
            <w:tcW w:w="4260" w:type="dxa"/>
            <w:gridSpan w:val="3"/>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880" w:type="dxa"/>
            <w:gridSpan w:val="2"/>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230"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230"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0" w:type="dxa"/>
            <w:gridSpan w:val="3"/>
            <w:tcBorders/>
            <w:vAlign w:val="center"/>
          </w:tcPr>
          <w:p>
            <w:pPr>
              <w:pStyle w:val="TableContents"/>
              <w:bidi w:val="0"/>
              <w:spacing w:before="0" w:after="283"/>
              <w:jc w:val="left"/>
              <w:rPr>
                <w:b/>
              </w:rPr>
            </w:pPr>
            <w:r>
              <w:rPr>
                <w:b/>
              </w:rPr>
              <w:t>LABRYS FUND II, L.P.</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0" w:type="dxa"/>
            <w:gridSpan w:val="3"/>
            <w:tcBorders/>
            <w:vAlign w:val="center"/>
          </w:tcPr>
          <w:p>
            <w:pPr>
              <w:pStyle w:val="TableContents"/>
              <w:bidi w:val="0"/>
              <w:spacing w:before="0" w:after="283"/>
              <w:jc w:val="left"/>
              <w:rPr/>
            </w:pPr>
            <w:r>
              <w:rPr/>
              <w:t>By: Labrys II GP, LLC, its General Partner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880" w:type="dxa"/>
            <w:gridSpan w:val="2"/>
            <w:tcBorders>
              <w:bottom w:val="single" w:sz="12" w:space="0" w:color="000000"/>
            </w:tcBorders>
            <w:tcMar>
              <w:bottom w:w="28" w:type="dxa"/>
            </w:tcMar>
            <w:vAlign w:val="center"/>
          </w:tcPr>
          <w:p>
            <w:pPr>
              <w:pStyle w:val="TableContents"/>
              <w:bidi w:val="0"/>
              <w:spacing w:before="0" w:after="283"/>
              <w:jc w:val="left"/>
              <w:rPr/>
            </w:pPr>
            <w:r>
              <w:rPr/>
              <w:t>/s/ PATRICK HASSANI</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230" w:type="dxa"/>
            <w:tcBorders/>
            <w:vAlign w:val="center"/>
          </w:tcPr>
          <w:p>
            <w:pPr>
              <w:pStyle w:val="TableContents"/>
              <w:bidi w:val="0"/>
              <w:spacing w:before="0" w:after="283"/>
              <w:jc w:val="left"/>
              <w:rPr/>
            </w:pPr>
            <w:r>
              <w:rPr/>
              <w:t>PATRICK HASSANI</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23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[attached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Each party consents to and expressly agrees that the exclusive venue for arbitration of any dispute arising out of or relating to any of the Transaction Documents or the relationship of the parties or their affiliates shall be in the Commonwealth of Massachusetts. For purposes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means any disputes, claims, demands, causes of action, requests for injunctive relief, requests for specific performance, questions regarding severability of any provisions of the Transaction Documents,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The parties to this Agreement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hereby agree that the Claims may be arbitrated in one or more Arbitrations pursuant to these Arbitration Provisions (one for an injunction or injunctions and a separate one for all other Claims). The parties hereby agree that the arbitration provisions set forth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Arbitration Provisions</w:t>
      </w:r>
      <w:r>
        <w:rPr>
          <w:rFonts w:ascii="Times New Roman;Times;Serif" w:hAnsi="Times New Roman;Times;Serif"/>
          <w:b w:val="false"/>
          <w:i w:val="false"/>
          <w:caps w:val="false"/>
          <w:smallCaps w:val="false"/>
          <w:sz w:val="20"/>
        </w:rPr>
        <w:t>”)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These Arbitration Provisions shall also survive any termination or expiration of the Agreement. Any capitalized term not defined in these Arbitration Provisions shall have the meaning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Except as otherwise provided herein, all Claims must be submitted to arbitration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 to be conducted exclusively in the Commonwealth of Massachusetts and pursuant to the terms set forth in these Arbitration Provisions. Subject to the arbitration appeal right provided for in Paragraph 5 below (the “</w:t>
      </w:r>
      <w:r>
        <w:rPr>
          <w:rFonts w:ascii="Times New Roman;Times;Serif" w:hAnsi="Times New Roman;Times;Serif"/>
          <w:b/>
          <w:i w:val="false"/>
          <w:caps w:val="false"/>
          <w:smallCaps w:val="false"/>
          <w:sz w:val="20"/>
        </w:rPr>
        <w:t>Appeal Right</w:t>
      </w:r>
      <w:r>
        <w:rPr>
          <w:rFonts w:ascii="Times New Roman;Times;Serif" w:hAnsi="Times New Roman;Times;Serif"/>
          <w:b w:val="false"/>
          <w:i w:val="false"/>
          <w:caps w:val="false"/>
          <w:smallCaps w:val="false"/>
          <w:sz w:val="20"/>
        </w:rPr>
        <w:t>”), the parties agree that the award of the arbitrator rendered pursuant to Paragraph 4 below (the “</w:t>
      </w:r>
      <w:r>
        <w:rPr>
          <w:rFonts w:ascii="Times New Roman;Times;Serif" w:hAnsi="Times New Roman;Times;Serif"/>
          <w:b/>
          <w:i w:val="false"/>
          <w:caps w:val="false"/>
          <w:smallCaps w:val="false"/>
          <w:sz w:val="20"/>
        </w:rPr>
        <w:t>Arbitration Award</w:t>
      </w:r>
      <w:r>
        <w:rPr>
          <w:rFonts w:ascii="Times New Roman;Times;Serif" w:hAnsi="Times New Roman;Times;Serif"/>
          <w:b w:val="false"/>
          <w:i w:val="false"/>
          <w:caps w:val="false"/>
          <w:smallCaps w:val="false"/>
          <w:sz w:val="20"/>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(with respect to monetary awards) at the rate specified in the Note for Default Interest both before and after the Arbitration Award. Judgment upon the Arbitration Award will be entered and enforced by any state or federal court sitting in the Commonwealth of Massachusetts.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The Arbitration Act</w:t>
      </w:r>
      <w:r>
        <w:rPr>
          <w:rFonts w:ascii="Times New Roman;Times;Serif" w:hAnsi="Times New Roman;Times;Serif"/>
          <w:b w:val="false"/>
          <w:i w:val="false"/>
          <w:caps w:val="false"/>
          <w:smallCaps w:val="false"/>
          <w:sz w:val="20"/>
        </w:rPr>
        <w:t>. The parties hereby incorporate herein the provisions and procedures set forth in the Massachusetts Uniform Arbitration Act, G.L. c. 251 (as amended or superseded from time to time, the “</w:t>
      </w:r>
      <w:r>
        <w:rPr>
          <w:rFonts w:ascii="Times New Roman;Times;Serif" w:hAnsi="Times New Roman;Times;Serif"/>
          <w:b/>
          <w:i w:val="false"/>
          <w:caps w:val="false"/>
          <w:smallCaps w:val="false"/>
          <w:sz w:val="20"/>
        </w:rPr>
        <w:t>Arbitration Act</w:t>
      </w:r>
      <w:r>
        <w:rPr>
          <w:rFonts w:ascii="Times New Roman;Times;Serif" w:hAnsi="Times New Roman;Times;Serif"/>
          <w:b w:val="false"/>
          <w:i w:val="false"/>
          <w:caps w:val="false"/>
          <w:smallCaps w:val="false"/>
          <w:sz w:val="20"/>
        </w:rPr>
        <w:t>”). Notwithstanding the foregoing, pursuant to, and to the maximum extent permitted by,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Arbitration Proceedings</w:t>
      </w:r>
      <w:r>
        <w:rPr>
          <w:rFonts w:ascii="Times New Roman;Times;Serif" w:hAnsi="Times New Roman;Times;Serif"/>
          <w:b w:val="false"/>
          <w:i w:val="false"/>
          <w:caps w:val="false"/>
          <w:smallCaps w:val="false"/>
          <w:sz w:val="20"/>
        </w:rPr>
        <w:t>. Arbitration between the parties will be subject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caps w:val="false"/>
          <w:smallCaps w:val="false"/>
          <w:sz w:val="20"/>
        </w:rPr>
        <w:t>Initiation of Arbitration</w:t>
      </w:r>
      <w:r>
        <w:rPr>
          <w:rFonts w:ascii="Times New Roman;Times;Serif" w:hAnsi="Times New Roman;Times;Serif"/>
          <w:b w:val="false"/>
          <w:i w:val="false"/>
          <w:caps w:val="false"/>
          <w:smallCaps w:val="false"/>
          <w:sz w:val="20"/>
        </w:rPr>
        <w:t>. The parties agree that a party may initiate Arbitration by giving written notice to the other party (“</w:t>
      </w:r>
      <w:r>
        <w:rPr>
          <w:rFonts w:ascii="Times New Roman;Times;Serif" w:hAnsi="Times New Roman;Times;Serif"/>
          <w:b/>
          <w:i w:val="false"/>
          <w:caps w:val="false"/>
          <w:smallCaps w:val="false"/>
          <w:sz w:val="20"/>
        </w:rPr>
        <w:t>Arbitration Notice</w:t>
      </w:r>
      <w:r>
        <w:rPr>
          <w:rFonts w:ascii="Times New Roman;Times;Serif" w:hAnsi="Times New Roman;Times;Serif"/>
          <w:b w:val="false"/>
          <w:i w:val="false"/>
          <w:caps w:val="false"/>
          <w:smallCaps w:val="false"/>
          <w:sz w:val="20"/>
        </w:rPr>
        <w:t xml:space="preserve">”) in the same manner that notice is permitted under Section 8(f) of the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Arbitration Notice may not be given by email or fax. Arbitration will be deemed initiated as of the date that the Arbitration Notice is deemed physically delivered to such other party under Section 8(f) of the Agreement (the “</w:t>
      </w:r>
      <w:r>
        <w:rPr>
          <w:rFonts w:ascii="Times New Roman;Times;Serif" w:hAnsi="Times New Roman;Times;Serif"/>
          <w:b/>
          <w:i w:val="false"/>
          <w:caps w:val="false"/>
          <w:smallCaps w:val="false"/>
          <w:sz w:val="20"/>
        </w:rPr>
        <w:t>Service Date</w:t>
      </w:r>
      <w:r>
        <w:rPr>
          <w:rFonts w:ascii="Times New Roman;Times;Serif" w:hAnsi="Times New Roman;Times;Serif"/>
          <w:b w:val="false"/>
          <w:i w:val="false"/>
          <w:caps w:val="false"/>
          <w:smallCaps w:val="false"/>
          <w:sz w:val="20"/>
        </w:rPr>
        <w:t>”). After the Service Date, information may be delivered, and notices may be given, by email or fax pursuant to Section 8(f) of the Agreement or any other method permitted thereunder. The Arbitration Notice must describe the nature of the controversy, the remedies sought, and the election to commence Arbitration proceedings. All Claims in the Arbitration Notice must be pleaded consistent with the Massachusetts Rules of Civil Procedure.</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caps w:val="false"/>
          <w:smallCaps w:val="false"/>
          <w:sz w:val="20"/>
        </w:rPr>
        <w:t>Selection and Payment of Arbitrator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Service Date, Buyer shall select and submit to Company the names of four (4) arbitrators that are designated as “neutrals” or qualified arbitrators by JAMS (</w:t>
      </w:r>
      <w:r>
        <w:rPr>
          <w:rFonts w:ascii="Times New Roman;Times;Serif" w:hAnsi="Times New Roman;Times;Serif"/>
          <w:b w:val="false"/>
          <w:i w:val="false"/>
          <w:caps w:val="false"/>
          <w:smallCaps w:val="false"/>
          <w:sz w:val="20"/>
          <w:u w:val="single"/>
        </w:rPr>
        <w:t>https://www.jamsadr.com/</w:t>
      </w:r>
      <w:r>
        <w:rPr>
          <w:rFonts w:ascii="Times New Roman;Times;Serif" w:hAnsi="Times New Roman;Times;Serif"/>
          <w:b w:val="false"/>
          <w:i w:val="false"/>
          <w:caps w:val="false"/>
          <w:smallCaps w:val="false"/>
          <w:sz w:val="20"/>
        </w:rPr>
        <w:t>) or other arbitration service provider agreed upon by the parties (such four (4) designated persons hereunder are referred to herein as the “</w:t>
      </w:r>
      <w:r>
        <w:rPr>
          <w:rFonts w:ascii="Times New Roman;Times;Serif" w:hAnsi="Times New Roman;Times;Serif"/>
          <w:b/>
          <w:i w:val="false"/>
          <w:caps w:val="false"/>
          <w:smallCaps w:val="false"/>
          <w:sz w:val="20"/>
        </w:rPr>
        <w:t>Proposed Arbitrators</w:t>
      </w:r>
      <w:r>
        <w:rPr>
          <w:rFonts w:ascii="Times New Roman;Times;Serif" w:hAnsi="Times New Roman;Times;Serif"/>
          <w:b w:val="false"/>
          <w:i w:val="false"/>
          <w:caps w:val="false"/>
          <w:smallCaps w:val="false"/>
          <w:sz w:val="20"/>
        </w:rPr>
        <w:t>”). Within five (5) calendar days after Buyer has submitted to Company the names of the Proposed Arbitrators, Company must select, by written notice to Buyer, one (1) of the Proposed Arbitrators to act as the arbitrator for the parties under these Arbitration Provisions. If Company fails to select one of the Proposed Arbitrators in writing within such 5-day period, then Buyer may select the arbitrator from the Proposed Arbitrators by providing written notice of such selection to Company. The date that the Proposed Arbitrator selected pursuant to this Paragraph 4.2 agrees in writing (including via email) delivered to both parties to serve as the arbitrator hereunder is referred to herein as the “</w:t>
      </w:r>
      <w:r>
        <w:rPr>
          <w:rFonts w:ascii="Times New Roman;Times;Serif" w:hAnsi="Times New Roman;Times;Serif"/>
          <w:b/>
          <w:i w:val="false"/>
          <w:caps w:val="false"/>
          <w:smallCaps w:val="false"/>
          <w:sz w:val="20"/>
        </w:rPr>
        <w:t>Arbitration Commencement Date</w:t>
      </w:r>
      <w:r>
        <w:rPr>
          <w:rFonts w:ascii="Times New Roman;Times;Serif" w:hAnsi="Times New Roman;Times;Serif"/>
          <w:b w:val="false"/>
          <w:i w:val="false"/>
          <w:caps w:val="false"/>
          <w:smallCaps w:val="false"/>
          <w:sz w:val="20"/>
        </w:rPr>
        <w:t>”. If an arbitrator resigns or is unable to act during the Arbitration, a replacement arbitrator shall be chosen by Buyer in accordance with this Paragraph 4.2 to continue the Arbitration. If JAMS or other arbitration service provider agreed upon by the parties ceases to exist or to provide a list of neutrals and there is no successor thereto, then the arbitrator shall be selected under the then prevailing rules of the American Arbitration Association.</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caps w:val="false"/>
          <w:smallCaps w:val="false"/>
          <w:sz w:val="20"/>
        </w:rPr>
        <w:t>Applicability of Certain Massachusetts Rules</w:t>
      </w:r>
      <w:r>
        <w:rPr>
          <w:rFonts w:ascii="Times New Roman;Times;Serif" w:hAnsi="Times New Roman;Times;Serif"/>
          <w:b w:val="false"/>
          <w:i w:val="false"/>
          <w:caps w:val="false"/>
          <w:smallCaps w:val="false"/>
          <w:sz w:val="20"/>
        </w:rPr>
        <w:t>. The parties agree that the Arbitration shall be conducted generally in accordance with the Massachusetts Rules of Civil Procedure and the Massachusetts Rules of Evidence. More specifically, the Massachusetts Rules of Civil Procedure shall apply, without limitation, to the filing of any pleadings, motions or memoranda, the conducting of discovery, and the taking of any depositions. The Massachusetts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Massachusetts Rules of Civil Procedure or the Massachusetts Rules of Evidence and these Arbitration Provisions, these Arbitration Provisions shall control.</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caps w:val="false"/>
          <w:smallCaps w:val="false"/>
          <w:sz w:val="20"/>
        </w:rPr>
        <w:t>Answer and Default</w:t>
      </w:r>
      <w:r>
        <w:rPr>
          <w:rFonts w:ascii="Times New Roman;Times;Serif" w:hAnsi="Times New Roman;Times;Serif"/>
          <w:b w:val="false"/>
          <w:i w:val="false"/>
          <w:caps w:val="false"/>
          <w:smallCaps w:val="false"/>
          <w:sz w:val="20"/>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caps w:val="false"/>
          <w:smallCaps w:val="false"/>
          <w:sz w:val="20"/>
        </w:rPr>
        <w:t>Discovery</w:t>
      </w:r>
      <w:r>
        <w:rPr>
          <w:rFonts w:ascii="Times New Roman;Times;Serif" w:hAnsi="Times New Roman;Times;Serif"/>
          <w:b w:val="false"/>
          <w:i w:val="false"/>
          <w:caps w:val="false"/>
          <w:smallCaps w:val="false"/>
          <w:sz w:val="20"/>
        </w:rPr>
        <w:t>. The parties agree that discovery shall be conducted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Dispositive Motions</w:t>
      </w:r>
      <w:r>
        <w:rPr>
          <w:rFonts w:ascii="Times New Roman;Times;Serif" w:hAnsi="Times New Roman;Times;Serif"/>
          <w:b w:val="false"/>
          <w:i w:val="false"/>
          <w:caps w:val="false"/>
          <w:smallCaps w:val="false"/>
          <w:sz w:val="20"/>
        </w:rPr>
        <w:t>. Each party shall have the right to submit dispositive motions pursuant to the Massachusetts Rules of Civil Procedure (a “</w:t>
      </w:r>
      <w:r>
        <w:rPr>
          <w:rFonts w:ascii="Times New Roman;Times;Serif" w:hAnsi="Times New Roman;Times;Serif"/>
          <w:b/>
          <w:i w:val="false"/>
          <w:caps w:val="false"/>
          <w:smallCaps w:val="false"/>
          <w:sz w:val="20"/>
        </w:rPr>
        <w:t>Dispositive Motion</w:t>
      </w:r>
      <w:r>
        <w:rPr>
          <w:rFonts w:ascii="Times New Roman;Times;Serif" w:hAnsi="Times New Roman;Times;Serif"/>
          <w:b w:val="false"/>
          <w:i w:val="false"/>
          <w:caps w:val="false"/>
          <w:smallCaps w:val="false"/>
          <w:sz w:val="20"/>
        </w:rPr>
        <w:t>”). The party submitting the Dispositive Motion may, but is not required to, deliver to the arbitrator and to the other party a memorandum in support (the “</w:t>
      </w:r>
      <w:r>
        <w:rPr>
          <w:rFonts w:ascii="Times New Roman;Times;Serif" w:hAnsi="Times New Roman;Times;Serif"/>
          <w:b/>
          <w:i w:val="false"/>
          <w:caps w:val="false"/>
          <w:smallCaps w:val="false"/>
          <w:sz w:val="20"/>
        </w:rPr>
        <w:t>Memorandum in Support</w:t>
      </w:r>
      <w:r>
        <w:rPr>
          <w:rFonts w:ascii="Times New Roman;Times;Serif" w:hAnsi="Times New Roman;Times;Serif"/>
          <w:b w:val="false"/>
          <w:i w:val="false"/>
          <w:caps w:val="false"/>
          <w:smallCaps w:val="false"/>
          <w:sz w:val="20"/>
        </w:rPr>
        <w:t>”) of the Dispositive Motion. Within seven (7) calendar days of delivery of the Memorandum in Support, the other party shall deliver to the arbitrator and to the other party a memorandum in opposition to the Memorandum in Support (the “</w:t>
      </w:r>
      <w:r>
        <w:rPr>
          <w:rFonts w:ascii="Times New Roman;Times;Serif" w:hAnsi="Times New Roman;Times;Serif"/>
          <w:b/>
          <w:i w:val="false"/>
          <w:caps w:val="false"/>
          <w:smallCaps w:val="false"/>
          <w:sz w:val="20"/>
        </w:rPr>
        <w:t>Memorandum in Opposition</w:t>
      </w:r>
      <w:r>
        <w:rPr>
          <w:rFonts w:ascii="Times New Roman;Times;Serif" w:hAnsi="Times New Roman;Times;Serif"/>
          <w:b w:val="false"/>
          <w:i w:val="false"/>
          <w:caps w:val="false"/>
          <w:smallCaps w:val="false"/>
          <w:sz w:val="20"/>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Times;Serif" w:hAnsi="Times New Roman;Times;Serif"/>
          <w:b/>
          <w:i w:val="false"/>
          <w:caps w:val="false"/>
          <w:smallCaps w:val="false"/>
          <w:sz w:val="20"/>
        </w:rPr>
        <w:t>Reply Memorandum</w:t>
      </w:r>
      <w:r>
        <w:rPr>
          <w:rFonts w:ascii="Times New Roman;Times;Serif" w:hAnsi="Times New Roman;Times;Serif"/>
          <w:b w:val="false"/>
          <w:i w:val="false"/>
          <w:caps w:val="false"/>
          <w:smallCaps w:val="false"/>
          <w:sz w:val="20"/>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caps w:val="false"/>
          <w:smallCaps w:val="false"/>
          <w:sz w:val="20"/>
        </w:rPr>
        <w:t>Authorization; Timing; Scheduling Order</w:t>
      </w:r>
      <w:r>
        <w:rPr>
          <w:rFonts w:ascii="Times New Roman;Times;Serif" w:hAnsi="Times New Roman;Times;Serif"/>
          <w:b w:val="false"/>
          <w:i w:val="false"/>
          <w:caps w:val="false"/>
          <w:smallCaps w:val="false"/>
          <w:sz w:val="20"/>
        </w:rPr>
        <w:t>. Subject to all other portions of these Arbitration Provisions, the parties hereby authorize and direct the arbitrator to take such actions and make such rulings as may be necessary to carry out the parties’ intent for the Arbitration proceedings to be efficient and expeditious. The parties hereby agree that an Arbitration Award must be made within one hundred twenty (120) calendar days after the Arbitration Commencement Date.</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caps w:val="false"/>
          <w:smallCaps w:val="false"/>
          <w:sz w:val="20"/>
        </w:rPr>
        <w:t>Relief</w:t>
      </w:r>
      <w:r>
        <w:rPr>
          <w:rFonts w:ascii="Times New Roman;Times;Serif" w:hAnsi="Times New Roman;Times;Serif"/>
          <w:b w:val="false"/>
          <w:i w:val="false"/>
          <w:caps w:val="false"/>
          <w:smallCaps w:val="false"/>
          <w:sz w:val="20"/>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Arbitration Appeal</w:t>
      </w:r>
      <w:r>
        <w:rPr>
          <w:rFonts w:ascii="Times New Roman;Times;Serif" w:hAnsi="Times New Roman;Times;Serif"/>
          <w:b w:val="false"/>
          <w:i w:val="false"/>
          <w:caps w:val="false"/>
          <w:smallCaps w:val="false"/>
          <w:sz w:val="20"/>
        </w:rPr>
        <w:t>.</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caps w:val="false"/>
          <w:smallCaps w:val="false"/>
          <w:sz w:val="20"/>
        </w:rPr>
        <w:t>Initiation of Appeal.</w:t>
      </w:r>
      <w:r>
        <w:rPr>
          <w:rFonts w:ascii="Times New Roman;Times;Serif" w:hAnsi="Times New Roman;Times;Serif"/>
          <w:b w:val="false"/>
          <w:i w:val="false"/>
          <w:caps w:val="false"/>
          <w:smallCaps w:val="false"/>
          <w:sz w:val="20"/>
        </w:rPr>
        <w:t xml:space="preserve"> Following the entry of the Arbitration Award, either party (the “</w:t>
      </w:r>
      <w:r>
        <w:rPr>
          <w:rFonts w:ascii="Times New Roman;Times;Serif" w:hAnsi="Times New Roman;Times;Serif"/>
          <w:b/>
          <w:i w:val="false"/>
          <w:caps w:val="false"/>
          <w:smallCaps w:val="false"/>
          <w:sz w:val="20"/>
        </w:rPr>
        <w:t>Appellant</w:t>
      </w:r>
      <w:r>
        <w:rPr>
          <w:rFonts w:ascii="Times New Roman;Times;Serif" w:hAnsi="Times New Roman;Times;Serif"/>
          <w:b w:val="false"/>
          <w:i w:val="false"/>
          <w:caps w:val="false"/>
          <w:smallCaps w:val="false"/>
          <w:sz w:val="20"/>
        </w:rPr>
        <w:t>”) shall have a period of thirty (30) calendar days in which to notify the other party (the “</w:t>
      </w:r>
      <w:r>
        <w:rPr>
          <w:rFonts w:ascii="Times New Roman;Times;Serif" w:hAnsi="Times New Roman;Times;Serif"/>
          <w:b/>
          <w:i w:val="false"/>
          <w:caps w:val="false"/>
          <w:smallCaps w:val="false"/>
          <w:sz w:val="20"/>
        </w:rPr>
        <w:t>Appellee</w:t>
      </w:r>
      <w:r>
        <w:rPr>
          <w:rFonts w:ascii="Times New Roman;Times;Serif" w:hAnsi="Times New Roman;Times;Serif"/>
          <w:b w:val="false"/>
          <w:i w:val="false"/>
          <w:caps w:val="false"/>
          <w:smallCaps w:val="false"/>
          <w:sz w:val="20"/>
        </w:rPr>
        <w:t>”), in writing, that the Appellant elects to appeal (the “</w:t>
      </w:r>
      <w:r>
        <w:rPr>
          <w:rFonts w:ascii="Times New Roman;Times;Serif" w:hAnsi="Times New Roman;Times;Serif"/>
          <w:b/>
          <w:i w:val="false"/>
          <w:caps w:val="false"/>
          <w:smallCaps w:val="false"/>
          <w:sz w:val="20"/>
        </w:rPr>
        <w:t>Appeal</w:t>
      </w:r>
      <w:r>
        <w:rPr>
          <w:rFonts w:ascii="Times New Roman;Times;Serif" w:hAnsi="Times New Roman;Times;Serif"/>
          <w:b w:val="false"/>
          <w:i w:val="false"/>
          <w:caps w:val="false"/>
          <w:smallCaps w:val="false"/>
          <w:sz w:val="20"/>
        </w:rPr>
        <w:t>”) the Arbitration Award (such notice, an “</w:t>
      </w:r>
      <w:r>
        <w:rPr>
          <w:rFonts w:ascii="Times New Roman;Times;Serif" w:hAnsi="Times New Roman;Times;Serif"/>
          <w:b/>
          <w:i w:val="false"/>
          <w:caps w:val="false"/>
          <w:smallCaps w:val="false"/>
          <w:sz w:val="20"/>
        </w:rPr>
        <w:t>Appeal Notice</w:t>
      </w:r>
      <w:r>
        <w:rPr>
          <w:rFonts w:ascii="Times New Roman;Times;Serif" w:hAnsi="Times New Roman;Times;Serif"/>
          <w:b w:val="false"/>
          <w:i w:val="false"/>
          <w:caps w:val="false"/>
          <w:smallCaps w:val="false"/>
          <w:sz w:val="20"/>
        </w:rPr>
        <w:t>”) to a panel of arbitrators in accordance with the Arbitration Act.</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xml:space="preserve"> 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Except as otherwise expressly provided for in these Arbitration Provisions, these Arbitration Provisions shall be governed by the laws of the State of Delaware without regard to the conflict of laws principles therein.</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headings of these Arbitration Provisions are for convenience of reference only and shall not form part of, or affect the interpretation of, these Arbitration Provisions.</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caps w:val="false"/>
          <w:smallCaps w:val="false"/>
          <w:sz w:val="20"/>
        </w:rPr>
        <w:t>Waiver</w:t>
      </w:r>
      <w:r>
        <w:rPr>
          <w:rFonts w:ascii="Times New Roman;Times;Serif" w:hAnsi="Times New Roman;Times;Serif"/>
          <w:b w:val="false"/>
          <w:i w:val="false"/>
          <w:caps w:val="false"/>
          <w:smallCaps w:val="false"/>
          <w:sz w:val="20"/>
        </w:rPr>
        <w:t>. No waiver of any provision of these Arbitration Provisions shall be effective unless it is in the form of a writing signed by the party granting the waiver.</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caps w:val="false"/>
          <w:smallCaps w:val="false"/>
          <w:sz w:val="20"/>
        </w:rPr>
        <w:t>Time is of the Essence</w:t>
      </w:r>
      <w:r>
        <w:rPr>
          <w:rFonts w:ascii="Times New Roman;Times;Serif" w:hAnsi="Times New Roman;Times;Serif"/>
          <w:b w:val="false"/>
          <w:i w:val="false"/>
          <w:caps w:val="false"/>
          <w:smallCaps w:val="false"/>
          <w:sz w:val="20"/>
        </w:rPr>
        <w:t>. Time is expressly made of the essence with respect to each and every provision of these Arbitration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57" w:name="ea030132501ex10-48.htm"/>
      <w:bookmarkStart w:id="58" w:name="ksea030132501ex1048"/>
      <w:bookmarkEnd w:id="57"/>
      <w:bookmarkEnd w:id="58"/>
      <w:r>
        <w:rPr>
          <w:b/>
        </w:rPr>
        <w:t>Exhibit 10.48</w:t>
      </w:r>
      <w:r>
        <w:br w:type="page"/>
      </w:r>
    </w:p>
    <w:p>
      <w:pPr>
        <w:pStyle w:val="TextBody"/>
        <w:bidi w:val="0"/>
        <w:jc w:val="righ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OR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367"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4790"/>
        <w:gridCol w:w="2660"/>
      </w:tblGrid>
      <w:tr>
        <w:trPr/>
        <w:tc>
          <w:tcPr>
            <w:tcW w:w="4790" w:type="dxa"/>
            <w:tcBorders/>
            <w:vAlign w:val="center"/>
          </w:tcPr>
          <w:p>
            <w:pPr>
              <w:pStyle w:val="TableContents"/>
              <w:bidi w:val="0"/>
              <w:spacing w:before="0" w:after="283"/>
              <w:jc w:val="left"/>
              <w:rPr>
                <w:b/>
              </w:rPr>
            </w:pPr>
            <w:r>
              <w:rPr>
                <w:b/>
              </w:rPr>
              <w:t>Principal Amount: $250,000.00</w:t>
            </w:r>
          </w:p>
        </w:tc>
        <w:tc>
          <w:tcPr>
            <w:tcW w:w="2660" w:type="dxa"/>
            <w:tcBorders/>
            <w:vAlign w:val="center"/>
          </w:tcPr>
          <w:p>
            <w:pPr>
              <w:pStyle w:val="TableContents"/>
              <w:bidi w:val="0"/>
              <w:spacing w:before="0" w:after="283"/>
              <w:jc w:val="right"/>
              <w:rPr>
                <w:b/>
              </w:rPr>
            </w:pPr>
            <w:r>
              <w:rPr>
                <w:b/>
              </w:rPr>
              <w:t>Issue Date: April 20, 2026</w:t>
            </w:r>
          </w:p>
        </w:tc>
      </w:tr>
      <w:tr>
        <w:trPr/>
        <w:tc>
          <w:tcPr>
            <w:tcW w:w="4790" w:type="dxa"/>
            <w:tcBorders/>
            <w:vAlign w:val="center"/>
          </w:tcPr>
          <w:p>
            <w:pPr>
              <w:pStyle w:val="TableContents"/>
              <w:bidi w:val="0"/>
              <w:spacing w:before="0" w:after="283"/>
              <w:jc w:val="left"/>
              <w:rPr>
                <w:b/>
              </w:rPr>
            </w:pPr>
            <w:r>
              <w:rPr>
                <w:b/>
              </w:rPr>
              <w:t>Actual Amount of Purchase Price: $232,500.00</w:t>
            </w:r>
          </w:p>
        </w:tc>
        <w:tc>
          <w:tcPr>
            <w:tcW w:w="266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(hereinafter called the “Borrower” or the “Company”), hereby promises to pay to the order of </w:t>
      </w:r>
      <w:r>
        <w:rPr>
          <w:rFonts w:ascii="Times New Roman;Times;Serif" w:hAnsi="Times New Roman;Times;Serif"/>
          <w:b/>
          <w:i w:val="false"/>
          <w:caps w:val="false"/>
          <w:smallCaps w:val="false"/>
          <w:sz w:val="20"/>
        </w:rPr>
        <w:t>LABRYS FUND II, L.P.</w:t>
      </w:r>
      <w:r>
        <w:rPr>
          <w:rFonts w:ascii="Times New Roman;Times;Serif" w:hAnsi="Times New Roman;Times;Serif"/>
          <w:b w:val="false"/>
          <w:i w:val="false"/>
          <w:caps w:val="false"/>
          <w:smallCaps w:val="false"/>
          <w:sz w:val="20"/>
        </w:rPr>
        <w:t>, a Delaware limited partnership, or registered assigns (the “Holder”), in the form of lawful money of the United States of America, the principal sum of $250,000.00 (the “Principal Amount”) (subject to adjustment herein), which includes the purchase price of $232,500.00 plus an original issue discount in the amount of $17,500.00 (the “OID”), and to pay a one-time interest charge on the Principal Amount hereof at the rate of ten percent (10%) (the “Interest Rate”) (which is equal to $25,000.00 and shall be guaranteed and earned in full as of the date hereof (the “Issue Date”)), when such amounts become due and payable, whether at maturity or upon acceleration or by prepayment or otherwise, as further provided herein. The maturity date shall be twelve (12) months from the Issue Date (the “Maturity Date”), and is the date upon which the Principal Amount (which includes the OID) and any accrued and unpaid interest and other fees, shall be due and payable (in addition to all payment obligations under Section 4.14 of this Note).</w:t>
      </w:r>
    </w:p>
    <w:p>
      <w:pPr>
        <w:pStyle w:val="TextBody"/>
        <w:bidi w:val="0"/>
        <w:spacing w:before="0" w:after="0"/>
        <w:ind w:left="1077"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prepaid or repaid in whole or in part except as otherwise explicitly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Principal Amount or interest on this Note which is not paid when due shall bear interest at the rate of the lesser of (i) twenty-two percent (22%) per annum and (ii) the maximum amount permitted by law from the due date thereof until the same is paid (“Default Interest”). Interest and Default Interest shall be computed on the basis of a 365-day year and the actual number of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(to the extent not converted into Class A ordinary shares of the Borrower, no par value per share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herein, and not otherwise defined, shall have the meaning ascribed thereto in that certain Securities Purchase Agreement, dated as of the Issue Date, pursuant to which this Note was originally issued (the “Purchase Agreement”). As used in this Note, the term “business day” shall mean any day other than a Saturday, Sunday or a day on which commercial banks in the city of New York, New York are authorized or required by law or executive order to remain closed. As used herein, the term “Trading Day” means any day that shares of Common Stock are listed for trading or quotation on the Principal Market (as defined in the Purchase Agreement), provided, however, that if the Common Stock is not then listed or quoted on any Principal Market, then any calendar day.</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also apply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xml:space="preserve"> The Holder shall have the right, on any calendar day, at any time on or following the date that is one hundred eighty (180) calendar days after the Issue Date, to convert all or any portion of the then outstanding and unpaid Principal Amount and interest (including any Default Interest)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determined as provided herein (a “Conversion”), by submitting to the Borrower a Notice of Conversion (as defined in this Note) by facsimile, e-mail or other reasonable means of communication dispatched on the Conversion Date (as defined in this Note) prior to 11:59 p.m., New York, New York time;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notwithstanding anything to the contrary contained herein, the Holder shall not have the right to convert any portion of this Note, pursuant to Section 1 or otherwise, to the extent that after giving effect to such issuance after conversion as set forth on the applicable Notice of Conversion, the Holder (together with the Holder’s affiliates (the “Affiliates”), and any other Persons (as defined below)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nonconverted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Securities Exchange Act of 1934, as amended (the “1934 Act”) and the rules and regulations promulgated thereunder, it being acknowledged by the Holder that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Section 1.1,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“Beneficial Ownership Limitation” shall be 4.99% of the number of shares of the Common Stock outstanding at the time of the respective calculation hereunder, provided, however, that the Holder may from time to time increase or decrease the Beneficial Ownership Limitation to any other percentage not in excess of 9.99% by delivering written notice of such to the Company, with such increase or decrease not effective until the sixty-first (61st) day after delivery of such written notice. “Person” and “Persons” means an individual, a limited liability company, a partnership, a joint venture, a corporation, a trust, an unincorporated organization, any other entity and any governmental entity or any department or agency thereof. The limitations contained in this paragraph shall apply to a successor holder of this Note. The number of Conversion Shares to be issued upon each conversion of this Note shall be determined by dividing the Conversion Amount (as defined below) by the applicable Conversion Price then in effect on the date specified in the notice of conversion,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“Notice of Conversion”), delivered to the Borrower by the Holder in accordance with the terms of this Note; provided that the Notice of Conversion is submitted by facsimile or e-mail (or by other means resulting in, or reasonably expected to result in, notice) to the Borrower before 11:59 p.m., New York, New York time on such conversion date (the “Conversion Date”). The term “Conversion Amount”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 to the Conversion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at the Holder’s option, Default Interest, if any, on the amounts referred to in the immediately preceding clauses (1) and/or (2).</w:t>
      </w:r>
    </w:p>
    <w:p>
      <w:pPr>
        <w:pStyle w:val="TextBody"/>
        <w:bidi w:val="0"/>
        <w:spacing w:before="0" w:after="0"/>
        <w:ind w:left="2095" w:right="0" w:hanging="297"/>
        <w:jc w:val="left"/>
        <w:rPr>
          <w:caps w:val="false"/>
          <w:smallCaps w:val="false"/>
        </w:rPr>
      </w:pPr>
      <w:r>
        <w:rPr>
          <w:caps w:val="false"/>
          <w:smallCaps w:val="false"/>
        </w:rPr>
        <w:t> </w:t>
      </w:r>
    </w:p>
    <w:p>
      <w:pPr>
        <w:pStyle w:val="TextBody"/>
        <w:bidi w:val="0"/>
        <w:spacing w:before="0" w:after="0"/>
        <w:ind w:left="2095" w:right="0" w:hanging="297"/>
        <w:jc w:val="center"/>
        <w:rPr>
          <w:sz w:val="20"/>
          <w:bdr w:val="single" w:sz="12" w:space="1" w:color="000000"/>
        </w:rPr>
      </w:pPr>
      <w:r>
        <w:rPr>
          <w:sz w:val="20"/>
          <w:bdr w:val="single" w:sz="12" w:space="1" w:color="000000"/>
        </w:rPr>
        <w:t>2</w:t>
      </w:r>
    </w:p>
    <w:p>
      <w:pPr>
        <w:pStyle w:val="TextBody"/>
        <w:bidi w:val="0"/>
        <w:spacing w:before="0" w:after="0"/>
        <w:ind w:left="2095" w:right="0" w:hanging="297"/>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p>
    <w:p>
      <w:pPr>
        <w:pStyle w:val="TextBody"/>
        <w:bidi w:val="0"/>
        <w:spacing w:before="0" w:after="0"/>
        <w:ind w:left="358"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Calculation of Conversion Price.</w:t>
      </w:r>
      <w:r>
        <w:rPr>
          <w:rFonts w:ascii="Times New Roman;Times;Serif" w:hAnsi="Times New Roman;Times;Serif"/>
          <w:b w:val="false"/>
          <w:i w:val="false"/>
          <w:caps w:val="false"/>
          <w:smallCaps w:val="false"/>
          <w:sz w:val="20"/>
        </w:rPr>
        <w:t xml:space="preserve"> The per share conversion price into which Principal Amount and interest (including any Default Interest) under this Note shall be convertible into shares of Common Stock hereunder as further described in this Note (the “Conversion Price”) shall equal the Market Price (as defined in this Note), subject to adjustment as provided in this Note. “Market Price” shall mean 85% of the lowest traded price of the Common Stock on the Principal Market during the ten (10) Trading Day period immediately preceding the respective Conversion Date.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“Additional Principal”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Holder shall be entitled to deduct $750.00 from the conversion amount of not less than $50,000 in each Notice of Conversion to cover Holder’s fees associated with each Notice of Conversion. All such Conversion Price determinations are to be appropriately adjusted for any stock dividend, stock split, stock combination, rights offerings, reclassification or similar transaction that proportionately decreases or increases the Common Stock. If the Company, at any time while this Note is outstanding: (i) pays a stock dividend or otherwise makes a distribution or distributions payable in shares of Common Stock on shares of Common Stock or any Common Stock Equivalents,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Price shall be multiplied by a fraction of which the numerator shall be the number of shares of Common Stock (excluding any treasury shares of the Company) outstanding immediately before such event, and of which the denominator shall be the number of shares of Common Stock outstanding immediately after such event. Any adjustment made pursuant to the immediately preceding sentence shall become effective immediately after the record date for the determination of shareholders entitled to receive such dividend or distribution and shall become effective immediately after the effective date in the case of a subdivision, combination or re-classification. “Common Stock Equivalents” means any securities of the Company or the Company’s Subsidiaries (as defined in the Purchase Agreement)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while this Note is outstanding, with the prior written consent of the Holder, reduce the then applicable Conversion Price to any amount and for any period of time deemed appropriate by the Board of Directors of the Company. For the avoidance of doubt, the Holder shall not be required to effectuate such conversion in the event of any reduction in Conversion Price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and Reserved Shares.</w:t>
      </w:r>
      <w:r>
        <w:rPr>
          <w:rFonts w:ascii="Times New Roman;Times;Serif" w:hAnsi="Times New Roman;Times;Serif"/>
          <w:b w:val="false"/>
          <w:i w:val="false"/>
          <w:caps w:val="false"/>
          <w:smallCaps w:val="false"/>
          <w:sz w:val="20"/>
        </w:rPr>
        <w:t xml:space="preserve"> The Borrower shall use commercially reasonable endeavors to ensure that at all times beginning on the Issue Date and continuing until the Note is extinguished in the entirety, the Borrower will reserve from its authorized and unissued Common Stock a sufficient number of shares, free from preemptive rights, to provide for the issuance of a number of Conversion Shares equal to the greater of: (a) 3,800,000 shares of Common Stock or (b) the sum of (i) the number of Conversion Shares issuable upon the full conversion of this Note at a conversion price equal to the Conversion Price (assuming no payment of Principal Amount or interest)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(ii) four (4) (the “Reserved Amount”). For the avoidance of doubt, the Reserved Amount shall be required to be reserved by the Borrower pursuant to the immediately preceding sentence even if the Note is not yet convertible into Common Stock by the Holder under Section 1.1 of this Note. The Borrower represents that upon issuance, the Conversion Shares will be duly and validly issued, fully paid, as applicable, and non-assessable. The Borrower (i) acknowledges that it has irrevocably instructed its transfer agent to issue certificates for the Conversion Shares or instructions to have the Conversion Shares issued as contemplated by Section 1.4(e) hereof, and (ii) agrees that its issuance of this Note shall constitute full authority to its officers and agents who are charged with the duty of executing stock certificates or cause the Company to electronically issue shares of Common Stock to execute and issue the necessary certificates for the Conversion Shares or cause the Conversion Shares to be issued as contemplated by Section 1.4(e) hereof in accordance with the terms and conditions of this Note.</w:t>
      </w:r>
    </w:p>
    <w:p>
      <w:pPr>
        <w:pStyle w:val="TextBody"/>
        <w:bidi w:val="0"/>
        <w:spacing w:before="0" w:after="0"/>
        <w:ind w:left="2095" w:right="0" w:hanging="297"/>
        <w:jc w:val="left"/>
        <w:rPr>
          <w:caps w:val="false"/>
          <w:smallCaps w:val="false"/>
        </w:rPr>
      </w:pPr>
      <w:r>
        <w:rPr>
          <w:caps w:val="false"/>
          <w:smallCaps w:val="false"/>
        </w:rPr>
        <w:t> </w:t>
      </w:r>
    </w:p>
    <w:p>
      <w:pPr>
        <w:pStyle w:val="TextBody"/>
        <w:bidi w:val="0"/>
        <w:spacing w:before="0" w:after="0"/>
        <w:ind w:left="2095" w:right="0" w:hanging="297"/>
        <w:jc w:val="center"/>
        <w:rPr>
          <w:sz w:val="20"/>
          <w:bdr w:val="single" w:sz="12" w:space="1" w:color="000000"/>
        </w:rPr>
      </w:pPr>
      <w:r>
        <w:rPr>
          <w:sz w:val="20"/>
          <w:bdr w:val="single" w:sz="12" w:space="1" w:color="000000"/>
        </w:rPr>
        <w:t>3</w:t>
      </w:r>
    </w:p>
    <w:p>
      <w:pPr>
        <w:pStyle w:val="TextBody"/>
        <w:bidi w:val="0"/>
        <w:spacing w:before="0" w:after="0"/>
        <w:ind w:left="2095" w:right="0" w:hanging="297"/>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p>
    <w:p>
      <w:pPr>
        <w:pStyle w:val="TextBody"/>
        <w:bidi w:val="0"/>
        <w:spacing w:before="0" w:after="0"/>
        <w:ind w:left="36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xml:space="preserve"> Notwithstanding anything to the contrary set forth herein, upon conversion of this Note in accordance with the terms hereof, the Holder shall not be required to physically surrender this Note to the Borrower unless the entire unpaid Principal Amount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rFonts w:ascii="Times New Roman;Times;Serif" w:hAnsi="Times New Roman;Times;Serif"/>
          <w:b w:val="false"/>
          <w:i/>
          <w:caps w:val="false"/>
          <w:smallCaps w:val="false"/>
          <w:sz w:val="20"/>
        </w:rPr>
        <w:t>prima facie,</w:t>
      </w:r>
      <w:r>
        <w:rPr>
          <w:rFonts w:ascii="Times New Roman;Times;Serif" w:hAnsi="Times New Roman;Times;Serif"/>
          <w:b w:val="false"/>
          <w:i w:val="false"/>
          <w:caps w:val="false"/>
          <w:smallCaps w:val="false"/>
          <w:sz w:val="20"/>
        </w:rPr>
        <w:t xml:space="preserve"> be controlling and determinative in the absence of manifest error.</w:t>
      </w:r>
    </w:p>
    <w:p>
      <w:pPr>
        <w:pStyle w:val="TextBody"/>
        <w:bidi w:val="0"/>
        <w:spacing w:before="0" w:after="0"/>
        <w:ind w:left="36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Borrower shall not be required to pay any tax which may be payable in respect of any transfer involved in the issue and delivery of shares of Common Stock or other securities or property on conversion of this Note in a name other than that of the Holder (or in street name), and the Borrower shall not be required to issue or deliver any such shares or other securities or property unless and until the person or persons (other than the Holder or the custodian in whose street name such shares are to be held for the Holder’s account) requesting the issuance thereof shall have paid to the Borrower the amount of any such tax or shall have established to the satisfaction of the Borrower that such tax has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Common Stock Upon Conversion</w:t>
      </w:r>
      <w:r>
        <w:rPr>
          <w:rFonts w:ascii="Times New Roman;Times;Serif" w:hAnsi="Times New Roman;Times;Serif"/>
          <w:b w:val="false"/>
          <w:i w:val="false"/>
          <w:caps w:val="false"/>
          <w:smallCaps w:val="false"/>
          <w:sz w:val="20"/>
        </w:rPr>
        <w:t>. Upon receipt by the Borrower from the Holder of an e-mail (or other reasonable means of communication) of a Notice of Conversion meeting the requirements for conversion as provided in this Section 1.4, the Borrower shall issue and deliver or cause to be issued and delivered to or upon the order of the Holder certificates for the Conversion Shares (or cause the electronic delivery of the Conversion Shares as contemplated by Section 1.4(e) hereof) within one (1) Trading Day after such receipt (the “Deadline”) (and, solely in the case of conversion of the entire unpaid Principal Amount and interest (including any Default Interest) under this Note, surrender of this Note). If the Company shall fail for any reason or for no reason to issue to the Holder on or prior to the Deadline a certificate for the number of Conversion Shares or to which the Holder is entitled hereunder and register such Conversion Shares on the Company’s share register or to credit the Holder’s balance account with DTC (as defined below) for such number of Conversion Shares to which the Holder is entitled upon the Holder’s conversion of this Note (a “Conversion Failure”), then, in addition to all other remedies available to the Holder, (i) the Company shall pay in cash to the Holder on each day after the Deadline and during such Conversion Failure an amount equal to 2.0% of the product of (A) the sum of the number of Conversion Shares not issued to the Holder on or prior to the Deadline and to which the Holder is entitled and (B) the closing sale price of the Common Stock on the Trading Day immediately preceding the last possible date which the Company could have issued such Conversion Shares to the Holder without violating this Section 1.4(c); and (ii) the Holder, upon written notice to the Company, may void all or any portion of such Notice of Conversion; provided that the voiding of all or any portion of a Notice of Conversion shall not affect the Company’s obligations to make any payments which have accrued prior to the date of such notice. In addition to the foregoing, if on or prior to the Deadline the Company shall fail to issue and deliver a certificate to the Holder and register such Conversion Shares on the Company’s share register or credit the Holder’s balance account with DTC for the number of Conversion Shares to which the Holder is entitled upon the Holder’s exercise hereunder or pursuant to the Company’s obligation pursuant to clause (ii) below, and if on or after such Trading Day the Holder purchases (in an open market transaction or otherwise) shares of Common Stock to deliver in satisfaction of a sale by the Holder of shares of Common Stock issuable upon such exercise that the Holder anticipated receiving from the Company, then the Company shall, within two (2) Trading Days after the Holder’s request and in the Holder’s discretion, either (i) pay cash to the Holder in an amount equal to the Holder’s total purchase price (including brokerage commissions and other reasonable and customary out-of-pocket expenses, if any) for the shares of Common Stock so purchased (the “Buy-In Price”), at which point the Company’s obligation to deliver such certificate (and to issue such Conversion Shares) or credit such Holder’s balance account with DTC for such Conversion Shares shall terminate, or (ii) promptly honor its obligation to deliver to the Holder a certificate or certificates representing such Conversion Shares or credit such Holder’s balance account with DTC and pay cash to the Holder in an amount equal to the excess (if any) of the Buy-In Price over the product of (A) such number of shares of Common Stock, times (B) the closing sales price of the Common Stock on the date of exercise.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Conversion Shares (or to electronically deliver such Conversion Shares) upon the conversion of this Note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Obligation of Borrower to Deliver Common Stock.</w:t>
      </w:r>
      <w:r>
        <w:rPr>
          <w:rFonts w:ascii="Times New Roman;Times;Serif" w:hAnsi="Times New Roman;Times;Serif"/>
          <w:b w:val="false"/>
          <w:i w:val="false"/>
          <w:caps w:val="false"/>
          <w:smallCaps w:val="false"/>
          <w:sz w:val="20"/>
        </w:rPr>
        <w:t xml:space="preserve"> At the time that the Holder submits the Notice of Conversion to the Borrower, the Holder shall be deemed to be the holder of record of the Conversion Shares issuable upon such conversion, the outstanding Principal Amount and the amount of accrued and unpaid interest (including any Default Interest) under this Note shall be reduced to reflect such conversion, and, unless the Borrower defaults on its obligations under this Article I,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the Conversion Shares (or cause the electronic delivery of the Conversion Shares as contemplated by Section 1.4(e) hereof)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sent to the Borrower before 11:59 p.m., New York, New York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Conversion Shares by Electronic Transfer</w:t>
      </w:r>
      <w:r>
        <w:rPr>
          <w:rFonts w:ascii="Times New Roman;Times;Serif" w:hAnsi="Times New Roman;Times;Serif"/>
          <w:b w:val="false"/>
          <w:i w:val="false"/>
          <w:caps w:val="false"/>
          <w:smallCaps w:val="false"/>
          <w:sz w:val="20"/>
        </w:rPr>
        <w:t>. In lieu of delivering physical certificates representing the Conversion Shares issuable upon conversion hereof, provided the Borrower is participating in the Depository Trust Company (“DTC”) Fast Automated Securities Transfer or Deposit/Withdrawal at Custodian programs, upon request of the Holder and its compliance with the provisions contained in Section 1.1 and in this Section 1.4, the Borrower shall use its best efforts to cause its transfer agent to electronically transmit the Conversion Shares issuable upon conversion hereof to the Holder by crediting the account of Holder’s Prime Broker with DTC through its Deposit Withdrawal Agent Commission system.</w:t>
      </w:r>
    </w:p>
    <w:p>
      <w:pPr>
        <w:pStyle w:val="TextBody"/>
        <w:bidi w:val="0"/>
        <w:spacing w:before="0" w:after="0"/>
        <w:ind w:left="358"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Conversion Shares issuable upon conversion of this Note may not be sold or transferred unless (i) such shares are sold pursuant to an effective registration statement under the 1933 Act or (ii) the Borrower or its transfer agent shall have been furnished with an opinion of counsel (which opinion shall be the Legal Counsel Opinion (as defined in the Purchase Agreement)) to the effect that the shares to be sold or transferred may be sold or transferred pursuant to an exemption from such registration or (iii) such shares are sold or transferred pursuant to Rule 144, Rule 144A, Regulation S, or other applicable exemption, or (iv) such shares are transferred to an “affiliate” (as defined in Rule 144) of the Borrower who agrees to sell or otherwise transfer the shares only in accordance with this Section 1.5 and who is an Accredited Investor (as defined in the Purchase Agreement). Except as otherwise provided in the Purchase Agreement (and subject to the removal provisions set forth below), until such time as the Conversion Shares have been registered under the 1933 Act or otherwise may be sold pursuant to Rule 144, Rule 144A, Regulation S, or other applicable exemption without any restriction as to the number of securities as of a particular date that can then be immediately sold, each certificate for the Conversion Shares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both"/>
              <w:rPr/>
            </w:pPr>
            <w:r>
              <w:rPr/>
              <w:t>“</w:t>
            </w:r>
            <w:r>
              <w:rPr>
                <w:b/>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REGULATION S UNDER SAID ACT, OR OTHER APPLICABLE EXEMPTION. NOTWITHSTANDING THE FOREGOING, THE SECURITIES MAY BE PLEDGED IN CONNECTION WITH A BONA FIDE MARGIN ACCOUNT OR OTHER LOAN OR FINANCING ARRANGEMENT SECURED BY THE SECURITIES.”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to the Holder a certificate for the applicable Conversion Shares without such legend upon which it is stamped or (as requested by the Holder) issue the applicable Conversion Shares by electronic delivery by crediting the account of such holder’s broker with DTC, if, unless otherwise required by applicable state securities laws: (a) such Conversion Shares are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Holder provides the Legal Counsel Opinion (as contemplated by and in accordance with Section 4(m) of the Purchase Agreement) to the effect that a public sale or transfer of such Conversion Shares may be made without registration under the 1933 Act, which opinion shall be accepted by the Company so that the sale or transfer is effected. The Company shall be responsible for the fees of its transfer agent and all DTC fees associated with any such issuance. The Holder agrees to sell all Conversion Shares, including those represented by a certificate(s) from which the legend has been removed, in compliance with applicable prospectus delivery requirements, if any. In the event that the Company does not accept the opinion of counsel provided by the Holder with respect to the transfer of Conversion Shares pursuant to an exemption from registration, such as Rule 144, Rule 144A, Regulation S, or other applicable exemption, at the Deadline, notwithstanding that the conditions of Rule 144, Rule 144A, Regulation S, or other applicable exemption, as applicable, have been met, it will be considered an Event of Default under this Note.</w:t>
      </w:r>
    </w:p>
    <w:p>
      <w:pPr>
        <w:pStyle w:val="TextBody"/>
        <w:bidi w:val="0"/>
        <w:spacing w:before="0" w:after="0"/>
        <w:ind w:left="2095" w:right="0" w:hanging="297"/>
        <w:jc w:val="left"/>
        <w:rPr>
          <w:caps w:val="false"/>
          <w:smallCaps w:val="false"/>
        </w:rPr>
      </w:pPr>
      <w:r>
        <w:rPr>
          <w:caps w:val="false"/>
          <w:smallCaps w:val="false"/>
        </w:rPr>
        <w:t> </w:t>
      </w:r>
    </w:p>
    <w:p>
      <w:pPr>
        <w:pStyle w:val="TextBody"/>
        <w:bidi w:val="0"/>
        <w:spacing w:before="0" w:after="0"/>
        <w:ind w:left="2095" w:right="0" w:hanging="297"/>
        <w:jc w:val="center"/>
        <w:rPr>
          <w:sz w:val="20"/>
          <w:bdr w:val="single" w:sz="12" w:space="1" w:color="000000"/>
        </w:rPr>
      </w:pPr>
      <w:r>
        <w:rPr>
          <w:sz w:val="20"/>
          <w:bdr w:val="single" w:sz="12" w:space="1" w:color="000000"/>
        </w:rPr>
        <w:t>5</w:t>
      </w:r>
    </w:p>
    <w:p>
      <w:pPr>
        <w:pStyle w:val="TextBody"/>
        <w:bidi w:val="0"/>
        <w:spacing w:before="0" w:after="0"/>
        <w:ind w:left="2095" w:right="0" w:hanging="297"/>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p>
    <w:p>
      <w:pPr>
        <w:pStyle w:val="TextBody"/>
        <w:bidi w:val="0"/>
        <w:spacing w:before="0" w:after="0"/>
        <w:ind w:left="36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At the option of the Holder, the sale, conveyance or disposition of all or substantially all of the assets of the Borrower, or the consolidation, merger or other business combination of the Borrower with or into any other Person (as defined below) or Persons when the Borrower is not the survivor shall either: (i) be deemed to be an Event of Default pursuant to which the Borrower shall be required to pay to the Holder upon the consummation of and as a condition to such transaction an amount equal to the Default Amount (as defined in this Note) or (ii) be treated pursuant to Section 1.6(b) hereof. “Person” shall mean any individual, corporation, limited liability company, partnership, association, trust or other entity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this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(each a “Fundamental Transaction”),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xml:space="preserve"> If the Borrower shall declare or make any distribution of its assets (or rights to acquire its assets) to holders of Common Stock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shareholders entitled to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If, at any time when all or any portion of this Note is issued and outstanding, the Borrower issues any convertible securities or rights to purchase stock, warrants, securities or other property (the “Purchase Rights”)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Section 1.6 of this Note, the Borrower shall, at its expense and within one (1) calendar day after the occurrence of each respective adjustment or readjustment of the Conversion Price, compute such adjustment or readjustment and prepare and furnish to the Holder a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In addition, the Borrower shall, within one (1) calendar day after each written request from the Holder, furnish to such Holder a like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For the avoidance of doubt, each adjustment or readjustment of the Conversion Price as a result of the events described in Section 1.6 of this Note shall occur without any action by the Holder and regardless of whether the Borrower complied with the notification provisions in Section 1.6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the Holder, (i) the Conversion Shares covered thereby shall be deemed converted into shares of Common Stock and (ii) the Holder’s rights as the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the Holder has not received certificates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the Note has not been surrendered, adjust its records to reflect that such portion of this Note has not been converted. In all cases, the Holder shall retain all of its rights and remedies for the Borrower’s failure to convert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At any time prior to the date that is one hundred eighty-one (181) calendar days following the Issue Date, the Borrower shall have the right, exercisable on three (3) Trading Days prior written notice to the Holder of the Note, to prepay the outstanding Principal Amount and interest then due under this Note in accordance with this Section 1.8. Any notice of prepayment hereunder (an “Optional Prepayment Notice”) shall be delivered to the Holder of the Note at its registered addresses and shall state: (1) that the Borrower is exercising its right to prepay the Note, and (2) the date of prepayment which shall be three (3) Trading Days from the date of the Optional Prepayment Notice (the “Optional Prepayment Date”). The Holder shall have the right, during the period beginning on the date of Holder’s receipt of the Optional Prepayment Notice and until the Holder’s actual receipt of the full prepayment amount on the Optional Prepayment Date, to instead convert all or any portion of the Note pursuant to the terms of this Note, including the amount of this Note to be prepaid by the Borrower in accordance with this Section 1.8, even if the Note is not yet convertible into Common Stock by the Holder under Section 1.1 of this Note. On the Optional Prepayment Date, the Borrower shall make payment of the amounts designated below to or upon the order of the Holder as specified by the Holder in writing to the Borrower. If the Borrower exercises its right to prepay the Note in accordance with this Section 1.8, the Borrower shall make payment to the Holder of an amount in cash equal to the sum of: (w) the prepayment percentage set forth in the table immediately following this paragraph for the applicable prepayment period set forth in the table immediately following this paragraph (“Prepayment Percentage”) multiplied by the Principal Amount then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the Prepayment Percentage multiplied by the accrued and unpaid interest on the Principal Amount to the Optional Prepayment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28" w:type="dxa"/>
          <w:bottom w:w="28" w:type="dxa"/>
          <w:right w:w="28" w:type="dxa"/>
        </w:tblCellMar>
      </w:tblPr>
      <w:tblGrid>
        <w:gridCol w:w="188"/>
        <w:gridCol w:w="8412"/>
        <w:gridCol w:w="1605"/>
      </w:tblGrid>
      <w:tr>
        <w:trPr/>
        <w:tc>
          <w:tcPr>
            <w:tcW w:w="8600" w:type="dxa"/>
            <w:gridSpan w:val="2"/>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Prepayment Period</w:t>
            </w:r>
          </w:p>
        </w:tc>
        <w:tc>
          <w:tcPr>
            <w:tcW w:w="160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Prepayment Percentage</w:t>
            </w:r>
          </w:p>
        </w:tc>
      </w:tr>
      <w:tr>
        <w:trPr/>
        <w:tc>
          <w:tcPr>
            <w:tcW w:w="188" w:type="dxa"/>
            <w:tcBorders>
              <w:left w:val="single" w:sz="12" w:space="0" w:color="000000"/>
              <w:bottom w:val="single" w:sz="12" w:space="0" w:color="000000"/>
            </w:tcBorders>
            <w:tcMar>
              <w:top w:w="0" w:type="dxa"/>
              <w:left w:w="108"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412"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period beginning on the Issue Date and ending on the date which is thirty (30) calendar days following the Issue Date.</w:t>
            </w:r>
          </w:p>
        </w:tc>
        <w:tc>
          <w:tcPr>
            <w:tcW w:w="160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w:t>
            </w:r>
          </w:p>
        </w:tc>
      </w:tr>
      <w:tr>
        <w:trPr/>
        <w:tc>
          <w:tcPr>
            <w:tcW w:w="188" w:type="dxa"/>
            <w:tcBorders>
              <w:left w:val="single" w:sz="12" w:space="0" w:color="000000"/>
              <w:bottom w:val="single" w:sz="12" w:space="0" w:color="000000"/>
            </w:tcBorders>
            <w:tcMar>
              <w:top w:w="0" w:type="dxa"/>
              <w:left w:w="108"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412"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period beginning on the date that is thirty-one (31) calendar days from the Issue Date and ending sixty (60) calendar days following the Issue Date.</w:t>
            </w:r>
          </w:p>
        </w:tc>
        <w:tc>
          <w:tcPr>
            <w:tcW w:w="160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w:t>
            </w:r>
          </w:p>
        </w:tc>
      </w:tr>
      <w:tr>
        <w:trPr/>
        <w:tc>
          <w:tcPr>
            <w:tcW w:w="188" w:type="dxa"/>
            <w:tcBorders>
              <w:left w:val="single" w:sz="12" w:space="0" w:color="000000"/>
              <w:bottom w:val="single" w:sz="12" w:space="0" w:color="000000"/>
            </w:tcBorders>
            <w:tcMar>
              <w:top w:w="0" w:type="dxa"/>
              <w:left w:w="108"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 </w:t>
            </w:r>
          </w:p>
        </w:tc>
        <w:tc>
          <w:tcPr>
            <w:tcW w:w="8412"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period beginning on the datethat is sixty-one (61) calendar days from the Issue Date and ending one hundred twenty (120) calendar days following the Issue Date.</w:t>
            </w:r>
          </w:p>
        </w:tc>
        <w:tc>
          <w:tcPr>
            <w:tcW w:w="160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w:t>
            </w:r>
          </w:p>
        </w:tc>
      </w:tr>
      <w:tr>
        <w:trPr/>
        <w:tc>
          <w:tcPr>
            <w:tcW w:w="188" w:type="dxa"/>
            <w:tcBorders>
              <w:left w:val="single" w:sz="12" w:space="0" w:color="000000"/>
              <w:bottom w:val="single" w:sz="12" w:space="0" w:color="000000"/>
            </w:tcBorders>
            <w:tcMar>
              <w:top w:w="0" w:type="dxa"/>
              <w:left w:w="108"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412"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period beginning on the date that is one hundred twenty-one (121) calendar days from the Issue Date and ending one hundred eighty (180) calendar days following the Issue Date.</w:t>
            </w:r>
          </w:p>
        </w:tc>
        <w:tc>
          <w:tcPr>
            <w:tcW w:w="160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RANKING AND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This Note shall be an unsecured obligation of the Borrower.</w:t>
      </w:r>
    </w:p>
    <w:p>
      <w:pPr>
        <w:pStyle w:val="TextBody"/>
        <w:bidi w:val="0"/>
        <w:spacing w:before="0" w:after="0"/>
        <w:ind w:left="358" w:right="0" w:firstLine="1440"/>
        <w:jc w:val="both"/>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Distributions on Capital Stock.</w:t>
      </w:r>
      <w:r>
        <w:rPr>
          <w:rFonts w:ascii="Times New Roman;Times;Serif" w:hAnsi="Times New Roman;Times;Serif"/>
          <w:b w:val="false"/>
          <w:i w:val="false"/>
          <w:caps w:val="false"/>
          <w:smallCaps w:val="false"/>
          <w:sz w:val="20"/>
        </w:rPr>
        <w:t xml:space="preserve"> So long as the Borrower shall have any obligation under this Note, the Borrower shall not without the Holder’s written consent (a) pay, declare or set apart for such payment, any dividend or other distribution (whether in cash, property or other securities) on shares of capital stock other than dividends on shares of Common Stock solely in the form of additional shares of Common Stock or (b) directly or indirectly or through any subsidiary make any other payment or distribution in respect of its capital stock except for distributions pursuant to any shareholders’ rights plan which is approved by a majority of the Borrower’s disinterested directors.</w:t>
      </w:r>
    </w:p>
    <w:p>
      <w:pPr>
        <w:pStyle w:val="TextBody"/>
        <w:bidi w:val="0"/>
        <w:spacing w:before="0" w:after="0"/>
        <w:ind w:left="358" w:right="0" w:firstLine="1440"/>
        <w:jc w:val="both"/>
        <w:rPr>
          <w:caps w:val="false"/>
          <w:smallCaps w:val="false"/>
        </w:rPr>
      </w:pPr>
      <w:r>
        <w:rPr>
          <w:caps w:val="false"/>
          <w:smallCaps w:val="false"/>
        </w:rPr>
        <w:t> </w:t>
      </w:r>
    </w:p>
    <w:p>
      <w:pPr>
        <w:pStyle w:val="TextBody"/>
        <w:bidi w:val="0"/>
        <w:spacing w:before="0" w:after="0"/>
        <w:ind w:left="3"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considered an event of default if any of the following events listed in this Article III (each, an “Event of Default”) shall occur on or after the Issue Date: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xml:space="preserve"> The Borrower fails to pay the Principal Amount hereof or interest thereon when due on this Note, whether at maturity, upon acceleration or otherwise, or fails to fully comply with Section 1.10 of this Note.</w:t>
      </w:r>
    </w:p>
    <w:p>
      <w:pPr>
        <w:pStyle w:val="TextBody"/>
        <w:bidi w:val="0"/>
        <w:spacing w:before="0" w:after="0"/>
        <w:ind w:left="358" w:right="0" w:firstLine="1440"/>
        <w:jc w:val="both"/>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xml:space="preserve"> The Borrower (i) fails to issue Conversion Shares to the Holder (or announces or threatens in writing that it will not honor its obligation to do so) upon exercise by the Holder of the conversion rights of the Holder in accordance with the terms of this Note, (ii) fails to transfer or cause its transfer agent to transfer (issue) (electronically or in certificated form) any certificate for the Conversion Shares issuable to the Holder upon conversion of or otherwise pursuant to this Note as and when required by this Note, (iii) fails to reserve the Reserved Amount at all times, (iv) the Borrower directs its transfer agent not to transfer or delays, impairs, and/or hinders its transfer agent in transferring (or issuing) (electronically or in certificated form) any certificate for the Conversion Shares issuable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Conversion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Trading Days after the Holder shall have delivered a Notice of Conversion, and/or (v) fails to remain current in its obligations to its transfer agent (including but not limited to payment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added to the principal balance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Agreements and Covenants.</w:t>
      </w:r>
      <w:r>
        <w:rPr>
          <w:rFonts w:ascii="Times New Roman;Times;Serif" w:hAnsi="Times New Roman;Times;Serif"/>
          <w:b w:val="false"/>
          <w:i w:val="false"/>
          <w:caps w:val="false"/>
          <w:smallCaps w:val="false"/>
          <w:sz w:val="20"/>
        </w:rPr>
        <w:t xml:space="preserve"> The Borrower breaches any covenant, agreement, or other term or condition contained in the Purchase Agreement, this Note, Irrevocable Transfer Agent Instructions, or in any agreement, statement or certificate given in writing pursuant hereto or in connection herewith or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xml:space="preserve"> Any representation or warranty of the Borrower made in the Purchase Agreement, this Note, Irrevocable Transfer Agent Instructions, or in any agreement, statement or certificate given in writing pursuant hereto or in connection herewith or therewith shall be false or misleading in any material respect when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xml:space="preserv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xml:space="preserve"> Any money judgment, writ or similar process shall be entered or filed against the Borrower or any subsidiary of the Borrower or any of its property or other assets for more than $100,000, and shall remain unvacated, unbonded or unstayed for a period of twenty (20) days unless otherwise consented to by the Holder, which consent will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1934 Act.</w:t>
      </w:r>
      <w:r>
        <w:rPr>
          <w:rFonts w:ascii="Times New Roman;Times;Serif" w:hAnsi="Times New Roman;Times;Serif"/>
          <w:b w:val="false"/>
          <w:i w:val="false"/>
          <w:caps w:val="false"/>
          <w:smallCaps w:val="false"/>
          <w:sz w:val="20"/>
        </w:rPr>
        <w:t xml:space="preserve"> At any time after the Issue Date, the Borrower shall fail to comply with the reporting requirements of the 1934 Act and/or the Borrower shall cease to be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xml:space="preserve"> Any dissolution, liquidation, or winding up of Borrower or any substantial portion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xml:space="preserve">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xml:space="preserve"> The failure by Borrower to maintain any material intellectual property rights, personal, real property or other assets which are necessary to conduct its business (whether now or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xml:space="preserve">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actual transmittal, conveyance, or disclosure by the Borrower or its officers, directors, and/or affiliates of, material non-public information concerning the Borrower, to the Holder or its successors and assigns, which is not cured by Borrower’s filing of a Form 6-K pursuant to Regulation FD.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Unavailability of Rule 144</w:t>
      </w:r>
      <w:r>
        <w:rPr>
          <w:rFonts w:ascii="Times New Roman;Times;Serif" w:hAnsi="Times New Roman;Times;Serif"/>
          <w:b w:val="false"/>
          <w:i w:val="false"/>
          <w:caps w:val="false"/>
          <w:smallCaps w:val="false"/>
          <w:sz w:val="20"/>
        </w:rPr>
        <w:t>. If, at any time on or after the date that is six (6) calendar months after the Issue Date, the Holder is unable to (i) obtain a standard “144 legal opinion letter” from an attorney reasonably acceptable to the Borrower’s transfer agent in order to facilitate the Holder’s conversion of any portion of the Note into free trading shares of the Borrower’s Common Stock pursuant to Rule 144, and/or (ii) thereupon deposit such shares into the Holder’s brokerage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Delisting, Suspension, or Quotation of Trading of Common Stock</w:t>
      </w:r>
      <w:r>
        <w:rPr>
          <w:rFonts w:ascii="Times New Roman;Times;Serif" w:hAnsi="Times New Roman;Times;Serif"/>
          <w:b w:val="false"/>
          <w:i w:val="false"/>
          <w:caps w:val="false"/>
          <w:smallCaps w:val="false"/>
          <w:sz w:val="20"/>
        </w:rPr>
        <w:t>. If, at any time on or after the Issue Date, the Borrower’s Common Stock (i) is suspended from trading, (ii) halted from trading, and/or (iii) fails to be listed or quoted on a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Failure to Pay an Amortization Payment</w:t>
      </w:r>
      <w:r>
        <w:rPr>
          <w:rFonts w:ascii="Times New Roman;Times;Serif" w:hAnsi="Times New Roman;Times;Serif"/>
          <w:b w:val="false"/>
          <w:i w:val="false"/>
          <w:caps w:val="false"/>
          <w:smallCaps w:val="false"/>
          <w:sz w:val="20"/>
        </w:rPr>
        <w:t>. The Borrower fails to pay an Amortization Payment (as defined in this Note) when due as provided in Section 4.14 of this Note, and fails to pay such Amortization Payment within 5 business days of the Holder’s written notification of such failure to pay.</w:t>
      </w:r>
    </w:p>
    <w:p>
      <w:pPr>
        <w:pStyle w:val="TextBody"/>
        <w:bidi w:val="0"/>
        <w:spacing w:before="0" w:after="0"/>
        <w:ind w:left="0" w:right="0" w:firstLine="1441"/>
        <w:jc w:val="both"/>
        <w:rPr>
          <w:caps w:val="false"/>
          <w:smallCaps w:val="false"/>
        </w:rPr>
      </w:pPr>
      <w:r>
        <w:rPr>
          <w:caps w:val="false"/>
          <w:smallCaps w:val="false"/>
        </w:rPr>
        <w:t> </w:t>
      </w:r>
    </w:p>
    <w:p>
      <w:pPr>
        <w:pStyle w:val="TextBody"/>
        <w:bidi w:val="0"/>
        <w:spacing w:before="0" w:after="0"/>
        <w:ind w:left="0" w:right="0" w:firstLine="1441"/>
        <w:jc w:val="center"/>
        <w:rPr>
          <w:sz w:val="20"/>
          <w:bdr w:val="single" w:sz="12" w:space="1" w:color="000000"/>
        </w:rPr>
      </w:pPr>
      <w:r>
        <w:rPr>
          <w:sz w:val="20"/>
          <w:bdr w:val="single" w:sz="12" w:space="1" w:color="000000"/>
        </w:rPr>
        <w:t>9</w:t>
      </w:r>
    </w:p>
    <w:p>
      <w:pPr>
        <w:pStyle w:val="TextBody"/>
        <w:bidi w:val="0"/>
        <w:spacing w:before="0" w:after="0"/>
        <w:ind w:left="0" w:right="0" w:firstLine="1441"/>
        <w:jc w:val="both"/>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Rights and Remedies Upon an Event of Default</w:t>
      </w:r>
      <w:r>
        <w:rPr>
          <w:rFonts w:ascii="Times New Roman;Times;Serif" w:hAnsi="Times New Roman;Times;Serif"/>
          <w:b w:val="false"/>
          <w:i w:val="false"/>
          <w:caps w:val="false"/>
          <w:smallCaps w:val="false"/>
          <w:sz w:val="20"/>
        </w:rPr>
        <w:t>. Upon the occurrence of any Event of Default specified in this Article III, this Note shall become immediately due and payable, and the Borrower shall pay to the Holder, in full satisfaction of its obligations hereunder, an amount equal to the Principal Amount then outstanding plus accrued interest (including any Default Interest) through the date of full repayment multiplied by 150% (collectively the “Default Amount”), as well as all costs, including, without limitation, legal fees and expenses, of collection, all without demand, presentment or notice, all of which hereby are expressly waived by the Borrower. Holder may, in Holder’s sole discretion, convert all or any portion of this Note (including the Default Amount) into Common Stock pursuant to the terms of this Note (for the avoidance of doubt, this shall apply even if such conversion occurs after the Maturity Date). The Holder shall be entitled to exercise all other rights and remedies available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420" w:right="0" w:firstLine="1440"/>
        <w:jc w:val="both"/>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Holder existing hereunder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1367"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NewGenIvf Group Limited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1078" w:right="0" w:firstLine="287"/>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LABRYS FUND II, 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Tremont Street, Suite 201-1408</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admin@labrysii.com</w:t>
      </w:r>
    </w:p>
    <w:p>
      <w:pPr>
        <w:pStyle w:val="TextBody"/>
        <w:bidi w:val="0"/>
        <w:spacing w:before="0" w:after="0"/>
        <w:ind w:left="420" w:right="0" w:firstLine="1350"/>
        <w:jc w:val="both"/>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Note and any provision hereof may only be amended by an instrument in writing signed by the Borrower and the Holder. The term “Note” and all reference thereto, as used throughout this instrument, shall mean this instrument as originally executed, or if later amended or supplemented, then as so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The Borrower shall not assign this Note or any rights or obligations hereunder without the prior written consent of the Holder. The Holder may assign its rights hereunder to any “accredited investor” (as defined in Rule 501(a) of the 1933 Act) in a private transaction from the Holder or to any of its “affiliates”, as that term is defined under the 1934 Act, without the consent of the Borrower.</w:t>
      </w:r>
    </w:p>
    <w:p>
      <w:pPr>
        <w:pStyle w:val="TextBody"/>
        <w:bidi w:val="0"/>
        <w:spacing w:before="0" w:after="0"/>
        <w:ind w:left="420" w:right="0" w:firstLine="1350"/>
        <w:jc w:val="both"/>
        <w:rPr>
          <w:caps w:val="false"/>
          <w:smallCaps w:val="false"/>
        </w:rPr>
      </w:pPr>
      <w:r>
        <w:rPr>
          <w:caps w:val="false"/>
          <w:smallCaps w:val="false"/>
        </w:rPr>
        <w:t> </w:t>
      </w:r>
    </w:p>
    <w:p>
      <w:pPr>
        <w:pStyle w:val="TextBody"/>
        <w:bidi w:val="0"/>
        <w:spacing w:before="0" w:after="0"/>
        <w:ind w:left="420" w:right="0" w:firstLine="1350"/>
        <w:jc w:val="center"/>
        <w:rPr>
          <w:sz w:val="20"/>
          <w:bdr w:val="single" w:sz="12" w:space="1" w:color="000000"/>
        </w:rPr>
      </w:pPr>
      <w:r>
        <w:rPr>
          <w:sz w:val="20"/>
          <w:bdr w:val="single" w:sz="12" w:space="1" w:color="000000"/>
        </w:rPr>
        <w:t>10</w:t>
      </w:r>
    </w:p>
    <w:p>
      <w:pPr>
        <w:pStyle w:val="TextBody"/>
        <w:bidi w:val="0"/>
        <w:spacing w:before="0" w:after="0"/>
        <w:ind w:left="420" w:right="0" w:firstLine="1350"/>
        <w:jc w:val="both"/>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xml:space="preserve"> If default is made in the payment of this Note, the Borrower shall pay the Holder hereof costs of collection, including reasonable attorneys’ fees.</w:t>
      </w:r>
    </w:p>
    <w:p>
      <w:pPr>
        <w:pStyle w:val="TextBody"/>
        <w:bidi w:val="0"/>
        <w:spacing w:before="0" w:after="0"/>
        <w:ind w:left="0" w:right="0" w:firstLine="1441"/>
        <w:jc w:val="both"/>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Arbitration of Claims; Governing Law; Venue; Attorney’s Fees.</w:t>
      </w:r>
      <w:r>
        <w:rPr>
          <w:rFonts w:ascii="Times New Roman;Times;Serif" w:hAnsi="Times New Roman;Times;Serif"/>
          <w:b w:val="false"/>
          <w:i w:val="false"/>
          <w:caps w:val="false"/>
          <w:smallCaps w:val="false"/>
          <w:sz w:val="20"/>
        </w:rPr>
        <w:t xml:space="preserve"> The Company and Holder shall submit all Claims (as defined in Exhibit B of the Purchase Agreement) (the “Claims”) arising under this Note or any other agreement between the parties and their affiliates or any Claim relating to the relationship of the parties to binding arbitration pursuant to the arbitration provisions set forth in Exhibit B of the Purchase Agreement (the “Arbitration Provisions”). The Company and Holder hereby acknowledge and agree that the Arbitration Provisions are unconditionally binding on the Company and Holder hereto and are severable from all other provisions of this Note. By executing this Note,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The Company acknowledges and agrees that Holder may rely upon the foregoing representations and covenants of the Company regarding the Arbitration Provisions.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Holder consent to and expressly agree that the exclusive venue for arbitration of any Claims arising under this Note or any other agreement between the Company and Holder or their respective affiliates (including but not limited to the Transaction Documents) or any Claim relating to the relationship of the Company and Holder or their respective affiliates shall be in the Commonwealth of Massachusetts. Without modifying the Company’s and Holder’s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(as defined in the Purchase Agreement) or otherwise related to Holder in any way (specifically including, without limitation, any action where Company seeks to obtain an injunction, temporary restraining order, or otherwise prohibit the Company’s transfer agent from issuing shares of Common Stock to Holder for any reason)), each party hereto hereby (i) consents to and expressly submits to the exclusive personal jurisdiction of any state or federal court sitting in the Commonwealth of Massachusetts,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Holder for any reason) outside of any state or federal court sitting in the Commonwealth of Massachusetts,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Holder to realize on any collateral or any other security, or to enforce a judgment or other court ruling in favor of the Holder,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NOTE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Note or any other agreement, certificate, instrument or document contemplated hereby or thereby by mailing a copy thereof via registered or certified mail or overnight delivery (with evidence of delivery) to Company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Note or any other agreement, certificate, instrument or document contemplated hereby or thereby shall be entitled to recover from the other party its reasonable attorney’s fees and costs. If any provision of this Note shall be invalid or unenforceable in any jurisdiction, such invalidity or unenforceability shall not affect the validity or enforceability of the remainder of this Note in that jurisdiction or the validity or enforceability of any provision of this Note in any other jurisdiction.</w:t>
      </w:r>
    </w:p>
    <w:p>
      <w:pPr>
        <w:pStyle w:val="TextBody"/>
        <w:bidi w:val="0"/>
        <w:spacing w:before="0" w:after="0"/>
        <w:ind w:left="420" w:right="0" w:firstLine="1440"/>
        <w:jc w:val="both"/>
        <w:rPr>
          <w:caps w:val="false"/>
          <w:smallCaps w:val="false"/>
        </w:rPr>
      </w:pPr>
      <w:r>
        <w:rPr>
          <w:caps w:val="false"/>
          <w:smallCaps w:val="false"/>
        </w:rPr>
        <w:t> </w:t>
      </w:r>
    </w:p>
    <w:p>
      <w:pPr>
        <w:pStyle w:val="TextBody"/>
        <w:bidi w:val="0"/>
        <w:spacing w:before="0" w:after="0"/>
        <w:ind w:left="420" w:right="0" w:firstLine="1440"/>
        <w:jc w:val="center"/>
        <w:rPr>
          <w:sz w:val="20"/>
          <w:bdr w:val="single" w:sz="12" w:space="1" w:color="000000"/>
        </w:rPr>
      </w:pPr>
      <w:r>
        <w:rPr>
          <w:sz w:val="20"/>
          <w:bdr w:val="single" w:sz="12" w:space="1" w:color="000000"/>
        </w:rPr>
        <w:t>11</w:t>
      </w:r>
    </w:p>
    <w:p>
      <w:pPr>
        <w:pStyle w:val="TextBody"/>
        <w:bidi w:val="0"/>
        <w:spacing w:before="0" w:after="0"/>
        <w:ind w:left="4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xml:space="preserve"> Whenever pursuant to this Note the Borrower is required to pay an amount in excess of the outstanding Principal Amount (or the portion thereof required to be paid at that time) plus accrued and unpaid interest plus Default Interest on such interest, the Borrower and the Holder agree that the actual damages to the Holder from the receipt of cash payment on this Note may be difficult to determine and the amount to be so paid by the Borrower represents stipulated damages and not a penalty and is intended to compensate the Holder in part for loss of the opportunity to convert this Note and to earn a return from the sale of shares of Common Stock acquired upon conversion of this Note at a price in excess of the price paid for such shares pursuant to this Note. The Borrower and the Holder hereby agree that such amount of stipulated damages is not plainly disproportionate to the possible loss to the Holder from the receipt of a cash payment without the opportunity to convert this Note into shares of Common Stock.</w:t>
      </w:r>
    </w:p>
    <w:p>
      <w:pPr>
        <w:pStyle w:val="TextBody"/>
        <w:bidi w:val="0"/>
        <w:spacing w:before="0" w:after="0"/>
        <w:ind w:left="4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xml:space="preserve"> The Company and the Holder shall be bound by the applicable terms of the Purchase Agreement, and the Transaction Documents entered into in connection herewith and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420" w:right="0" w:firstLine="1350"/>
        <w:jc w:val="both"/>
        <w:rPr>
          <w:caps w:val="false"/>
          <w:smallCaps w:val="false"/>
        </w:rPr>
      </w:pPr>
      <w:r>
        <w:rPr>
          <w:caps w:val="false"/>
          <w:smallCaps w:val="false"/>
        </w:rPr>
        <w:t> </w:t>
      </w:r>
    </w:p>
    <w:p>
      <w:pPr>
        <w:pStyle w:val="TextBody"/>
        <w:bidi w:val="0"/>
        <w:spacing w:before="0" w:after="0"/>
        <w:ind w:left="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all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Holder in order to enforce any right or remedy under this Note. Notwithstanding any provision to the contrary contained in this Note, it is expressly agreed and provided that the total liability of the Company under this Note for payments which under the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the applicable law in the nature of interest that the Company may be obligated to pay under this Note exceed such Maximum Rate. It is agreed that if the maximum contract rate of interest allowed by applicable law and applicable to this Note is increased or decreased by statute or any official governmental action subsequent to the Issue Date, the new maximum contract rate of interest allowed by law will be the Maximum Rate applicable to this Note from the effective date thereof forward, unless such application is precluded by applicable law. If under any circumstances whatsoever, interest in excess of the Maximum Rate is paid by the Company to the Holder with respect to indebtedness evidenced by this the Note, such excess shall be applied by the Holder to the unpaid principal balance of any such indebtedness or be refunded to the Company, the manner of handling such excess to be at the Holder’s election.</w:t>
      </w:r>
    </w:p>
    <w:p>
      <w:pPr>
        <w:pStyle w:val="TextBody"/>
        <w:bidi w:val="0"/>
        <w:spacing w:before="0" w:after="0"/>
        <w:ind w:left="32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Note is invalid or unenforceable under any applicable statute or rule of law (including any judicial ruling),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Terms of Future Financings.</w:t>
      </w:r>
      <w:r>
        <w:rPr>
          <w:rFonts w:ascii="Times New Roman;Times;Serif" w:hAnsi="Times New Roman;Times;Serif"/>
          <w:b w:val="false"/>
          <w:i w:val="false"/>
          <w:caps w:val="false"/>
          <w:smallCaps w:val="false"/>
          <w:sz w:val="20"/>
        </w:rPr>
        <w:t xml:space="preserve"> So long as this Note is outstanding, upon any issuance by the Borrower or any of its Subsidiaries of any security, or amendment to a security that was originally issued before the Issue Date, with any term that the Holder reasonably believes is more favorable to the holder of such security or with a term in favor of the holder of such security that the Holder reasonably believes was not similarly provided to the Holder in this Note (even if the holder of such other security does not receive the benefit of such more favorable term until a default occurs under such other security), then (i) the Borrower shall notify the Holder of such additional or more favorable term within one (1) business day of the issuance and/or amendment (as applicable) of the respective security, and (ii) such term, at Holder’s option, shall become a part of the transaction documents with the Holder (regardless of whether the Borrower complied with the notification provision of this Section 4.13). The types of terms contained in another security that may be more favorable to the holder of such security include, but are not limited to, terms addressing prepayment rate, interest rates, conversion rate, and original issue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Amortization Payments</w:t>
      </w:r>
      <w:r>
        <w:rPr>
          <w:rFonts w:ascii="Times New Roman;Times;Serif" w:hAnsi="Times New Roman;Times;Serif"/>
          <w:b w:val="false"/>
          <w:i w:val="false"/>
          <w:caps w:val="false"/>
          <w:smallCaps w:val="false"/>
          <w:sz w:val="20"/>
        </w:rPr>
        <w:t>. In addition to all other payment obligations under this Note, the Borrower shall also make the following amortization payments (each an “Amortization Payment”) in cash to the Holder towards the repayment of this Note, as provided in the following table:</w:t>
      </w:r>
    </w:p>
    <w:p>
      <w:pPr>
        <w:pStyle w:val="TextBody"/>
        <w:bidi w:val="0"/>
        <w:spacing w:before="0" w:after="0"/>
        <w:ind w:left="0" w:right="0" w:hanging="0"/>
        <w:jc w:val="left"/>
        <w:rPr>
          <w:caps w:val="false"/>
          <w:smallCaps w:val="false"/>
        </w:rPr>
      </w:pPr>
      <w:r>
        <w:rPr>
          <w:caps w:val="false"/>
          <w:smallCaps w:val="false"/>
        </w:rPr>
        <w:t> </w:t>
      </w:r>
    </w:p>
    <w:tbl>
      <w:tblPr>
        <w:tblW w:w="6360" w:type="dxa"/>
        <w:jc w:val="left"/>
        <w:tblInd w:w="0" w:type="dxa"/>
        <w:tblLayout w:type="fixed"/>
        <w:tblCellMar>
          <w:top w:w="0" w:type="dxa"/>
          <w:left w:w="0" w:type="dxa"/>
          <w:bottom w:w="28" w:type="dxa"/>
          <w:right w:w="0" w:type="dxa"/>
        </w:tblCellMar>
      </w:tblPr>
      <w:tblGrid>
        <w:gridCol w:w="1940"/>
        <w:gridCol w:w="60"/>
        <w:gridCol w:w="140"/>
        <w:gridCol w:w="4145"/>
        <w:gridCol w:w="75"/>
      </w:tblGrid>
      <w:tr>
        <w:trPr/>
        <w:tc>
          <w:tcPr>
            <w:tcW w:w="1940" w:type="dxa"/>
            <w:tcBorders>
              <w:bottom w:val="single" w:sz="12" w:space="0" w:color="000000"/>
            </w:tcBorders>
            <w:vAlign w:val="center"/>
          </w:tcPr>
          <w:p>
            <w:pPr>
              <w:pStyle w:val="TableContents"/>
              <w:bidi w:val="0"/>
              <w:spacing w:before="0" w:after="283"/>
              <w:jc w:val="left"/>
              <w:rPr/>
            </w:pPr>
            <w:r>
              <w:rPr/>
              <w:t>Payment Date:</w:t>
            </w:r>
          </w:p>
        </w:tc>
        <w:tc>
          <w:tcPr>
            <w:tcW w:w="60" w:type="dxa"/>
            <w:tcBorders/>
            <w:tcMar>
              <w:bottom w:w="0" w:type="dxa"/>
            </w:tcMar>
            <w:vAlign w:val="center"/>
          </w:tcPr>
          <w:p>
            <w:pPr>
              <w:pStyle w:val="TableContents"/>
              <w:bidi w:val="0"/>
              <w:spacing w:before="0" w:after="283"/>
              <w:jc w:val="left"/>
              <w:rPr/>
            </w:pPr>
            <w:r>
              <w:rPr/>
              <w:t> </w:t>
            </w:r>
          </w:p>
        </w:tc>
        <w:tc>
          <w:tcPr>
            <w:tcW w:w="4285" w:type="dxa"/>
            <w:gridSpan w:val="2"/>
            <w:tcBorders>
              <w:bottom w:val="single" w:sz="12" w:space="0" w:color="000000"/>
            </w:tcBorders>
            <w:vAlign w:val="center"/>
          </w:tcPr>
          <w:p>
            <w:pPr>
              <w:pStyle w:val="TableContents"/>
              <w:bidi w:val="0"/>
              <w:spacing w:before="0" w:after="283"/>
              <w:jc w:val="left"/>
              <w:rPr/>
            </w:pPr>
            <w:r>
              <w:rPr/>
              <w:t>Payment Amount:</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October 20,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right"/>
              <w:rPr/>
            </w:pPr>
            <w:r>
              <w:rPr/>
              <w:t>39,285.71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November 20,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4145" w:type="dxa"/>
            <w:tcBorders/>
            <w:shd w:fill="FFFFFF" w:val="clear"/>
            <w:tcMar>
              <w:bottom w:w="0" w:type="dxa"/>
            </w:tcMar>
            <w:vAlign w:val="center"/>
          </w:tcPr>
          <w:p>
            <w:pPr>
              <w:pStyle w:val="TableContents"/>
              <w:bidi w:val="0"/>
              <w:spacing w:before="0" w:after="283"/>
              <w:jc w:val="right"/>
              <w:rPr/>
            </w:pPr>
            <w:r>
              <w:rPr/>
              <w:t>39,285.71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December 21,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right"/>
              <w:rPr/>
            </w:pPr>
            <w:r>
              <w:rPr/>
              <w:t>39,285.71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January 20,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4145" w:type="dxa"/>
            <w:tcBorders/>
            <w:shd w:fill="FFFFFF" w:val="clear"/>
            <w:tcMar>
              <w:bottom w:w="0" w:type="dxa"/>
            </w:tcMar>
            <w:vAlign w:val="center"/>
          </w:tcPr>
          <w:p>
            <w:pPr>
              <w:pStyle w:val="TableContents"/>
              <w:bidi w:val="0"/>
              <w:spacing w:before="0" w:after="283"/>
              <w:jc w:val="right"/>
              <w:rPr/>
            </w:pPr>
            <w:r>
              <w:rPr/>
              <w:t>39,285.71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February 22,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right"/>
              <w:rPr/>
            </w:pPr>
            <w:r>
              <w:rPr/>
              <w:t>39,285.71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March 22,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4145" w:type="dxa"/>
            <w:tcBorders/>
            <w:shd w:fill="FFFFFF" w:val="clear"/>
            <w:tcMar>
              <w:bottom w:w="0" w:type="dxa"/>
            </w:tcMar>
            <w:vAlign w:val="center"/>
          </w:tcPr>
          <w:p>
            <w:pPr>
              <w:pStyle w:val="TableContents"/>
              <w:bidi w:val="0"/>
              <w:spacing w:before="0" w:after="283"/>
              <w:jc w:val="right"/>
              <w:rPr/>
            </w:pPr>
            <w:r>
              <w:rPr/>
              <w:t>39,285.71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April 20,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4145" w:type="dxa"/>
            <w:tcBorders/>
            <w:shd w:fill="CCEEFF" w:val="clear"/>
            <w:tcMar>
              <w:bottom w:w="0" w:type="dxa"/>
            </w:tcMar>
            <w:vAlign w:val="center"/>
          </w:tcPr>
          <w:p>
            <w:pPr>
              <w:pStyle w:val="TableContents"/>
              <w:bidi w:val="0"/>
              <w:spacing w:before="0" w:after="283"/>
              <w:jc w:val="center"/>
              <w:rPr>
                <w:sz w:val="20"/>
              </w:rPr>
            </w:pPr>
            <w:r>
              <w:rPr>
                <w:sz w:val="20"/>
              </w:rPr>
              <w:t>All remaining outstanding amounts under the Note</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each Amortization Payment paid to Holder under this Note shall first reduce all accrued and unpaid interest under the Note, and the remainder of such Amortization Payment (if any) shall reduce the outstanding principal balance of the Note.</w:t>
      </w:r>
    </w:p>
    <w:p>
      <w:pPr>
        <w:pStyle w:val="TextBody"/>
        <w:bidi w:val="0"/>
        <w:spacing w:before="0" w:after="0"/>
        <w:ind w:left="60" w:right="0" w:hanging="0"/>
        <w:jc w:val="both"/>
        <w:rPr>
          <w:caps w:val="false"/>
          <w:smallCaps w:val="false"/>
        </w:rPr>
      </w:pPr>
      <w:r>
        <w:rPr>
          <w:caps w:val="false"/>
          <w:smallCaps w:val="false"/>
        </w:rPr>
        <w:t> </w:t>
      </w:r>
    </w:p>
    <w:p>
      <w:pPr>
        <w:pStyle w:val="TextBody"/>
        <w:bidi w:val="0"/>
        <w:spacing w:before="0" w:after="0"/>
        <w:ind w:left="3"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3" w:right="0" w:hanging="0"/>
        <w:jc w:val="center"/>
        <w:rPr>
          <w:caps w:val="false"/>
          <w:smallCaps w:val="false"/>
        </w:rPr>
      </w:pPr>
      <w:r>
        <w:rPr>
          <w:caps w:val="false"/>
          <w:smallCaps w:val="false"/>
        </w:rPr>
        <w:t> </w:t>
      </w:r>
    </w:p>
    <w:p>
      <w:pPr>
        <w:pStyle w:val="TextBody"/>
        <w:bidi w:val="0"/>
        <w:spacing w:before="0" w:after="0"/>
        <w:ind w:left="3" w:right="0" w:hanging="0"/>
        <w:jc w:val="center"/>
        <w:rPr>
          <w:sz w:val="20"/>
          <w:bdr w:val="single" w:sz="12" w:space="1" w:color="000000"/>
        </w:rPr>
      </w:pPr>
      <w:r>
        <w:rPr>
          <w:sz w:val="20"/>
          <w:bdr w:val="single" w:sz="12" w:space="1" w:color="000000"/>
        </w:rPr>
        <w:t>13</w:t>
      </w:r>
    </w:p>
    <w:p>
      <w:pPr>
        <w:pStyle w:val="TextBody"/>
        <w:bidi w:val="0"/>
        <w:spacing w:before="0" w:after="0"/>
        <w:ind w:left="3" w:right="0" w:hanging="0"/>
        <w:jc w:val="center"/>
        <w:rPr>
          <w:caps w:val="false"/>
          <w:smallCaps w:val="false"/>
        </w:rPr>
      </w:pPr>
      <w:r>
        <w:rPr>
          <w:caps w:val="false"/>
          <w:smallCaps w:val="false"/>
        </w:rPr>
        <w:t> </w:t>
      </w:r>
    </w:p>
    <w:p>
      <w:pPr>
        <w:pStyle w:val="TextBody"/>
        <w:bidi w:val="0"/>
        <w:spacing w:before="0" w:after="0"/>
        <w:ind w:left="0" w:right="0" w:firstLine="718"/>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Borrower has caused this Note to be signed in its name by its duly authorized officer on April 20, 2026.</w:t>
      </w:r>
    </w:p>
    <w:p>
      <w:pPr>
        <w:pStyle w:val="TextBody"/>
        <w:bidi w:val="0"/>
        <w:spacing w:before="0" w:after="0"/>
        <w:ind w:left="360" w:right="0" w:hanging="0"/>
        <w:jc w:val="left"/>
        <w:rPr>
          <w:caps w:val="false"/>
          <w:smallCaps w:val="false"/>
        </w:rPr>
      </w:pPr>
      <w:r>
        <w:rPr>
          <w:caps w:val="false"/>
          <w:smallCaps w:val="false"/>
        </w:rPr>
        <w:t> </w:t>
      </w:r>
    </w:p>
    <w:tbl>
      <w:tblPr>
        <w:tblW w:w="3390" w:type="dxa"/>
        <w:jc w:val="left"/>
        <w:tblInd w:w="0" w:type="dxa"/>
        <w:tblLayout w:type="fixed"/>
        <w:tblCellMar>
          <w:top w:w="0" w:type="dxa"/>
          <w:left w:w="0" w:type="dxa"/>
          <w:bottom w:w="0" w:type="dxa"/>
          <w:right w:w="0" w:type="dxa"/>
        </w:tblCellMar>
      </w:tblPr>
      <w:tblGrid>
        <w:gridCol w:w="380"/>
        <w:gridCol w:w="650"/>
        <w:gridCol w:w="2285"/>
        <w:gridCol w:w="75"/>
      </w:tblGrid>
      <w:tr>
        <w:trPr/>
        <w:tc>
          <w:tcPr>
            <w:tcW w:w="3315" w:type="dxa"/>
            <w:gridSpan w:val="3"/>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31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935" w:type="dxa"/>
            <w:gridSpan w:val="2"/>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85"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360" w:right="0" w:firstLine="718"/>
        <w:jc w:val="both"/>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w:t>
      </w:r>
      <w:r>
        <w:rPr>
          <w:rFonts w:ascii="Times New Roman;Times;Serif" w:hAnsi="Times New Roman;Times;Serif"/>
          <w:b w:val="false"/>
          <w:i w:val="false"/>
          <w:caps w:val="false"/>
          <w:smallCaps w:val="false"/>
          <w:sz w:val="20"/>
          <w:u w:val="single"/>
        </w:rPr>
        <w:tab/>
      </w:r>
      <w:r>
        <w:rPr>
          <w:rFonts w:ascii="Times New Roman;Times;Serif" w:hAnsi="Times New Roman;Times;Serif"/>
          <w:b w:val="false"/>
          <w:i w:val="false"/>
          <w:caps w:val="false"/>
          <w:smallCaps w:val="false"/>
          <w:sz w:val="20"/>
        </w:rPr>
        <w:t xml:space="preserve">principal amount of the Note (defined below) into that number of shares of Common Stock to be issued pursuant to the conversion of the Note (“Common Stock”) as set forth below, of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a British Virgin Islands company (the “Borrower”), according to the conditions of the promissory note of the Borrower dated as of April 20, 2026 (the “Note”), as of the date written below. No fee will be charged to the Holder for any conversion, except for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Borrower shall electronically transmit the Common Stock issuable pursuant to this Notice of Conversion to the account of the undersigned or its nominee with DTC through its Deposit Withdrawal Agent Commission system (“DWAC Transfer”).</w:t>
            </w:r>
          </w:p>
        </w:tc>
      </w:tr>
    </w:tbl>
    <w:p>
      <w:pPr>
        <w:pStyle w:val="TextBody"/>
        <w:bidi w:val="0"/>
        <w:spacing w:before="0" w:after="0"/>
        <w:ind w:left="1490" w:right="0" w:hanging="0"/>
        <w:jc w:val="left"/>
        <w:rPr>
          <w:caps w:val="false"/>
          <w:smallCaps w:val="false"/>
        </w:rPr>
      </w:pPr>
      <w:r>
        <w:rPr>
          <w:caps w:val="false"/>
          <w:smallCaps w:val="false"/>
        </w:rPr>
        <w:t> </w:t>
      </w:r>
    </w:p>
    <w:p>
      <w:pPr>
        <w:pStyle w:val="TextBody"/>
        <w:bidi w:val="0"/>
        <w:spacing w:before="0" w:after="0"/>
        <w:ind w:left="14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14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tc>
      </w:tr>
    </w:tbl>
    <w:p>
      <w:pPr>
        <w:pStyle w:val="TextBody"/>
        <w:bidi w:val="0"/>
        <w:spacing w:before="0" w:after="0"/>
        <w:ind w:left="1490" w:right="0" w:hanging="573"/>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3620"/>
        <w:gridCol w:w="62"/>
        <w:gridCol w:w="63"/>
        <w:gridCol w:w="75"/>
      </w:tblGrid>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sz w:val="20"/>
              </w:rPr>
            </w:pPr>
            <w:r>
              <w:rPr>
                <w:sz w:val="20"/>
              </w:rPr>
              <w:t>Date of Conversion:</w:t>
            </w:r>
          </w:p>
        </w:tc>
        <w:tc>
          <w:tcPr>
            <w:tcW w:w="125" w:type="dxa"/>
            <w:gridSpan w:val="2"/>
            <w:tcBorders>
              <w:bottom w:val="single" w:sz="12" w:space="0" w:color="000000"/>
            </w:tcBorders>
            <w:tcMar>
              <w:bottom w:w="28" w:type="dxa"/>
            </w:tcMar>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Conversion Price:</w:t>
            </w:r>
          </w:p>
        </w:tc>
        <w:tc>
          <w:tcPr>
            <w:tcW w:w="12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to be</w:t>
            </w:r>
          </w:p>
        </w:tc>
        <w:tc>
          <w:tcPr>
            <w:tcW w:w="12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Pursuant to Conversion of the Note:</w:t>
            </w:r>
          </w:p>
        </w:tc>
        <w:tc>
          <w:tcPr>
            <w:tcW w:w="62" w:type="dxa"/>
            <w:tcBorders/>
            <w:vAlign w:val="center"/>
          </w:tcPr>
          <w:p>
            <w:pPr>
              <w:pStyle w:val="TableContents"/>
              <w:bidi w:val="0"/>
              <w:spacing w:before="0" w:after="283"/>
              <w:jc w:val="right"/>
              <w:rPr/>
            </w:pPr>
            <w:r>
              <w:rPr/>
              <w:t> </w:t>
            </w:r>
          </w:p>
        </w:tc>
        <w:tc>
          <w:tcPr>
            <w:tcW w:w="63" w:type="dxa"/>
            <w:tcBorders>
              <w:bottom w:val="single" w:sz="12" w:space="0" w:color="000000"/>
            </w:tcBorders>
            <w:tcMar>
              <w:bottom w:w="28" w:type="dxa"/>
            </w:tcMar>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Principal Balance Due remaining</w:t>
            </w:r>
          </w:p>
        </w:tc>
        <w:tc>
          <w:tcPr>
            <w:tcW w:w="12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Note after this conversion:</w:t>
            </w:r>
          </w:p>
        </w:tc>
        <w:tc>
          <w:tcPr>
            <w:tcW w:w="62" w:type="dxa"/>
            <w:tcBorders/>
            <w:vAlign w:val="center"/>
          </w:tcPr>
          <w:p>
            <w:pPr>
              <w:pStyle w:val="TableContents"/>
              <w:bidi w:val="0"/>
              <w:spacing w:before="0" w:after="283"/>
              <w:jc w:val="right"/>
              <w:rPr/>
            </w:pPr>
            <w:r>
              <w:rPr/>
              <w:t> </w:t>
            </w:r>
          </w:p>
        </w:tc>
        <w:tc>
          <w:tcPr>
            <w:tcW w:w="63" w:type="dxa"/>
            <w:tcBorders>
              <w:bottom w:val="single" w:sz="12" w:space="0" w:color="000000"/>
            </w:tcBorders>
            <w:tcMar>
              <w:bottom w:w="28" w:type="dxa"/>
            </w:tcMar>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15" w:type="dxa"/>
        <w:jc w:val="left"/>
        <w:tblInd w:w="0" w:type="dxa"/>
        <w:tblLayout w:type="fixed"/>
        <w:tblCellMar>
          <w:top w:w="0" w:type="dxa"/>
          <w:left w:w="0" w:type="dxa"/>
          <w:bottom w:w="0" w:type="dxa"/>
          <w:right w:w="0" w:type="dxa"/>
        </w:tblCellMar>
      </w:tblPr>
      <w:tblGrid>
        <w:gridCol w:w="75"/>
        <w:gridCol w:w="545"/>
        <w:gridCol w:w="60"/>
        <w:gridCol w:w="60"/>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68"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1468"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9" w:name="ea030132501ex10-49.htm"/>
      <w:bookmarkStart w:id="60" w:name="ksea030132501ex1049"/>
      <w:bookmarkEnd w:id="59"/>
      <w:bookmarkEnd w:id="60"/>
      <w:r>
        <w:rPr>
          <w:rFonts w:ascii="Times New Roman;Times;Serif" w:hAnsi="Times New Roman;Times;Serif"/>
          <w:b/>
          <w:i w:val="false"/>
          <w:caps w:val="false"/>
          <w:smallCaps w:val="false"/>
          <w:sz w:val="20"/>
        </w:rPr>
        <w:t>Exhibit 10.49</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April 27,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with headquarters located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with its address at 21031 Ventura Blvd. Suite 920 Woodland Hills, CA 91364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Section 4(a)(2) of the Securities Act of 1933, as amended (the “1933 Act”) and Rule 506(b) promulgated by the United States Securities and Exchange Commission (the “SEC”)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desires to purchase from the Company, and the Company desires to issue and sell to the Buyer, upon the terms and conditions set forth in this Agreement, a promissory note of the Company, in the aggregate principal amount of $200,000.00 (as the principal amount thereof may be increased pursuant to the terms thereof, and together with any note(s) issued in replacement thereof or as a dividend thereon or otherwise with respect thereto in accordance with the terms thereof,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“Note”), convertible into Class A ordinary shares of the Company, no par value per share (the “Common Stock”), upon the terms and subject to the limitations and conditions set forth in such Note;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the Note as is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agreements and covenants herein contained, and for other good and valuable consideration, the receipt and sufficiency of which is hereby acknowledged, the Company and the Buyer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Note.</w:t>
      </w:r>
      <w:r>
        <w:rPr>
          <w:rFonts w:ascii="Times New Roman;Times;Serif" w:hAnsi="Times New Roman;Times;Serif"/>
          <w:b w:val="false"/>
          <w:i w:val="false"/>
          <w:caps w:val="false"/>
          <w:smallCaps w:val="false"/>
          <w:sz w:val="20"/>
        </w:rPr>
        <w:t xml:space="preserve"> On the Closing Date (as defined below), the Company shall issue and sell to the Buyer, and the Buyer agrees to purchase from the Company, the Note, as further provided herein. As used in this Agreement, the term “business day” shall mean any day other than a Saturday, Sunday, or a day on which commercial banks in the city of New York, New York are authorized or required by law or executive order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On the Closing Date: (i) the Buyer shall pay the purchase price of $180,000.00 (the “Purchase Price”) for the Note, to be issued and sold to it at the Closing (as defined below), by wire transfer of immediately available funds to the Company, in accordance with the Company’s written wiring instructions, against delivery of the Note, and (ii) the Company shall deliver such duly executed Note on behalf of the Company, to the Buyer, against delivery of such Purchase Price. On the Closing Date, the Buyer shall withhold $5,000.00 from the Purchase Price to cover the Buyer’s legal fees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satisfaction (or written waiver) of the conditions thereto set forth in Section 6 and Section 7 below, the date and time of the issuance and sale of the Note pursuant to this Agreement (the “Closing Date”) shall be on the date that the Purchase Price for the Note is paid by Buyer pursuant to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(the “Closing”) shall occur on the Closing Date at such location as may be agreed to by the parties (including via exchange of electronic signatures).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as of the Closing Date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Closing Date, the Buyer is purchasing the Note (the Note, , and shares of Common Stock issuable upon conversion of or otherwise pursuant to the Note (the “Conversion Shares”) shall collectively be referred to herein as the “Securities”) for its own account and not with a present view towards the public sale or distribution thereof, except pursuant to sales registered or exempted from registration under the 1933 Act; provided, however, that by making the representations herein, the Buyer does not agree to hold any of the Securities for any minimum or other specific term and reserves the right to dispose of the Securities at any time in accordance with or pursuant to a registration statement or an exemption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The Buyer is an “accredited investor” as that term is defined in Rule 501(a) of Regulation D (an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xml:space="preserve">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Buyer and its advisors, if any, have been, and for so long as the Note remains outstanding will continue to be, furnished with all materials relating to the business, finances and operations of the Company and materials relating to the offer and sale of the Securities which have been requested by the Buyer or its advisors. The Buyer and its advisors, if any, have been, and for so long as the Note remains outstanding will continue to be, afforded the opportunity to ask questions of the Company regarding its business and affairs. Notwithstanding the foregoing, the Company has not disclosed to the Buyer any material nonpublic information regarding the Company or otherwise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xml:space="preserve"> The Buyer understands that no United States federal or state agency or any other government or governmental agency has passed upon or made any recommendation or endorsement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Company, an opinion of counsel (which may be the Legal Counsel Opinion (as defined below)) that shall be in form, substance and scope customary for opinions of counsel in comparable transactions to the effect that the Securities to be sold or transferred may be sold or transferred pursuant to an exemption from such registration, which opinion shall be accepted by the Company,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(d) the Securities are sold pursuant to Rule 144 or other applicable exemption, or (e) the Securities are sold pursuant to Regulation S under the 1933 Act (or a successor rule) (“Regulation S”), and the Buyer shall have delivered to the Company, at the cost of the Company, an opinion of counsel that shall be in form, substance and scope customary for opinions of counsel in corporate transactions, which opinion shall be accepted by the Company; (ii) any sale of such Securities made in reliance on Rule 144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 Notwithstanding the foregoing or anything else contained herein to the contrary, the Securities may be pledged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secured by the Securities, and such pledge of Securities shall not be deemed to be a transfer, sale or assignment of the Securities hereunder, and the Buyer in effecting such pledge of Securities shall not be required to provide the Company with any notice thereof or otherwise make any delivery to the Company pursuant to this Agreement or otherwise.</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Buyer understands that until such time as the Note and/or Conversion Shares have been registered under the 1933 Act or may be sold pursuant to Rule 144, Rule 144A under the 1933 Act, Regulation S, or other applicable exemption without any restriction as to the number of securities as of a particular date that can then be immediately sold, the Securities may bear a restrictive legend in substantially the following form (and a stop-transfer order may be placed against transfer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108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RULE 144A, REGULATION S, OR OTHER APPLICABLE EXEMPTION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or book entry statement for the applicable shares of Common Stock without such legend to the holder of any Security upon which it is stamped or (as requested by such holder) issue the applicable shares of Common Stock to such holder by electronic delivery by crediting the account of such holder’s broker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if, unless otherwise required by applicable state securities laws, (a) such Security is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Buyer provides the Legal Counsel Opinion (as contemplated by and in accordance with Section 4(l) hereof) to the effect that a public sale or transfer of such Security may be made without registration under the 1933 Act, which opinion shall be accepted by the Company so that the sale or transfer is effected. The Company shall be responsible for the fees of its transfer agent and all DTC fees associated with any such issuance. The Buyer agrees to sell all Securities, including those represented by a certificate(s) from which the legend has been removed, in compliance with applicable prospectus delivery requirements, if any. In the event that the Company does not accept the opinion of counsel provided by the Buyer with respect to the transfer of Securities pursuant to an exemption from registration, such as Rule 144, Rule 144A, Regulation S, or other applicable exemption at the Deadline (as defined in the Note), it will be considered an Event of Default pursuant to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This Agreement has been duly and validly authorized by the Buyer and has been duly executed and delivered on behalf of the Buyer, and this Agreement constitutes a valid and binding agreement of the Buyer enforceable in accordance with its terms, except as enforcement may be limited by bankruptcy, insolvency, reorganization, moratorium or other similar laws affecting creditors’ rights generally and except as may be limited by the exercise of judicial discretion in applying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represents and warrants to the Buyer as of the Closing Date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(as defined below), if any, is a corporation duly organized, validly existing and in good standing under the laws of the jurisdiction in which it is incorporated or formed, with full power and authority (corporate and other) to own, lease, use and operate its properties and to carry on its business as and where now owned, leased, used, operated and conducted. The SEC Documents set forth a list of all of the Subsidiaries of the Company and the jurisdiction in which each is incorporated. The Company and each of its Subsidiaries is duly qualified to do business and is in good standing in every jurisdiction in which its ownership or use of property or the nature of the business conducted by it makes such qualification necessary except where the failure to be so qualified or in good standing would not have a Material Adverse Effect.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The Company and Subsidiaries have all requisite corporate power and authority to enter into and perform the Transaction Documents and to consummate the transactions contemplated hereby and thereby and to issue the Securities, in accordance with the terms hereof and thereof. The Company represents and warrants that (i) the execution and delivery of the Transaction Documents, the Note, and Conversion Shares by the Company and the consummation by it of the transactions contemplated hereby and thereby (including without limitation, the issuance of the Note as well as the issuance and reservation for issuance of the Conversion Shares issuable upon conversion of the Note) have been duly authorized by the Company’s Board of Directors and no further consent or authorization of the Company, its Board of Directors, its shareholders, or its debt holders is required, (i) the Transaction Documents (together with any other instruments executed in connection herewith or therewith) have been duly executed and delivered by the Company and Subsidiaries by its authorized representatives, and such authorized representatives are the true and official representative with authority to sign the Transaction Documents and the other instruments documents executed in connection herewith or therewith and bind the Company and Subsidiaries accordingly, and (iii) the Transaction Documents constitute, and upon execution and delivery by the Company and Subsidiaries as applicable, each of such instruments will constitute, a legal, valid and binding obligation of the Company and Subsidiaries, enforceable against the Company and Subsidiaries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 Governing Documents.</w:t>
      </w:r>
      <w:r>
        <w:rPr>
          <w:rFonts w:ascii="Times New Roman;Times;Serif" w:hAnsi="Times New Roman;Times;Serif"/>
          <w:b w:val="false"/>
          <w:i w:val="false"/>
          <w:caps w:val="false"/>
          <w:smallCaps w:val="false"/>
          <w:sz w:val="20"/>
        </w:rPr>
        <w:t xml:space="preserve"> As of April 14, 2026, the authorized capital stock of the Company consists of: (i) unlimited authorized shares of Common Stock, of which 568,473 shares were issued and outstanding, (ii) unlimited authorized shares of Class B ordinary shares, of which 69 shares were issued and outstanding, and (iii) unlimited authorized shares of preferred stock, of which 0 shares were issued and outstanding. All of such outstanding shares of capital stock of the Company and the Conversion Shares are, or upon issuance will be, duly authorized, validly issued, fully paid and non-assessable. No shares of capital stock of the Company are subject to preemptive rights or any other similar rights of the shareholders of the Company or any liens or encumbrances imposed through the actions or failure to act of the Company. As of the effective date of this Agreement, other than as publicly announced prior to such date and reflected in the SEC Documents of the Company, (i) there are no outstanding options, warrants, scrip, rights to subscribe for, puts, calls, rights of first refusal, agreements, understandings, claims or other commitments or rights of any character whatsoever relating to, or securities or rights convertible into or exchangeable for any shares of capital stock of the Company or any of its Subsidiaries, or arrangements by which the Company or any of its Subsidiaries is or may become bound to issue additional shares of capital stock of the Company or any of its Subsidiaries, (ii) there are no agreements or arrangements under which the Company or any of its Subsidiaries is obligated to register the sale of any of its or their securities under the 1933 Act and (iii) there are no anti-dilution or price adjustment provisions contained in any security issued by the Company (or in any agreement providing rights to security holders) that will be triggered by the issuance of any of the Securities. The Company has furnished to the Buyer true and correct copies of the Company’s Certificate of Incorporation as in effect on the date hereof (“Certificate of Incorporation”), the Company’s By-laws, as in effect on the date hereof (the “By-laws”), and the terms of all securities convertible into or exercisable for Common Stock of the Company and the material rights of the holders thereof in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Conversion Shares.</w:t>
      </w:r>
      <w:r>
        <w:rPr>
          <w:rFonts w:ascii="Times New Roman;Times;Serif" w:hAnsi="Times New Roman;Times;Serif"/>
          <w:b w:val="false"/>
          <w:i w:val="false"/>
          <w:caps w:val="false"/>
          <w:smallCaps w:val="false"/>
          <w:sz w:val="20"/>
        </w:rPr>
        <w:t xml:space="preserve"> The Conversion Shares are duly authorized and reserved for issuance and, upon conversion of the Note in accordance with its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xml:space="preserve"> The Company understands and acknowledges the potentially dilutive effect of the Conversion Shares upon the conversion of the Note to the Common Stock. The Company further acknowledges that its obligation to issue, upon conversion of the Note, the Conversion Shares, are absolute and unconditional regardless of the dilutive effect that such issuance may have on the ownership interests of other shareholders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Documents by the Company and Subsidiaries, and the consummation by the Company and Subsidiaries of the transactions contemplated hereby and thereby (including, without limitation, the issuance and reservation for issuance of the Conversion Shares)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note, evidence of indebtedness,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is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or (iv) trigger any anti-dilution and/or ratchet provision contained in any other contract in which the Company is a party thereto or any security issued by the Company. Neither the Company nor any of its Subsidiaries is in violation of its Certificate of Incorporation, By-laws or other organizational documents and neither the Company nor any of its Subsidiaries is in default (and no event has occurred which with notice or lapse of time or both could put the Company or any of its Subsidiaries in default) under, and neither the Company nor any of its Subsidiaries has taken any action or failed to take any action that would give to others any rights of termination, amendment, acceleration or cancellation of, any agreement, indenture or instrument to which the Company or any of its Subsidiaries is a party or by which any property or assets of the Company or any of its Subsidiaries is bound or affected, except for possible defaults as would not, individually or in the aggregate, have a Material Adverse Effect. The businesses of the Company and its Subsidiaries, if any, are not being conducted, and shall not be conducted so long as the Buyer owns any of the Securities, in violation of any law, ordinance or regulation of any governmental entity. Except as specifically contemplated by this Agreement and as required under the 1933 Act and any applicable state securities laws, the Company is not required to obtain any consent, authorization or order of, or make any filing or registration with, any court, governmental agency, regulatory agency, self-regulatory organization or stock market or any third party in order for it to execute, deliver or perform any of its obligations under this Agreement and the Note in accordance with the terms hereof or thereof or to issue and sell the Note in accordance with the terms hereof and, upon conversion of the Note, issue Conversion Shares. All consents, authorizations, orders, filings and registrations which the Company is required to obtain pursuant to the preceding sentence have been obtained or effected on or prior to the date hereof. The Company is not in violation of the listing requirements of the Principal Market (as defined herein) and does not reasonably anticipate that the Common Stock will be delisted by the Principal Market in the foreseeable future. The Company and its Subsidiaries are unaware of any facts or circumstances which might give rise to any of the foregoing. The “Principal Market” shall mean the principal securities exchange or trading market where such Common Stock is listed or traded, including but not limited to any tier of the OTC Markets, any tier of the NASDAQ Stock Market (including NASDAQ Capital Market), or the NYSE American, or any successor to such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financial statements of the Company included in the SEC Documents, the Company has no liabilities, contingent or otherwise, other than (i) liabilities incurred in the ordinary course of business subsequent to December 31, 2025,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The Company is subject to the reporting requirements of the 1934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2025, there has been no material adverse change and no material adverse development in the assets, liabilities, business, properties, operations, financial condition, results of operations, prospects or 1934 Act reporting status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SEC Documents contain a complete list and summary description of any pending or, to the knowledge of the Company, threatened proceeding against or affecting the Company or any of its Subsidiaries, without regard to whether it would have a Material Adverse Effect. The Company and its Subsidiaries are unaware of any facts or circumstances which might give rise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each of its Subsidiaries owns or possesses the requisite licenses or rights to use all patents, patent applications, patent rights, inventions, know-how, trade secrets, trademarks, trademark applications, service marks, service names, trade names and copyrights (“Intellectual Property”) necessary to enable it to conduct its business as now operated (and, as presently contemplated to be operated in the future); there is no claim or action by any person pertaining to, or proceeding pending, or to the Company’s knowledge threatened, which challenges the right of the Company or of a Subsidiary with respect to any Intellectual Property necessary to enable it to conduct its business as now operated (and, as presently contemplated to be operated in the future); to the best of the Company’s knowledge, the Company’s or its Subsidiaries’ current and intended products, services and processes do not infringe on any Intellectual Property or other rights held by any person; and the Company is unaware of any facts or circumstances which might give rise to any of the foregoing. The Company and each of its Subsidiaries have taken reasonable security measures to protect the secrecy, confidentiality and value of their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Materially Adverse Contracts, Etc.</w:t>
      </w:r>
      <w:r>
        <w:rPr>
          <w:rFonts w:ascii="Times New Roman;Times;Serif" w:hAnsi="Times New Roman;Times;Serif"/>
          <w:b w:val="false"/>
          <w:i w:val="false"/>
          <w:caps w:val="false"/>
          <w:smallCaps w:val="false"/>
          <w:sz w:val="20"/>
        </w:rPr>
        <w:t xml:space="preserve"> Neither the Company nor any of its Subsidiaries is subject to any charter, corporate or other legal restriction, or any judgment, decree, order, rule or regulation which in the judgment of the Company’s officers has or is expected in the future to have a Material Adverse Effect. Neither the Company nor any of its Subsidiaries is a party to any contract or agreement which in the judgment of the Company’s officers has or is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and each of its Subsidiaries has made or filed all federal, state and foreign income and all other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for arm’s length transactions pursuant to which the Company or any of its Subsidiaries makes payments in the ordinary course of business upon terms no less favorable than the Company or any of its Subsidiaries could obtain from third parties and other than the grant of stock options described in the SEC Documents, none of the officers, directors, or employees of the Company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pursuant to Section 2(d) hereof and otherwise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1934 Act are being incorporated into an effective registration statement filed by the Company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xml:space="preserve"> The Company acknowledges and agrees that the Buyer is acting solely in the capacity of arm’s length purchaser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Buyer’s purchase of the Securities. The Company further represents to the Buyer that the Company’s decision to enter into this Agreement has been based solely on the independent evaluation of the Company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 The issuance of the Securities to the Buyer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Brokers; No Solicitation.</w:t>
      </w:r>
      <w:r>
        <w:rPr>
          <w:rFonts w:ascii="Times New Roman;Times;Serif" w:hAnsi="Times New Roman;Times;Serif"/>
          <w:b w:val="false"/>
          <w:i w:val="false"/>
          <w:caps w:val="false"/>
          <w:smallCaps w:val="false"/>
          <w:sz w:val="20"/>
        </w:rPr>
        <w:t xml:space="preserve"> Except in the ordinary course of business, the Company has taken no action which would give rise to any claim by any person for brokerage commissions, transaction fees or similar payments relating to this Agreement or the transactions contemplated hereby. The Company represents and warrants that neither the Buyer nor its employee(s), member(s), beneficial owner(s), or partner(s) solicited the Company to enter into this Agreement and consummate the transactions described in this Agreement. The Company represents and warrants that neither the Buyer nor its employee(s), member(s), beneficial owner(s), or partner(s) is required to be registered as a broker-dealer under the Securities Exchange Act of 1934 in order to (i) enter into or consummate the transactions encompassed by this Agreement, the Note, and the related transaction documents entered into in connection herewith (the “Transaction Documents”), (ii) fulfill the Buyer’s obligations under the Transaction Documents, or (iii) exercise any of the Buyer’s rights under the Transaction Documents (including but not limited to the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xml:space="preserve">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“Company Permits”),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Since December 31, 2025,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to the Company’s knowledge, with respect to the Company or any of its Subsidiaries or any predecessor of the Company, no past or present violations of Environmental Laws (as defined below), releases of any material into the environment, actions, activities, circumstances, conditions, events, incidents, or contractual obligations which may give rise to any common law environmental liability or any liability under the Comprehensive Environmental Response, Compensation and Liability Act of 1980 or similar federal, state, local or foreign laws and neither the Company nor any of its Subsidiaries has received any notice with respect to any of the foregoing, nor is any action pending or, to the Company’s knowledge, threatened in connection with any of the foregoing.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those that are or were stored, used or disposed of in compliance with applicable law, no Hazardous Materials are contained on or about any real property currently owned, leased or used by the Company or any of its Subsidiaries, and no Hazardous Materials were released on or about any real property previously owned, leased or used by the Company or any of its Subsidiaries during the period the property was owned, leased or used by the Company or any of its Subsidiaries, except in the normal course of the Company’s or any of its Subsidiaries’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underground storage tanks on or under any real property owned, leased or used by the Company or any of its Subsidiaries that are not in compliance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xml:space="preserv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Upon written request the Company will provide to the Buyer true and correct copies of all policies relating to directors’ and officers’ liability coverage, errors and omissions coverage, and commercial general liability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of its Subsidiaries, nor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The Company (after giving effect to the transactions contemplated by this Agreement) is solvent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its assets have a fair market value in excess of the amount required to pay its probable liabilities on its existing debts as they become absolute and matured) and currently the Company has no information that would lead it to reasonably conclude that the Company would not, after giving effect to the transaction contemplated by this Agreement, have the ability to, nor does it intend to take any action that would impair its ability to, pay its debts from time to time incurred in connection therewith as such debts mature. The Company’s financial statements for its most recent fiscal year end and interim financial statements have been prepared assuming the Company will continue as a going concern, which contemplates the realization of assets and the satisfaction of liabilities in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xml:space="preserve">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or that could reasonably be expected to cause or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Illegal or Unauthorized Payments; Political Contributions</w:t>
      </w:r>
      <w:r>
        <w:rPr>
          <w:rFonts w:ascii="Times New Roman;Times;Serif" w:hAnsi="Times New Roman;Times;Serif"/>
          <w:b w:val="false"/>
          <w:i w:val="false"/>
          <w:caps w:val="false"/>
          <w:smallCaps w:val="false"/>
          <w:sz w:val="20"/>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The Company agrees that if the Company breaches any of the representations or warranties set forth in this Section 3 and in addition to any other remedies available to the Buyer pursuant to this Agreement, it will be considered an Event of Default under Section 3.4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COVENANTS, AGREEMENTS AND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xml:space="preserve"> The parties shall use their best efforts to satisfy timely each of the conditions described in Section 6 and 7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The Company agrees to file a Form D with respect to the Securities if required under Regulation D and to provide a copy thereof to the Buyer promptly after such filing. The Company shall, on or before the Closing Date, take such action as the Company shall reasonably determine is necessary to qualify the Securities for sale to the Buyer at the applicable closing pursuant to this Agreement under applicable securities or “blue sky” laws of the states of the United States (or to obtain an exemption from such qualification), and shall provide evidence of any such action so taken to the Buyer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Purchase Price for business development and general working capital, and not in violation or contravention of any applicable law, rule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Buyer in order to enforce any right or remedy under this Agreement, the Note and any document, agreement or instrument contemplated thereby. Notwithstanding any provision to the contrary contained in this Agreement, the Note and any document, agreement or instrument contemplated thereby, it is expressly agreed and provided that the total liability of the Company under this Agreement, the Note or any document, agreement or instrument contemplated thereby for payments which under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applicable law in the nature of interest that the Company may be obligated to pay under this Agreement, the Note and any document, agreement or instrument contemplated thereby exceed such Maximum Rate. It is agreed that if the maximum contract rate of interest allowed by law applicable to this Agreement, the Note and any document, agreement or instrument contemplated thereby is increased or decreased by statute or any official governmental action subsequent to the date hereof, the new maximum contract rate of interest allowed by law will be the Maximum Rate applicable to this Agreement, the Note and any document, agreement or instrument contemplated thereby from the effective date thereof forward, unless such application is precluded by applicable law. If under any circumstances whatsoever, interest in excess of the Maximum Rate is paid by the Company to the Buyer with respect to indebtedness evidenced by this Agreement, the Note and any document, agreement or instrument contemplated thereby, such excess shall be applied by the Buyer to the unpaid principal balance of any such indebtedness or be refunded to the Company, the manner of handling such excess to be at the Buyer’s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 on Activities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Buyer’s prior written consent, which consent shall not be unreasonably withheld or delayed, sell, divest, acquire, or dispose of all or substantially all of its assets other than in the ordinary course of business, or in the event of a Fundamental Transaction and subject to the conditions set out under Section 4(h)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will, so long as the Buyer owns any of the Securities, maintain the listing and trading of its Common Stock on the Principal Market or any equivalent replacement exchange or electronic quotation system (including but not limited to the Pink Sheets electronic quotation system)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from the Principal Market and any other exchanges or electronic quotation systems on which the Common Stock is then traded regarding the continued eligibility of the Common Stock for listing on such exchanges and quotation systems if requested in writing by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The Company will, so long as the Buyer beneficially owns any of the Securities, maintain its corporate existence and shall not sell all or substantially all of the Company’s assets, except in the event of a Fundamental Transaction (as defined in the Note), where the surviving or successor entity in such transaction (i) assumes the Company’s obligations under the Transaction Documents and (ii) is a publicly traded corporation whose Common Stock is listed for trading or quotation on the Principal Market, any tier of the NASDAQ Stock Market, the New York Stock Exchange or the NYSE American.</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xml:space="preserve">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Compliance with 1934 Act; Public Information Failures.</w:t>
      </w:r>
      <w:r>
        <w:rPr>
          <w:rFonts w:ascii="Times New Roman;Times;Serif" w:hAnsi="Times New Roman;Times;Serif"/>
          <w:b w:val="false"/>
          <w:i w:val="false"/>
          <w:caps w:val="false"/>
          <w:smallCaps w:val="false"/>
          <w:sz w:val="20"/>
        </w:rPr>
        <w:t xml:space="preserve"> For so long as the Buyer beneficially owns the Note or any Conversion Shares, the Company shall comply with the reporting requirements of the 1934 Act; and the Company shall continue to be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Legal Counsel Opinions</w:t>
      </w:r>
      <w:r>
        <w:rPr>
          <w:rFonts w:ascii="Times New Roman;Times;Serif" w:hAnsi="Times New Roman;Times;Serif"/>
          <w:b w:val="false"/>
          <w:i w:val="false"/>
          <w:caps w:val="false"/>
          <w:smallCaps w:val="false"/>
          <w:sz w:val="20"/>
        </w:rPr>
        <w:t>. Upon the request of the Buyer from to time to time, the Company shall be responsible (at its cost) for promptly supplying to the Company’s transfer agent and the Buyer a customary legal opinion letter of its counsel (the “Legal Counsel Opinion”) to the effect that the resale of the Conversion Shares by the Buyer or its affiliates, successors and assigns is exempt from the registration requirements of the 1933 Act pursuant to Rule 144 (provided the requirements of Rule 144 are satisfied and provided the Conversion Shares are not then registered under the 1933 Act for resale pursuant to an effective registration statement) or other applicable exemption (provided the requirements of such other applicable exemption are satisfied). In addition, the Buyer may (at the Company’s cost) at any time secure its own legal counsel to issue the Legal Counsel Opinion, and the Company will instruct its transfer agent to accept such opinion.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Piggy-Back Registration Rights</w:t>
      </w:r>
      <w:r>
        <w:rPr>
          <w:rFonts w:ascii="Times New Roman;Times;Serif" w:hAnsi="Times New Roman;Times;Serif"/>
          <w:b w:val="false"/>
          <w:i w:val="false"/>
          <w:caps w:val="false"/>
          <w:smallCaps w:val="false"/>
          <w:sz w:val="20"/>
        </w:rPr>
        <w:t>. If the Company proposes to file any registration statement covering any of its securities (for sale by the Company, for resale by the holder(s) of such securities, or otherwise) (each a “Registration Statement”), the Company shall at each such time give written notice to Holder of its intention to do so (each a “Registration Notice”) at least five (5) calendar days prior to the filing of such Registration Statement and of the registration rights granted under this Agreement. Upon the written request of Holder made to the Company within three (3) calendar days after the receipt of any such Registration Notice, the Company shall, at its sole cost and expense, effect the registration of all Conversion Shares underlying the Note which the Company has been so requested to register by Holder in such Registration Statement, by inclusion of such Conversion Shares in the Registration Statement, to the extent required to permit the resale and disposition (in accordance with the intended methods of disposition, including but not limited to sales at prevailing market prices) of the Conversion Shares by Holder.</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neither it, nor any other person acting on its behalf will provide the Buyer or its agents or counsel with any information that constitutes, or the Company reasonably believes constitutes, material non-public information, unless prior thereto the Buyer shall have consented to the receipt of such information and agreed with the Company to keep such information confidential. The Company understands and confirms that the Buyer shall be relying on the foregoing covenant in effecting transactions in securities of the Company. To the extent that the Company delivers any material, non-public information to the Buyer without such Buyer’s consent, the Company hereby covenants and agrees that such Buyer shall not have any duty of confidentiality to the Company, any of its Subsidiaries, or any of their respective officers, directors, agents, employees or affiliates, not to trade on the basis of, such material, non- public information, provided that the Buyer shall remain subject to applicable law. To the extent that any notice provided, information provided, or any other communications made by the Company, to the Buyer, constitutes or contains material non-public information regarding the Company or any Subsidiaries, the Company shall simultaneously file such notice or other material information with the SEC pursuant to a Current Report on Form 8-K. In addition to any other remedies provided by this Agreement or the related transaction documents, if the Company provides any material non-public information to the Buyer without their prior written consent, and it fails to immediately (no later than that business day) file a Form 8-K disclosing this material non-public information, it shall pay the Buyer as partial liquidated damages and not as a penalty a sum equal to $3,000 per day beginning with the day the information is disclosed to the Buyer and ending and including the day the Form 8-K disclosing this information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Buyer is currently, or ever has been, a broker-dealer under the Securities Exchange Act of 1934.</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xml:space="preserve"> The Company acknowledges and agrees that if the Company breaches any of the covenants set forth in this Section 4, in addition to any other remedies available to the Buyer pursuant to this Agreement, it will be considered an Event of Default under Section 3.3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issue irrevocable instructions to the Company’s transfer agent to issue certificates and/or issue shares electronically at the Buyer’s option, registered in the name of the Buyer or its nominee, upon conversion of the Note, the Conversion Shares, in such amounts as specified from time to time by the Buyer to the Company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reserved shares of Common Stock in the Reserved Amount (as defined in the Note)) signed by the successor transfer agent to the Company and the Company. Prior to registration of the Conversion Shares under the 1933 Act or the date on which the Conversion Shares may be sold pursuant to Rule 144, Rule 144A, Regulation S, or other applicable exemption without any restriction as to the number of Securities as of a particular date that can then be immediately sold, all such certificates or book entry shares shall bear the restrictive legend specified in Section 2(g)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Securities to be issued to the Buyer upon conversion of or otherwise pursuant to the Note as and when required by the Note and this Agreement; (iii) it will not fail to remove (or directs its transfer agent not to remove or impairs, delays, and/or hinders its transfer agent from removing) any restrictive legend (or to withdraw any stop transfer instructions in respect thereof) on any certificate for any Securities issued to the Buyer upon conversion of or otherwise pursuant to the Note as and when required by the Note and/or this Agreement and (iv) it will provide any required corporate resolutions and issuance approvals to its transfer agent within 6 hours of each conversion of the Note. Nothing in this Section shall affect in any way the Buyer’s obligations and agreement set forth in Section 2(g) hereof to comply with all applicable prospectus delivery requirements, if any, upon re-sale of the Securities. If the Buyer provides the Company, at the cost of the Company, with (i) an opinion of counsel in form, substance and scope customary for opinions in comparable transactions, to the effect that a public sale or transfer of such Securities may be made without registration under the 1933 Act and such sale or transfer is effected or (ii) the Buyer provides reasonable assurances that the Securities can be sold pursuant to 144, Rule 144A, Regulation S, or other applicable exemption, the Company shall permit the transfer, and, in the case of the Securities, promptly instruct its transfer agent to issue one or more certificates, free from restrictive legend, in such name and in such denominations as specified by the Buyer.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xml:space="preserve"> The obligation of the Company hereunder to issue and sell the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have executed the Transaction Documents and delivered the same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delivered the Purchase Price in accordance with Section 1(b)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Buyer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Buyer shall have delivered to the Company all information reasonably necessary and requested by the Company to comply with applicable federal and state securities laws in connection with the Agreement, which shall include, but not be limited to, the Buyer's principal place of business or domicile for tax and securities law purposes and sufficient information to verify the Buyer's status as an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Buyer’s Obligation to Purchase.</w:t>
      </w:r>
      <w:r>
        <w:rPr>
          <w:rFonts w:ascii="Times New Roman;Times;Serif" w:hAnsi="Times New Roman;Times;Serif"/>
          <w:b w:val="false"/>
          <w:i w:val="false"/>
          <w:caps w:val="false"/>
          <w:smallCaps w:val="false"/>
          <w:sz w:val="20"/>
        </w:rPr>
        <w:t xml:space="preserve"> The obligation of the Buyer hereunder to purchase the Note, on the Closing Date, is subject to the satisfaction, at or before the Closing Date, of each of the following conditions, provided that these conditions are for the Buyer’s sole benefit and may be waived by the Buyer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Subsidiaries, as applicable, shall have executed the Transaction Documents and delivered the same to the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Buyer the duly executed Note in such denominations as the Buyer shall request and in accordance with Section 1(b)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Buyer, shall have been delivered to and acknowledged in writing by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Trading in the Common Stock on the Principal Market shall not have been suspended by the SEC, FINRA or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Buyer (i) a certificate evidencing the formation and good standing of the Company in such entity’s jurisdiction of formation issued by the Secretary of State (or comparable office) of such jurisdiction, as of a date within ten (10) days of the Closing Date and (ii) resolutions adopted by the Company’s Board of Directors at a duly called meeting or by unanimous written consent authorizing this Agreement and all other documents, instruments and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Arbitration of Claims; Governing Law; Venue</w:t>
      </w:r>
      <w:r>
        <w:rPr>
          <w:rFonts w:ascii="Times New Roman;Times;Serif" w:hAnsi="Times New Roman;Times;Serif"/>
          <w:b w:val="false"/>
          <w:i w:val="false"/>
          <w:caps w:val="false"/>
          <w:smallCaps w:val="false"/>
          <w:sz w:val="20"/>
        </w:rPr>
        <w:t xml:space="preserve">. The Company and Buyer shall submit all Claims (as defined in Exhibit B of this Purchase Agreement) (the “Claims”) arising under this Agreement or any other agreement between the Company and Buyer or their respective affiliates (including but not limited to the Transaction Documents) or any Claim relating to the relationship of the Company and Buyer or their respective affiliates to binding arbitration pursuant to the arbitration provisions set forth in Exhibit B of the Purchase Agreement (the “Arbitration Provisions”). The Company and Buyer hereby acknowledge and agree that the Arbitration Provisions are unconditionally binding on the Company and Buyer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Buyer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Buyer consent to and expressly agree that the exclusive venue for arbitration of any Claims arising under this Agreement or any other agreement between the Company and Buyer or their respective affiliates (including but not limited to the Transaction Documents) or any Claim relating to the relationship of the Company and Buyer or their respective affiliates shall be in Orange County, California. Without modifying the Company’s and Buyer’s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or otherwise related to Buyer in any way (specifically including, without limitation, any action where Company seeks to obtain an injunction, temporary restraining order, or otherwise prohibit the Company’s transfer agent from issuing shares of Common Stock to Buyer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Buyer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Buyer to realize on any collateral or any other security, or to enforce a judgment or other court ruling in favor of the Buyer,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but all of which shall constitute one and the same agreement and shall become effective when counterparts have been signed by each party and delivered to the other party. A facsimile or .pdf signature shall be considered due execution and shall be binding upon the signatory thereto with the same force and effect as if the signature were an original, not a facsimile or .pdf signature. Delivery of a counterpart signature hereto by facsimile or email/.pdf transmission shall be deemed validly delivery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xml:space="preserve"> This Agreement shall be deemed to be jointly drafted by the Company and the Buyer and shall not be construed against any person as the drafter hereof. The headings of this Agreement are for convenience of reference only and shall not form part of, or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Agreement, the Note, or any other agreement or instrument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Agreement, the Note, or any other agreement, certificate, instrument or document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the Note,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or any agreement or instrument contemplated hereby may be waived or amended other than by an instrument in writing signed by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assigns. The Company shall not assign this Agreement or any rights or obligations hereunder without the prior written consent of the Buyer. The Buyer may assign its rights hereunder to any “accredited investor” (as defined in Rule 501(a) of the 1933 Act) in a private transaction from the Buyer or to any of its “affiliates,” as that term is defined under the 1934 Act, without the consent of the Company but shall provide prior notice to the Company of such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The Company, and the Buyer shall have the right to review a reasonable period of time before issuance of any press releases, SEC, Principal Market or FINRA filings, or any other public statements with respect to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without the prior approval of the Buyer, to make any press release or SEC, Principal Market (or other applicable trading market) or FINRA filings with respect to such transactions as is required by applicable law and regulations (although the Buyer shall be consulted by the Company in connection with any such press release prior to its release and shall be provided with a copy thereof and be given an opportunity to comment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xml:space="preserve">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Buyer’s execution and delivery of this Agreement and acquiring the Securities hereunder, and in addition to all of the Company’s other obligations under this Agreement or the Note, the Company shall defend, protect, indemnify and hold harmless the Buyer and its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the Note or any other agreement, certificate, instrument or document contemplated hereby or thereby, (b) any breach of any covenant, agreement or obligation of the Company contained in this Agreement, the Note or any other agreement,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this Agreement, the Note or any other agreement, certificate, instrument or document contemplated hereby or thereby, (ii) any transaction financed or to be financed in whole or in part, directly or indirectly, with the proceeds of the issuance of the Securities, or (iii) the status of the Buyer or holder of the Securities as an investor in the Company pursuant to the transactions contemplated by this Agreement. To the extent that the foregoing undertaking by the Company may be unenforceable for any reason, the Company shall make the maximum contribution to the payment and satisfaction of each of the Indemnified Liabilities that is permissible under applicable law.</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the Note, or any other agreement, certificate, instrument or document contemplated hereby or thereby will be inadequate and agrees, in the event of a breach or threatened breach by the Company of the provisions of this Agreement, the Note, or any other agreement, certificate, instrument or document contemplated hereby or thereby, that the Buyer shall be entitled, in addition to all other available remedies at law or in equity, and in addition to the penalties assessable herein, to an injunction or injunctions restraining, preventing or curing any breach of this Agreement, the Note, or any other agreement, certificate, instrument or document contemplated hereby or thereby, and to enforce specifically the terms and provisions hereof and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(i) Company makes a payment or payments to the Buyer hereunder, pursuant to the Note or pursuant to any other agreement, certificate, instrument or document contemplated hereby or thereby, or (ii) the Buyer enforces or exercises its rights hereunder or pursuant to the Note, or pursuant to any other agreement, certificate, instrument or document contemplated hereby or thereby,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Buyer,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Buyer a dollar amount equal to the amount that was for any reason (i) subsequently invalidated, declared to be fraudulent or preferential, set aside, recovered from, or disgorged by the Buyer,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Buyer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Buyer existing hereunder are cumulative to, and not exclusive of, any rights or remedies otherwise available.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tbl>
      <w:tblPr>
        <w:tblW w:w="3495" w:type="dxa"/>
        <w:jc w:val="left"/>
        <w:tblInd w:w="0" w:type="dxa"/>
        <w:tblLayout w:type="fixed"/>
        <w:tblCellMar>
          <w:top w:w="0" w:type="dxa"/>
          <w:left w:w="0" w:type="dxa"/>
          <w:bottom w:w="0" w:type="dxa"/>
          <w:right w:w="0" w:type="dxa"/>
        </w:tblCellMar>
      </w:tblPr>
      <w:tblGrid>
        <w:gridCol w:w="335"/>
        <w:gridCol w:w="545"/>
        <w:gridCol w:w="2540"/>
        <w:gridCol w:w="75"/>
      </w:tblGrid>
      <w:tr>
        <w:trPr/>
        <w:tc>
          <w:tcPr>
            <w:tcW w:w="335" w:type="dxa"/>
            <w:tcBorders/>
            <w:vAlign w:val="center"/>
          </w:tcPr>
          <w:p>
            <w:pPr>
              <w:pStyle w:val="TableContents"/>
              <w:bidi w:val="0"/>
              <w:spacing w:before="0" w:after="283"/>
              <w:jc w:val="left"/>
              <w:rPr>
                <w:sz w:val="20"/>
              </w:rPr>
            </w:pPr>
            <w:r>
              <w:rPr>
                <w:sz w:val="20"/>
              </w:rPr>
              <w:t>By:</w:t>
            </w:r>
          </w:p>
        </w:tc>
        <w:tc>
          <w:tcPr>
            <w:tcW w:w="308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ab/>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540" w:type="dxa"/>
            <w:tcBorders/>
            <w:vAlign w:val="center"/>
          </w:tcPr>
          <w:p>
            <w:pPr>
              <w:pStyle w:val="TableContents"/>
              <w:bidi w:val="0"/>
              <w:spacing w:before="0" w:after="283"/>
              <w:jc w:val="left"/>
              <w:rPr>
                <w:sz w:val="20"/>
              </w:rPr>
            </w:pPr>
            <w:r>
              <w:rPr>
                <w:sz w:val="20"/>
              </w:rPr>
              <w:t>WING FUNG ALFRED SIU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5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0" w:right="0" w:hanging="0"/>
        <w:jc w:val="left"/>
        <w:rPr>
          <w:caps w:val="false"/>
          <w:smallCaps w:val="false"/>
        </w:rPr>
      </w:pPr>
      <w:r>
        <w:rPr>
          <w:caps w:val="false"/>
          <w:smallCaps w:val="false"/>
        </w:rPr>
        <w:t> </w:t>
      </w:r>
    </w:p>
    <w:tbl>
      <w:tblPr>
        <w:tblW w:w="2940" w:type="dxa"/>
        <w:jc w:val="left"/>
        <w:tblInd w:w="0" w:type="dxa"/>
        <w:tblLayout w:type="fixed"/>
        <w:tblCellMar>
          <w:top w:w="0" w:type="dxa"/>
          <w:left w:w="0" w:type="dxa"/>
          <w:bottom w:w="0" w:type="dxa"/>
          <w:right w:w="0" w:type="dxa"/>
        </w:tblCellMar>
      </w:tblPr>
      <w:tblGrid>
        <w:gridCol w:w="335"/>
        <w:gridCol w:w="545"/>
        <w:gridCol w:w="1985"/>
        <w:gridCol w:w="75"/>
      </w:tblGrid>
      <w:tr>
        <w:trPr/>
        <w:tc>
          <w:tcPr>
            <w:tcW w:w="335" w:type="dxa"/>
            <w:tcBorders/>
            <w:vAlign w:val="center"/>
          </w:tcPr>
          <w:p>
            <w:pPr>
              <w:pStyle w:val="TableContents"/>
              <w:bidi w:val="0"/>
              <w:spacing w:before="0" w:after="283"/>
              <w:jc w:val="left"/>
              <w:rPr>
                <w:sz w:val="20"/>
              </w:rPr>
            </w:pPr>
            <w:r>
              <w:rPr>
                <w:sz w:val="20"/>
              </w:rPr>
              <w:t>By:</w:t>
            </w:r>
          </w:p>
        </w:tc>
        <w:tc>
          <w:tcPr>
            <w:tcW w:w="253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ab/>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85" w:type="dxa"/>
            <w:tcBorders/>
            <w:vAlign w:val="center"/>
          </w:tcPr>
          <w:p>
            <w:pPr>
              <w:pStyle w:val="TableContents"/>
              <w:bidi w:val="0"/>
              <w:spacing w:before="0" w:after="283"/>
              <w:jc w:val="left"/>
              <w:rPr>
                <w:sz w:val="20"/>
              </w:rPr>
            </w:pPr>
            <w:r>
              <w:rPr>
                <w:sz w:val="20"/>
              </w:rPr>
              <w:t>NATHAN YEE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85" w:type="dxa"/>
            <w:tcBorders/>
            <w:vAlign w:val="center"/>
          </w:tcPr>
          <w:p>
            <w:pPr>
              <w:pStyle w:val="TableContents"/>
              <w:bidi w:val="0"/>
              <w:spacing w:before="0" w:after="283"/>
              <w:jc w:val="left"/>
              <w:rPr>
                <w:sz w:val="20"/>
              </w:rPr>
            </w:pPr>
            <w:r>
              <w:rPr>
                <w:sz w:val="20"/>
              </w:rPr>
              <w:t>MANAGING MEMBER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[attached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Each party consents to and expressly agrees that the exclusive venue for arbitration of any dispute arising out of or relating to any of the Transaction Documents or the relationship of the parties or their affiliates shall be in Orange County, California. For purposes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means any disputes, claims, demands, causes of action, requests for injunctive relief, requests for specific performance, questions regarding severability of any provisions of the Transaction Documents,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The parties to this Agreement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hereby agree that the Claims may be arbitrated in one or more Arbitrations pursuant to these Arbitration Provisions (one for an injunction or injunctions and a separate one for all other Claims). The parties hereby agree that the arbitration provisions set forth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Arbitration Provisions</w:t>
      </w:r>
      <w:r>
        <w:rPr>
          <w:rFonts w:ascii="Times New Roman;Times;Serif" w:hAnsi="Times New Roman;Times;Serif"/>
          <w:b w:val="false"/>
          <w:i w:val="false"/>
          <w:caps w:val="false"/>
          <w:smallCaps w:val="false"/>
          <w:sz w:val="20"/>
        </w:rPr>
        <w:t>”)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These Arbitration Provisions shall also survive any termination or expiration of the Agreement. Any capitalized term not defined in these Arbitration Provisions shall have the meaning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Except as otherwise provided herein, all Claims must be submitted to arbitration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 to be conducted exclusively in Orange County, California and pursuant to the terms set forth in these Arbitration Provisions. Subject to the arbitration appeal right provided for in Paragraph 5 below (the “</w:t>
      </w:r>
      <w:r>
        <w:rPr>
          <w:rFonts w:ascii="Times New Roman;Times;Serif" w:hAnsi="Times New Roman;Times;Serif"/>
          <w:b/>
          <w:i w:val="false"/>
          <w:caps w:val="false"/>
          <w:smallCaps w:val="false"/>
          <w:sz w:val="20"/>
        </w:rPr>
        <w:t>Appeal Right</w:t>
      </w:r>
      <w:r>
        <w:rPr>
          <w:rFonts w:ascii="Times New Roman;Times;Serif" w:hAnsi="Times New Roman;Times;Serif"/>
          <w:b w:val="false"/>
          <w:i w:val="false"/>
          <w:caps w:val="false"/>
          <w:smallCaps w:val="false"/>
          <w:sz w:val="20"/>
        </w:rPr>
        <w:t>”), the parties agree that the award of the arbitrator rendered pursuant to Paragraph 4 below (the “</w:t>
      </w:r>
      <w:r>
        <w:rPr>
          <w:rFonts w:ascii="Times New Roman;Times;Serif" w:hAnsi="Times New Roman;Times;Serif"/>
          <w:b/>
          <w:i w:val="false"/>
          <w:caps w:val="false"/>
          <w:smallCaps w:val="false"/>
          <w:sz w:val="20"/>
        </w:rPr>
        <w:t>Arbitration Award</w:t>
      </w:r>
      <w:r>
        <w:rPr>
          <w:rFonts w:ascii="Times New Roman;Times;Serif" w:hAnsi="Times New Roman;Times;Serif"/>
          <w:b w:val="false"/>
          <w:i w:val="false"/>
          <w:caps w:val="false"/>
          <w:smallCaps w:val="false"/>
          <w:sz w:val="20"/>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(with respect to monetary awards) at the rate specified in the Note for Default Interest both before and after the Arbitration Award. Judgment upon the Arbitration Award will be entered and enforced by any state or federal court sitting in Orange County,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The Arbitration Act</w:t>
      </w:r>
      <w:r>
        <w:rPr>
          <w:rFonts w:ascii="Times New Roman;Times;Serif" w:hAnsi="Times New Roman;Times;Serif"/>
          <w:b w:val="false"/>
          <w:i w:val="false"/>
          <w:caps w:val="false"/>
          <w:smallCaps w:val="false"/>
          <w:sz w:val="20"/>
        </w:rPr>
        <w:t>. The parties hereby incorporate herein the provisions and procedures set forth in the California Arbitration Act, Title 9 §§ 1280-1294.4 (as amended or superseded from time to time, the “</w:t>
      </w:r>
      <w:r>
        <w:rPr>
          <w:rFonts w:ascii="Times New Roman;Times;Serif" w:hAnsi="Times New Roman;Times;Serif"/>
          <w:b/>
          <w:i w:val="false"/>
          <w:caps w:val="false"/>
          <w:smallCaps w:val="false"/>
          <w:sz w:val="20"/>
        </w:rPr>
        <w:t>Arbitration Act</w:t>
      </w:r>
      <w:r>
        <w:rPr>
          <w:rFonts w:ascii="Times New Roman;Times;Serif" w:hAnsi="Times New Roman;Times;Serif"/>
          <w:b w:val="false"/>
          <w:i w:val="false"/>
          <w:caps w:val="false"/>
          <w:smallCaps w:val="false"/>
          <w:sz w:val="20"/>
        </w:rPr>
        <w:t>”). Notwithstanding the foregoing, pursuant to, and to the maximum extent permitted by,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Arbitration Proceedings</w:t>
      </w:r>
      <w:r>
        <w:rPr>
          <w:rFonts w:ascii="Times New Roman;Times;Serif" w:hAnsi="Times New Roman;Times;Serif"/>
          <w:b w:val="false"/>
          <w:i w:val="false"/>
          <w:caps w:val="false"/>
          <w:smallCaps w:val="false"/>
          <w:sz w:val="20"/>
        </w:rPr>
        <w:t>. Arbitration between the parties will be subject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caps w:val="false"/>
          <w:smallCaps w:val="false"/>
          <w:sz w:val="20"/>
        </w:rPr>
        <w:t>Initiation of Arbitration</w:t>
      </w:r>
      <w:r>
        <w:rPr>
          <w:rFonts w:ascii="Times New Roman;Times;Serif" w:hAnsi="Times New Roman;Times;Serif"/>
          <w:b w:val="false"/>
          <w:i w:val="false"/>
          <w:caps w:val="false"/>
          <w:smallCaps w:val="false"/>
          <w:sz w:val="20"/>
        </w:rPr>
        <w:t>. The parties agree that a party may initiate Arbitration by giving written notice to the other party (“</w:t>
      </w:r>
      <w:r>
        <w:rPr>
          <w:rFonts w:ascii="Times New Roman;Times;Serif" w:hAnsi="Times New Roman;Times;Serif"/>
          <w:b/>
          <w:i w:val="false"/>
          <w:caps w:val="false"/>
          <w:smallCaps w:val="false"/>
          <w:sz w:val="20"/>
        </w:rPr>
        <w:t>Arbitration Notice</w:t>
      </w:r>
      <w:r>
        <w:rPr>
          <w:rFonts w:ascii="Times New Roman;Times;Serif" w:hAnsi="Times New Roman;Times;Serif"/>
          <w:b w:val="false"/>
          <w:i w:val="false"/>
          <w:caps w:val="false"/>
          <w:smallCaps w:val="false"/>
          <w:sz w:val="20"/>
        </w:rPr>
        <w:t xml:space="preserve">”) in the same manner that notice is permitted under Section 8(f) of the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Arbitration Notice may not be given by email or fax. Arbitration will be deemed initiated as of the date that the Arbitration Notice is deemed physically delivered to such other party under Section 8(f) of the Agreement (the “</w:t>
      </w:r>
      <w:r>
        <w:rPr>
          <w:rFonts w:ascii="Times New Roman;Times;Serif" w:hAnsi="Times New Roman;Times;Serif"/>
          <w:b/>
          <w:i w:val="false"/>
          <w:caps w:val="false"/>
          <w:smallCaps w:val="false"/>
          <w:sz w:val="20"/>
        </w:rPr>
        <w:t>Service Date</w:t>
      </w:r>
      <w:r>
        <w:rPr>
          <w:rFonts w:ascii="Times New Roman;Times;Serif" w:hAnsi="Times New Roman;Times;Serif"/>
          <w:b w:val="false"/>
          <w:i w:val="false"/>
          <w:caps w:val="false"/>
          <w:smallCaps w:val="false"/>
          <w:sz w:val="20"/>
        </w:rPr>
        <w:t>”). After the Service Date, information may be delivered, and notices may be given, by email or fax pursuant to Section 8(f) of the Agreement or any other method permitted thereunder. The Arbitration Notice must describe the nature of the controversy, the remedies sought, and the election to commence Arbitration proceedings. All Claims in the Arbitration Notice must be pleaded consistent with the California Code of Civil Procedure.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caps w:val="false"/>
          <w:smallCaps w:val="false"/>
          <w:sz w:val="20"/>
        </w:rPr>
        <w:t>Selection and Payment of Arbitrator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 Within ten (10) calendar days after the Service Date, Buyer shall select and submit to Company the names of four (4) arbitrators that are designated as “neutrals” or qualified arbitrators by American Arbitration Association (“AAA”) (https://www.adr.org/) or other arbitration service provider agreed upon by the parties (such four (4) designated persons hereunder are referred to herein as the “</w:t>
      </w:r>
      <w:r>
        <w:rPr>
          <w:rFonts w:ascii="Times New Roman;Times;Serif" w:hAnsi="Times New Roman;Times;Serif"/>
          <w:b/>
          <w:i w:val="false"/>
          <w:caps w:val="false"/>
          <w:smallCaps w:val="false"/>
          <w:sz w:val="20"/>
        </w:rPr>
        <w:t>Proposed Arbitrators</w:t>
      </w:r>
      <w:r>
        <w:rPr>
          <w:rFonts w:ascii="Times New Roman;Times;Serif" w:hAnsi="Times New Roman;Times;Serif"/>
          <w:b w:val="false"/>
          <w:i w:val="false"/>
          <w:caps w:val="false"/>
          <w:smallCaps w:val="false"/>
          <w:sz w:val="20"/>
        </w:rPr>
        <w:t>”). Within five (5) calendar days after Buyer has submitted to Company the names of the Proposed Arbitrators, Company must select, by written notice to Buyer, one (1) of the Proposed Arbitrators to act as the arbitrator for the parties under these Arbitration Provisions. If Company fails to select one of the Proposed Arbitrators in writing within such 5-day period, then Buyer may select the arbitrator from the Proposed Arbitrators by providing written notice of such selection to Company. The date that the Proposed Arbitrator selected pursuant to this Paragraph 4.2 agrees in writing (including via email) delivered to both parties to serve as the arbitrator hereunder is referred to herein as the “</w:t>
      </w:r>
      <w:r>
        <w:rPr>
          <w:rFonts w:ascii="Times New Roman;Times;Serif" w:hAnsi="Times New Roman;Times;Serif"/>
          <w:b/>
          <w:i w:val="false"/>
          <w:caps w:val="false"/>
          <w:smallCaps w:val="false"/>
          <w:sz w:val="20"/>
        </w:rPr>
        <w:t>Arbitration Commencement Date</w:t>
      </w:r>
      <w:r>
        <w:rPr>
          <w:rFonts w:ascii="Times New Roman;Times;Serif" w:hAnsi="Times New Roman;Times;Serif"/>
          <w:b w:val="false"/>
          <w:i w:val="false"/>
          <w:caps w:val="false"/>
          <w:smallCaps w:val="false"/>
          <w:sz w:val="20"/>
        </w:rPr>
        <w:t>”. If an arbitrator resigns or is unable to act during the Arbitration, a replacement arbitrator shall be chosen by Buyer in accordance with this Paragraph 4.2 to continue the Arbitration. If AAA or other arbitration service provider agreed upon by the parties ceases to exist or to provide a list of neutrals and there is no successor thereto, then the arbitrator shall be selected under the then prevailing rules of the American Arbitration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caps w:val="false"/>
          <w:smallCaps w:val="false"/>
          <w:sz w:val="20"/>
        </w:rPr>
        <w:t>Applicability of Certain California Rules</w:t>
      </w:r>
      <w:r>
        <w:rPr>
          <w:rFonts w:ascii="Times New Roman;Times;Serif" w:hAnsi="Times New Roman;Times;Serif"/>
          <w:b w:val="false"/>
          <w:i w:val="false"/>
          <w:caps w:val="false"/>
          <w:smallCaps w:val="false"/>
          <w:sz w:val="20"/>
        </w:rPr>
        <w:t>. The parties agree that the Arbitration shall be conducted generally in accordance with the California Code of Civil Procedure and the California Rules of Evidence. More specifically, the California Code of Civil Procedure shall apply, without limitation, to the filing of any pleadings, motions or memoranda, the conducting of discovery, and the taking of any depositions. The California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California Code of Civil Procedure or the California Rules of Evidence and these Arbitration Provisions, these Arbitration Provisions shall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caps w:val="false"/>
          <w:smallCaps w:val="false"/>
          <w:sz w:val="20"/>
        </w:rPr>
        <w:t>Answer and Default</w:t>
      </w:r>
      <w:r>
        <w:rPr>
          <w:rFonts w:ascii="Times New Roman;Times;Serif" w:hAnsi="Times New Roman;Times;Serif"/>
          <w:b w:val="false"/>
          <w:i w:val="false"/>
          <w:caps w:val="false"/>
          <w:smallCaps w:val="false"/>
          <w:sz w:val="20"/>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Discovery</w:t>
      </w:r>
      <w:r>
        <w:rPr>
          <w:rFonts w:ascii="Times New Roman;Times;Serif" w:hAnsi="Times New Roman;Times;Serif"/>
          <w:b w:val="false"/>
          <w:i w:val="false"/>
          <w:caps w:val="false"/>
          <w:smallCaps w:val="false"/>
          <w:sz w:val="20"/>
        </w:rPr>
        <w:t>. The parties agree that discovery shall be conducted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Dispositive Motions</w:t>
      </w:r>
      <w:r>
        <w:rPr>
          <w:rFonts w:ascii="Times New Roman;Times;Serif" w:hAnsi="Times New Roman;Times;Serif"/>
          <w:b w:val="false"/>
          <w:i w:val="false"/>
          <w:caps w:val="false"/>
          <w:smallCaps w:val="false"/>
          <w:sz w:val="20"/>
        </w:rPr>
        <w:t>. Each party shall have the right to submit dispositive motions pursuant to the California Code of Civil Procedure (a “</w:t>
      </w:r>
      <w:r>
        <w:rPr>
          <w:rFonts w:ascii="Times New Roman;Times;Serif" w:hAnsi="Times New Roman;Times;Serif"/>
          <w:b/>
          <w:i w:val="false"/>
          <w:caps w:val="false"/>
          <w:smallCaps w:val="false"/>
          <w:sz w:val="20"/>
        </w:rPr>
        <w:t>Dispositive Motion</w:t>
      </w:r>
      <w:r>
        <w:rPr>
          <w:rFonts w:ascii="Times New Roman;Times;Serif" w:hAnsi="Times New Roman;Times;Serif"/>
          <w:b w:val="false"/>
          <w:i w:val="false"/>
          <w:caps w:val="false"/>
          <w:smallCaps w:val="false"/>
          <w:sz w:val="20"/>
        </w:rPr>
        <w:t>”). The party submitting the Dispositive Motion may, but is not required to, deliver to the arbitrator and to the other party a memorandum in support (the “</w:t>
      </w:r>
      <w:r>
        <w:rPr>
          <w:rFonts w:ascii="Times New Roman;Times;Serif" w:hAnsi="Times New Roman;Times;Serif"/>
          <w:b/>
          <w:i w:val="false"/>
          <w:caps w:val="false"/>
          <w:smallCaps w:val="false"/>
          <w:sz w:val="20"/>
        </w:rPr>
        <w:t>Memorandum in Support</w:t>
      </w:r>
      <w:r>
        <w:rPr>
          <w:rFonts w:ascii="Times New Roman;Times;Serif" w:hAnsi="Times New Roman;Times;Serif"/>
          <w:b w:val="false"/>
          <w:i w:val="false"/>
          <w:caps w:val="false"/>
          <w:smallCaps w:val="false"/>
          <w:sz w:val="20"/>
        </w:rPr>
        <w:t>”) of the Dispositive Motion. Within seven (7) calendar days of delivery of the Memorandum in Support, the other party shall deliver to the arbitrator and to the other party a memorandum in opposition to the Memorandum in Support (the “</w:t>
      </w:r>
      <w:r>
        <w:rPr>
          <w:rFonts w:ascii="Times New Roman;Times;Serif" w:hAnsi="Times New Roman;Times;Serif"/>
          <w:b/>
          <w:i w:val="false"/>
          <w:caps w:val="false"/>
          <w:smallCaps w:val="false"/>
          <w:sz w:val="20"/>
        </w:rPr>
        <w:t>Memorandum in Opposition</w:t>
      </w:r>
      <w:r>
        <w:rPr>
          <w:rFonts w:ascii="Times New Roman;Times;Serif" w:hAnsi="Times New Roman;Times;Serif"/>
          <w:b w:val="false"/>
          <w:i w:val="false"/>
          <w:caps w:val="false"/>
          <w:smallCaps w:val="false"/>
          <w:sz w:val="20"/>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Times;Serif" w:hAnsi="Times New Roman;Times;Serif"/>
          <w:b/>
          <w:i w:val="false"/>
          <w:caps w:val="false"/>
          <w:smallCaps w:val="false"/>
          <w:sz w:val="20"/>
        </w:rPr>
        <w:t>Reply Memorandum</w:t>
      </w:r>
      <w:r>
        <w:rPr>
          <w:rFonts w:ascii="Times New Roman;Times;Serif" w:hAnsi="Times New Roman;Times;Serif"/>
          <w:b w:val="false"/>
          <w:i w:val="false"/>
          <w:caps w:val="false"/>
          <w:smallCaps w:val="false"/>
          <w:sz w:val="20"/>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caps w:val="false"/>
          <w:smallCaps w:val="false"/>
          <w:sz w:val="20"/>
        </w:rPr>
        <w:t>Authorization; Timing; Scheduling Order</w:t>
      </w:r>
      <w:r>
        <w:rPr>
          <w:rFonts w:ascii="Times New Roman;Times;Serif" w:hAnsi="Times New Roman;Times;Serif"/>
          <w:b w:val="false"/>
          <w:i w:val="false"/>
          <w:caps w:val="false"/>
          <w:smallCaps w:val="false"/>
          <w:sz w:val="20"/>
        </w:rPr>
        <w:t>. Subject to all other portions of these Arbitration Provisions, the parties hereby authorize and direct the arbitrator to take such actions and make such rulings as may be necessary to carry out the parties’ intent for the Arbitration proceedings to be efficient and expeditious. The parties hereby agree that an Arbitration Award must be made within one hundred twenty (120) calendar days after the Arbitration Commencement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caps w:val="false"/>
          <w:smallCaps w:val="false"/>
          <w:sz w:val="20"/>
        </w:rPr>
        <w:t>Relief</w:t>
      </w:r>
      <w:r>
        <w:rPr>
          <w:rFonts w:ascii="Times New Roman;Times;Serif" w:hAnsi="Times New Roman;Times;Serif"/>
          <w:b w:val="false"/>
          <w:i w:val="false"/>
          <w:caps w:val="false"/>
          <w:smallCaps w:val="false"/>
          <w:sz w:val="20"/>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Arbitration Appeal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caps w:val="false"/>
          <w:smallCaps w:val="false"/>
          <w:sz w:val="20"/>
        </w:rPr>
        <w:t xml:space="preserve">Initiation of Appeal. </w:t>
      </w:r>
      <w:r>
        <w:rPr>
          <w:rFonts w:ascii="Times New Roman;Times;Serif" w:hAnsi="Times New Roman;Times;Serif"/>
          <w:b w:val="false"/>
          <w:i w:val="false"/>
          <w:caps w:val="false"/>
          <w:smallCaps w:val="false"/>
          <w:sz w:val="20"/>
        </w:rPr>
        <w:t>Following the entry of the Arbitration Award, either party (the “</w:t>
      </w:r>
      <w:r>
        <w:rPr>
          <w:rFonts w:ascii="Times New Roman;Times;Serif" w:hAnsi="Times New Roman;Times;Serif"/>
          <w:b/>
          <w:i w:val="false"/>
          <w:caps w:val="false"/>
          <w:smallCaps w:val="false"/>
          <w:sz w:val="20"/>
        </w:rPr>
        <w:t>Appellant</w:t>
      </w:r>
      <w:r>
        <w:rPr>
          <w:rFonts w:ascii="Times New Roman;Times;Serif" w:hAnsi="Times New Roman;Times;Serif"/>
          <w:b w:val="false"/>
          <w:i w:val="false"/>
          <w:caps w:val="false"/>
          <w:smallCaps w:val="false"/>
          <w:sz w:val="20"/>
        </w:rPr>
        <w:t>”) shall have a period of thirty (30) calendar days in which to notify the other party (the “</w:t>
      </w:r>
      <w:r>
        <w:rPr>
          <w:rFonts w:ascii="Times New Roman;Times;Serif" w:hAnsi="Times New Roman;Times;Serif"/>
          <w:b/>
          <w:i w:val="false"/>
          <w:caps w:val="false"/>
          <w:smallCaps w:val="false"/>
          <w:sz w:val="20"/>
        </w:rPr>
        <w:t>Appellee</w:t>
      </w:r>
      <w:r>
        <w:rPr>
          <w:rFonts w:ascii="Times New Roman;Times;Serif" w:hAnsi="Times New Roman;Times;Serif"/>
          <w:b w:val="false"/>
          <w:i w:val="false"/>
          <w:caps w:val="false"/>
          <w:smallCaps w:val="false"/>
          <w:sz w:val="20"/>
        </w:rPr>
        <w:t>”), in writing, that the Appellant elects to appeal (the “</w:t>
      </w:r>
      <w:r>
        <w:rPr>
          <w:rFonts w:ascii="Times New Roman;Times;Serif" w:hAnsi="Times New Roman;Times;Serif"/>
          <w:b/>
          <w:i w:val="false"/>
          <w:caps w:val="false"/>
          <w:smallCaps w:val="false"/>
          <w:sz w:val="20"/>
        </w:rPr>
        <w:t>Appeal</w:t>
      </w:r>
      <w:r>
        <w:rPr>
          <w:rFonts w:ascii="Times New Roman;Times;Serif" w:hAnsi="Times New Roman;Times;Serif"/>
          <w:b w:val="false"/>
          <w:i w:val="false"/>
          <w:caps w:val="false"/>
          <w:smallCaps w:val="false"/>
          <w:sz w:val="20"/>
        </w:rPr>
        <w:t>”) the Arbitration Award (such notice, an “</w:t>
      </w:r>
      <w:r>
        <w:rPr>
          <w:rFonts w:ascii="Times New Roman;Times;Serif" w:hAnsi="Times New Roman;Times;Serif"/>
          <w:b/>
          <w:i w:val="false"/>
          <w:caps w:val="false"/>
          <w:smallCaps w:val="false"/>
          <w:sz w:val="20"/>
        </w:rPr>
        <w:t>Appeal Notice</w:t>
      </w:r>
      <w:r>
        <w:rPr>
          <w:rFonts w:ascii="Times New Roman;Times;Serif" w:hAnsi="Times New Roman;Times;Serif"/>
          <w:b w:val="false"/>
          <w:i w:val="false"/>
          <w:caps w:val="false"/>
          <w:smallCaps w:val="false"/>
          <w:sz w:val="20"/>
        </w:rPr>
        <w:t>”) to a panel of arbitrators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caps w:val="false"/>
          <w:smallCaps w:val="false"/>
          <w:sz w:val="20"/>
        </w:rPr>
        <w:t xml:space="preserve">Fees and Costs. </w:t>
      </w:r>
      <w:r>
        <w:rPr>
          <w:rFonts w:ascii="Times New Roman;Times;Serif" w:hAnsi="Times New Roman;Times;Serif"/>
          <w:b w:val="false"/>
          <w:i w:val="false"/>
          <w:caps w:val="false"/>
          <w:smallCaps w:val="false"/>
          <w:sz w:val="20"/>
        </w:rPr>
        <w:t>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Except as otherwise expressly provided for in these Arbitration Provisions, these Arbitration Provisions shall be governed by the laws of the State of Delaware without regard to the conflict of laws principles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headings of these Arbitration Provisions are for convenience of reference only and shall not form part of, or affect the interpretation of, these Arbitration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caps w:val="false"/>
          <w:smallCaps w:val="false"/>
          <w:sz w:val="20"/>
        </w:rPr>
        <w:t>Waiver</w:t>
      </w:r>
      <w:r>
        <w:rPr>
          <w:rFonts w:ascii="Times New Roman;Times;Serif" w:hAnsi="Times New Roman;Times;Serif"/>
          <w:b w:val="false"/>
          <w:i w:val="false"/>
          <w:caps w:val="false"/>
          <w:smallCaps w:val="false"/>
          <w:sz w:val="20"/>
        </w:rPr>
        <w:t>. No waiver of any provision of these Arbitration Provisions shall be effective unless it is in the form of a writing signed by the party granting the waiver.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caps w:val="false"/>
          <w:smallCaps w:val="false"/>
          <w:sz w:val="20"/>
        </w:rPr>
        <w:t>Time is of the Essence</w:t>
      </w:r>
      <w:r>
        <w:rPr>
          <w:rFonts w:ascii="Times New Roman;Times;Serif" w:hAnsi="Times New Roman;Times;Serif"/>
          <w:b w:val="false"/>
          <w:i w:val="false"/>
          <w:caps w:val="false"/>
          <w:smallCaps w:val="false"/>
          <w:sz w:val="20"/>
        </w:rPr>
        <w:t>. Time is expressly made of the essence with respect to each and every provision of these Arbitration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61" w:name="ea030132501ex10-50.htm"/>
      <w:bookmarkStart w:id="62" w:name="ksea030132501ex1050"/>
      <w:bookmarkEnd w:id="61"/>
      <w:bookmarkEnd w:id="62"/>
      <w:r>
        <w:rPr>
          <w:b/>
        </w:rPr>
        <w:t>Exhibit 10.50</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OR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980"/>
        <w:gridCol w:w="2210"/>
      </w:tblGrid>
      <w:tr>
        <w:trPr/>
        <w:tc>
          <w:tcPr>
            <w:tcW w:w="3980" w:type="dxa"/>
            <w:tcBorders/>
            <w:vAlign w:val="center"/>
          </w:tcPr>
          <w:p>
            <w:pPr>
              <w:pStyle w:val="TableContents"/>
              <w:bidi w:val="0"/>
              <w:spacing w:before="0" w:after="283"/>
              <w:jc w:val="left"/>
              <w:rPr>
                <w:b/>
                <w:sz w:val="20"/>
              </w:rPr>
            </w:pPr>
            <w:r>
              <w:rPr>
                <w:b/>
                <w:sz w:val="20"/>
              </w:rPr>
              <w:t>Principal Amount: $200,000.00</w:t>
            </w:r>
          </w:p>
        </w:tc>
        <w:tc>
          <w:tcPr>
            <w:tcW w:w="2210" w:type="dxa"/>
            <w:tcBorders/>
            <w:vAlign w:val="center"/>
          </w:tcPr>
          <w:p>
            <w:pPr>
              <w:pStyle w:val="TableContents"/>
              <w:bidi w:val="0"/>
              <w:spacing w:before="0" w:after="283"/>
              <w:jc w:val="right"/>
              <w:rPr>
                <w:b/>
                <w:sz w:val="20"/>
              </w:rPr>
            </w:pPr>
            <w:r>
              <w:rPr>
                <w:b/>
                <w:sz w:val="20"/>
              </w:rPr>
              <w:t>Issue Date: April 27, 2026</w:t>
            </w:r>
          </w:p>
        </w:tc>
      </w:tr>
      <w:tr>
        <w:trPr/>
        <w:tc>
          <w:tcPr>
            <w:tcW w:w="3980" w:type="dxa"/>
            <w:tcBorders/>
            <w:vAlign w:val="center"/>
          </w:tcPr>
          <w:p>
            <w:pPr>
              <w:pStyle w:val="TableContents"/>
              <w:bidi w:val="0"/>
              <w:spacing w:before="0" w:after="283"/>
              <w:jc w:val="left"/>
              <w:rPr>
                <w:b/>
                <w:sz w:val="20"/>
              </w:rPr>
            </w:pPr>
            <w:r>
              <w:rPr>
                <w:b/>
                <w:sz w:val="20"/>
              </w:rPr>
              <w:t>Actual Amount of Purchase Price: $180,000.00</w:t>
            </w:r>
          </w:p>
        </w:tc>
        <w:tc>
          <w:tcPr>
            <w:tcW w:w="2210" w:type="dxa"/>
            <w:tcBorders/>
            <w:vAlign w:val="center"/>
          </w:tcPr>
          <w:p>
            <w:pPr>
              <w:pStyle w:val="TableContents"/>
              <w:bidi w:val="0"/>
              <w:spacing w:before="0" w:after="283"/>
              <w:jc w:val="left"/>
              <w:rPr/>
            </w:pPr>
            <w:r>
              <w:rPr/>
              <w:t> </w:t>
            </w:r>
          </w:p>
        </w:tc>
      </w:tr>
    </w:tbl>
    <w:p>
      <w:pPr>
        <w:pStyle w:val="TextBody"/>
        <w:bidi w:val="0"/>
        <w:spacing w:before="0" w:after="0"/>
        <w:ind w:left="248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(hereinafter called the “Borrower” or the “Company”), hereby promises to pay to the order of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(the “Holder”), in the form of lawful money of the United States of America, the principal sum of $200,000.00 (the “Principal Amount”) (subject to adjustment herein), which includes the purchase price of $180,000.00 plus an original issue discount in the amount of $20,000.00 (the “OID”), and to pay a one-time interest charge on the Principal Amount hereof at the rate of ten percent (10%) (the “Interest Rate”) (which is equal to $20,000.00 and shall be guaranteed and earned in full as of the date hereof (the “Issue Date”)), when such amounts become due and payable, whether at maturity or upon acceleration or by prepayment or otherwise, as further provided herein. The maturity date shall be twelve (12) months from the Issue Date (the “Maturity Date”), and is the date upon which the Principal Amount (which includes the OID) and any accrued and unpaid interest and other fees, shall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prepaid or repaid in whole or in part except as otherwise explicitly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Principal Amount or interest on this Note which is not paid when due shall bear interest at the rate of the lesser of (i) sixteen percent (16%) per annum and (ii) the maximum amount permitted by law from the due date thereof until the same is paid (“Default Interest”). Interest and Default Interest shall be computed on the basis of a 365-day year and the actual number of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(to the extent not converted into Class A ordinary shares of the Borrower, no par value per share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herein, and not otherwise defined, shall have the meaning ascribed thereto in that certain Securities Purchase Agreement, dated as of the Issue Date, pursuant to which this Note was originally issued (the “Purchase Agreement”). As used in this Note, the term “business day” shall mean any day other than a Saturday, Sunday or a day on which commercial banks in the city of New York, New York are authorized or required by law or executive order to remain closed. As used herein, the term “Trading Day” means any day that shares of Common Stock are listed for trading or quotation on the Principal Market (as defined in the Purchase Agreement), provided, however, that if the Common Stock is not then listed or quoted on any Principal Market, then any calendar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also apply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pPr>
      <w:r>
        <w:rPr/>
        <w:t xml:space="preserve">1.1 </w:t>
      </w:r>
      <w:r>
        <w:rPr>
          <w:u w:val="single"/>
        </w:rPr>
        <w:t>Conversion Right.</w:t>
      </w:r>
      <w:r>
        <w:rPr/>
        <w:t xml:space="preserve"> The Holder shall have the right, on any calendar day, at any time on or following the date that is one hundred eighty (180) calendar days after the Issue Date, to convert all or any portion of the then outstanding and unpaid Principal Amount and interest (including any Default Interest)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determined as provided herein (a “Conversion”), by submitting to the Borrower a Notice of Conversion (as defined in this Note) by facsimile, e-mail or other reasonable means of communication dispatched on the Conversion Date (as defined in this Note) prior to 11:59 p.m., New York, New York time; </w:t>
      </w:r>
      <w:r>
        <w:rPr>
          <w:i/>
        </w:rPr>
        <w:t>provided, however</w:t>
      </w:r>
      <w:r>
        <w:rPr/>
        <w:t xml:space="preserve">, that notwithstanding anything to the contrary contained herein, the Holder shall not have the right to convert any portion of this Note, pursuant to Section 1 or otherwise, to the extent that after giving effect to such issuance after conversion as set forth on the applicable Notice of Conversion, the Holder (together with the Holder’s affiliates (the “Affiliates”), and any other Persons (as defined below)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nonconverted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Securities Exchange Act of 1934, as amended (the “1934 Act”) and the rules and regulations promulgated thereunder, it being acknowledged by the Holder that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Section 1.1,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“Beneficial Ownership Limitation” shall be 4.99% of the number of shares of the Common Stock outstanding at the time of the respective calculation hereunder, provided, however, that the Holder may from time to time increase or decrease the Beneficial Ownership Limitation to any other percentage not in excess of 9.99% by delivering written notice of such to the Company, with such increase or decrease not effective until the sixty-first (61st) day after delivery of such written notice. “Person” and “Persons” means an individual, a limited liability company, a partnership, a joint venture, a corporation, a trust, an unincorporated organization, any other entity and any governmental entity or any department or agency thereof. The limitations contained in this paragraph shall apply to a successor holder of this Note. The number of Conversion Shares to be issued upon each conversion of this Note shall be determined by dividing the Conversion Amount (as defined below) by the applicable Conversion Price then in effect on the date specified in the notice of conversion, in the form attached hereto as </w:t>
      </w:r>
      <w:r>
        <w:rPr>
          <w:u w:val="single"/>
        </w:rPr>
        <w:t>Exhibit A</w:t>
      </w:r>
      <w:r>
        <w:rPr/>
        <w:t xml:space="preserve"> (the “Notice of Conversion”), delivered to the Borrower by the Holder in accordance with the terms of this Note; provided that the Notice of Conversion is submitted by facsimile or e-mail (or by other means resulting in, or reasonably expected to result in, notice) to the Borrower before 11:59 p.m., New York, New York time on such conversion date (the “Conversion Date”). The term “Conversion Amount” means, with respect to any conversion of this Note, the sum of (1) the Principal Amount of this Note to be converted in such conversion </w:t>
      </w:r>
      <w:r>
        <w:rPr>
          <w:u w:val="single"/>
        </w:rPr>
        <w:t>plus</w:t>
      </w:r>
      <w:r>
        <w:rPr/>
        <w:t xml:space="preserve"> (2) at the Holder’s option, accrued and unpaid interest, if any, on such Principal Amount at the Interest Rate to the Conversion Date, </w:t>
      </w:r>
      <w:r>
        <w:rPr>
          <w:u w:val="single"/>
        </w:rPr>
        <w:t>plus</w:t>
      </w:r>
      <w:r>
        <w:rPr/>
        <w:t xml:space="preserve"> (3) at the Holder’s option, Default Interest, if any, on the amounts referred to in the immediately preceding clauses (1) and/or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pPr>
      <w:r>
        <w:rPr/>
        <w:t xml:space="preserve">1.2 </w:t>
      </w:r>
      <w:r>
        <w:rPr>
          <w:u w:val="single"/>
        </w:rPr>
        <w:t>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Calculation of Conversion Price.</w:t>
      </w:r>
      <w:r>
        <w:rPr>
          <w:rFonts w:ascii="Times New Roman;Times;Serif" w:hAnsi="Times New Roman;Times;Serif"/>
          <w:b w:val="false"/>
          <w:i w:val="false"/>
          <w:caps w:val="false"/>
          <w:smallCaps w:val="false"/>
          <w:sz w:val="20"/>
        </w:rPr>
        <w:t xml:space="preserve"> The per share conversion price into which Principal Amount and interest (including any Default Interest) under this Note shall be convertible into shares of Common Stock hereunder as further described in this Note (the “Conversion Price”) shall equal the Market Price (as defined in this Note), subject to adjustment as provided in this Note. “Market Price” shall mean 75% of the lowest traded price of the Common Stock on the Principal Market during the ten (10) Trading Day period immediately preceding the respective Conversion Date, provided, however, that at all times on and after the date that an Event of Default (as defined in this Note) occurs under this Note, Market Price shall instead mean 70% of the lowest traded price of the Common Stock on the Principal Market on any Trading Day during the fifteen (15) Trading Days prior to the respective Conversion Date.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“Additional Principal”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Holder shall be entitled to deduct $1,200.00 from the conversion amount of not less than $50,000 in each Notice of Conversion to cover Holder’s fees associated with each Notice of Conversion. All such Conversion Price determinations are to be appropriately adjusted for any stock dividend, stock split, stock combination, rights offerings, reclassification or similar transaction that proportionately decreases or increases the Common Stock. If the Company, at any time while this Note is outstanding: (i) pays a stock dividend or otherwise makes a distribution or distributions payable in shares of Common Stock on shares of Common Stock or any Common Stock Equivalents,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Price shall be multiplied by a fraction of which the numerator shall be the number of shares of Common Stock (excluding any treasury shares of the Company) outstanding immediately before such event, and of which the denominator shall be the number of shares of Common Stock outstanding immediately after such event. Any adjustment made pursuant to the immediately preceding sentence shall become effective immediately after the record date for the determination of shareholders entitled to receive such dividend or distribution and shall become effective immediately after the effective date in the case of a subdivision, combination or re-classification. “Common Stock Equivalents” means any securities of the Company or the Company’s Subsidiaries (as defined in the Purchase Agreement)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while this Note is outstanding, with the prior written consent of the Holder, reduce the then applicable Conversion Price to any amount and for any period of time deemed appropriate by the Board of Directors of the Company. For the avoidance of doubt, the Holder shall not be required to effectuate such conversion in the event of any reduction in Conversion Price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and Reserved Shares.</w:t>
      </w:r>
      <w:r>
        <w:rPr>
          <w:rFonts w:ascii="Times New Roman;Times;Serif" w:hAnsi="Times New Roman;Times;Serif"/>
          <w:b w:val="false"/>
          <w:i w:val="false"/>
          <w:caps w:val="false"/>
          <w:smallCaps w:val="false"/>
          <w:sz w:val="20"/>
        </w:rPr>
        <w:t xml:space="preserve"> The Borrower shall use commercially reasonable endeavors to ensure that at all times beginning on the Issue Date and continuing until the Note is extinguished in the entirety, the Borrower will reserve from its authorized and unissued Common Stock a sufficient number of shares, free from preemptive rights, to provide for the issuance of a number of Conversion Shares equal to the greater of: (a) 1,000,000 shares of Common Stock or (b) the sum of (i) the number of Conversion Shares issuable upon the full conversion of this Note at a conversion price equal to the Conversion Price (assuming no payment of Principal Amount or interest)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(ii) three (3) (the “Reserved Amount”). For the avoidance of doubt, the Reserved Amount shall be required to be reserved by the Borrower pursuant to this Section even if the Note is not yet convertible into Common Stock by the Holder under Section 1.1 of this Note. The Borrower represents that upon issuance, the Conversion Shares will be duly and validly issued, fully paid, as applicable, and non-assessable. The Borrower (i) acknowledges that it has irrevocably instructed its transfer agent to issue certificates for the Conversion Shares or instructions to have the Conversion Shares issued as contemplated by Section 1.4(e) hereof, and (ii) agrees that its issuance of this Note shall constitute full authority to its officers and agents who are charged with the duty of executing stock certificates or cause the Company to electronically issue shares of Common Stock to execute and issue the necessary certificates for the Conversion Shares or cause the Conversion Shares to be issued as contemplated by Section 1.4(e) hereof in accordance with the terms and conditions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xml:space="preserve"> Notwithstanding anything to the contrary set forth herein, upon conversion of this Note in accordance with the terms hereof, the Holder shall not be required to physically surrender this Note to the Borrower unless the entire unpaid Principal Amount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rFonts w:ascii="Times New Roman;Times;Serif" w:hAnsi="Times New Roman;Times;Serif"/>
          <w:b w:val="false"/>
          <w:i/>
          <w:caps w:val="false"/>
          <w:smallCaps w:val="false"/>
          <w:sz w:val="20"/>
        </w:rPr>
        <w:t xml:space="preserve">prima facie, </w:t>
      </w:r>
      <w:r>
        <w:rPr>
          <w:rFonts w:ascii="Times New Roman;Times;Serif" w:hAnsi="Times New Roman;Times;Serif"/>
          <w:b w:val="false"/>
          <w:i w:val="false"/>
          <w:caps w:val="false"/>
          <w:smallCaps w:val="false"/>
          <w:sz w:val="20"/>
        </w:rPr>
        <w:t>be controlling and determinative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Borrower shall not be required to pay any tax which may be payable in respect of any transfer involved in the issue and delivery of shares of Common Stock or other securities or property on conversion of this Note in a name other than that of the Holder (or in street name), and the Borrower shall not be required to issue or deliver any such shares or other securities or property unless and until the person or persons (other than the Holder or the custodian in whose street name such shares are to be held for the Holder’s account) requesting the issuance thereof shall have paid to the Borrower the amount of any such tax or shall have established to the satisfaction of the Borrower that such tax has been paid.</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Common Stock Upon Conversion</w:t>
      </w:r>
      <w:r>
        <w:rPr>
          <w:rFonts w:ascii="Times New Roman;Times;Serif" w:hAnsi="Times New Roman;Times;Serif"/>
          <w:b w:val="false"/>
          <w:i w:val="false"/>
          <w:caps w:val="false"/>
          <w:smallCaps w:val="false"/>
          <w:sz w:val="20"/>
        </w:rPr>
        <w:t>. Upon receipt by the Borrower from the Holder of an e-mail (or other reasonable means of communication) of a Notice of Conversion meeting the requirements for conversion as provided in this Section 1.4, the Borrower shall issue and deliver or cause to be issued and delivered to or upon the order of the Holder certificates for the Conversion Shares (or cause the electronic delivery of the Conversion Shares as contemplated by Section 1.4(e) hereof) within one (1) Trading Day after such receipt (the “Deadline”) (and, solely in the case of conversion of the entire unpaid Principal Amount and interest (including any Default Interest) under this Note, surrender of this Note). If the Company shall fail for any reason or for no reason to issue to the Holder on or prior to the Deadline a certificate for the number of Conversion Shares or to which the Holder is entitled hereunder and register such Conversion Shares on the Company’s share register or to credit the Holder’s balance account with DTC (as defined below) for such number of Conversion Shares to which the Holder is entitled upon the Holder’s conversion of this Note (a “Conversion Failure”), then, in addition to all other remedies available to the Holder, (i) the Company shall pay in cash to the Holder on each day after the Deadline and during such Conversion Failure an amount equal to 2.0% of the product of (A) the sum of the number of Conversion Shares not issued to the Holder on or prior to the Deadline and to which the Holder is entitled and (B) the closing sale price of the Common Stock on the Trading Day immediately preceding the last possible date which the Company could have issued such Conversion Shares to the Holder without violating this Section 1.4(c); and (ii) the Holder, upon written notice to the Company, may void all or any portion of such Notice of Conversion; provided that the voiding of all or any portion of a Notice of Conversion shall not affect the Company’s obligations to make any payments which have accrued prior to the date of such notice. In addition to the foregoing, if on or prior to the Deadline the Company shall fail to issue and deliver a certificate to the Holder and register such Conversion Shares on the Company’s share register or credit the Holder’s balance account with DTC for the number of Conversion Shares to which the Holder is entitled upon the Holder’s exercise hereunder or pursuant to the Company’s obligation pursuant to clause (ii) below, and if on or after such Trading Day the Holder purchases (in an open market transaction or otherwise) shares of Common Stock to deliver in satisfaction of a sale by the Holder of shares of Common Stock issuable upon such exercise that the Holder anticipated receiving from the Company, then the Company shall, within two (2) Trading Days after the Holder’s request and in the Holder’s discretion, either (i) pay cash to the Holder in an amount equal to the Holder’s total purchase price (including brokerage commissions and other reasonable and customary out-of-pocket expenses, if any) for the shares of Common Stock so purchased (the “Buy-In Price”), at which point the Company’s obligation to deliver such certificate (and to issue such Conversion Shares) or credit such Holder’s balance account with DTC for such Conversion Shares shall terminate, or (ii) promptly honor its obligation to deliver to the Holder a certificate or certificates representing such Conversion Shares or credit such Holder’s balance account with DTC and pay cash to the Holder in an amount equal to the excess (if any) of the Buy-In Price over the product of (A) such number of shares of Common Stock, times (B) the closing sales price of the Common Stock on the date of exercise.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Conversion Shares (or to electronically deliver such Conversion Shares) upon the conversion of this Note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Obligation of Borrower to Deliver Common Stock.</w:t>
      </w:r>
      <w:r>
        <w:rPr>
          <w:rFonts w:ascii="Times New Roman;Times;Serif" w:hAnsi="Times New Roman;Times;Serif"/>
          <w:b w:val="false"/>
          <w:i w:val="false"/>
          <w:caps w:val="false"/>
          <w:smallCaps w:val="false"/>
          <w:sz w:val="20"/>
        </w:rPr>
        <w:t xml:space="preserve"> At the time that the Holder submits the Notice of Conversion to the Borrower, the Holder shall be deemed to be the holder of record of the Conversion Shares issuable upon such conversion, the outstanding Principal Amount and the amount of accrued and unpaid interest (including any Default Interest) under this Note shall be reduced to reflect such conversion, and, unless the Borrower defaults on its obligations under this Article I,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the Conversion Shares (or cause the electronic delivery of the Conversion Shares as contemplated by Section 1.4(e) hereof)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sent to the Borrower before 11:59 p.m., New York, New York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Conversion Shares by Electronic Transfer</w:t>
      </w:r>
      <w:r>
        <w:rPr>
          <w:rFonts w:ascii="Times New Roman;Times;Serif" w:hAnsi="Times New Roman;Times;Serif"/>
          <w:b w:val="false"/>
          <w:i w:val="false"/>
          <w:caps w:val="false"/>
          <w:smallCaps w:val="false"/>
          <w:sz w:val="20"/>
        </w:rPr>
        <w:t>. In lieu of delivering physical certificates representing the Conversion Shares issuable upon conversion hereof, provided the Borrower is participating in the Depository Trust Company (“DTC”) Fast Automated Securities Transfer or Deposit/Withdrawal at Custodian programs, upon request of the Holder and its compliance with the provisions contained in Section 1.1 and in this Section 1.4, the Borrower shall use its best efforts to cause its transfer agent to electronically transmit the Conversion Shares issuable upon conversion hereof to the Holder by crediting the account of Holder’s Prime Broker with DTC through its Deposit Withdrawal Agent Commission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Conversion Shares issuable upon conversion of this Note may not be sold or transferred unless (i) such shares are sold pursuant to an effective registration statement under the 1933 Act or (ii) the Borrower or its transfer agent shall have been furnished with an opinion of counsel (which opinion shall be the Legal Counsel Opinion (as defined in the Purchase Agreement)) to the effect that the shares to be sold or transferred may be sold or transferred pursuant to an exemption from such registration or (iii) such shares are sold or transferred pursuant to Rule 144, Rule 144A, Regulation S, or other applicable exemption, or (iv) such shares are transferred to an “affiliate” (as defined in Rule 144) of the Borrower who agrees to sell or otherwise transfer the shares only in accordance with this Section 1.5 and who is an Accredited Investor (as defined in the Purchase Agreement). Except as otherwise provided in the Purchase Agreement (and subject to the removal provisions set forth below), until such time as the Conversion Shares have been registered under the 1933 Act or otherwise may be sold pursuant to Rule 144, Rule 144A, Regulation S, or other applicable exemption without any restriction as to the number of securities as of a particular date that can then be immediately sold, each certificate for the Conversion Shares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both"/>
              <w:rPr/>
            </w:pPr>
            <w:r>
              <w:rPr/>
              <w:t>“</w:t>
            </w:r>
            <w:r>
              <w:rPr>
                <w:b/>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REGULATION S UNDER SAID ACT, OR OTHER APPLICABLE EXEMPTION. NOTWITHSTANDING THE FOREGOING, THE SECURITIES MAY BE PLEDGED IN CONNECTION WITH A BONA FIDE MARGIN ACCOUNT OR OTHER LOAN OR FINANCING ARRANGEMENT SECURED BY THE SECURITIES.”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to the Holder a certificate for the applicable Conversion Shares without such legend upon which it is stamped or (as requested by the Holder) issue the applicable Conversion Shares by electronic delivery by crediting the account of such holder’s broker with DTC, if, unless otherwise required by applicable state securities laws: (a) such Conversion Shares are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Holder provides the Legal Counsel Opinion (as contemplated by and in accordance with Section 4(l) of the Purchase Agreement) to the effect that a public sale or transfer of such Conversion Shares may be made without registration under the 1933 Act, which opinion shall be accepted by the Company so that the sale or transfer is effected. The Company shall be responsible for the fees of its transfer agent and all DTC fees associated with any such issuance. The Holder agrees to sell all Conversion Shares, including those represented by a certificate(s) from which the legend has been removed, in compliance with applicable prospectus delivery requirements, if any. In the event that the Company does not accept the opinion of counsel provided by the Holder with respect to the transfer of Conversion Shares pursuant to an exemption from registration, such as Rule 144, Rule 144A, Regulation S, or other applicable exemption, at the Deadline, notwithstanding that the conditions of Rule 144, Rule 144A, Regulation S, or other applicable exemption, as applicable, have been met, it will be considered an Event of Default under this Note.</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299" w:right="0" w:firstLine="720"/>
        <w:jc w:val="center"/>
        <w:rPr>
          <w:sz w:val="20"/>
          <w:bdr w:val="single" w:sz="12" w:space="1" w:color="000000"/>
        </w:rPr>
      </w:pPr>
      <w:r>
        <w:rPr>
          <w:sz w:val="20"/>
          <w:bdr w:val="single" w:sz="12" w:space="1" w:color="000000"/>
        </w:rPr>
        <w:t>5</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At the option of the Holder, the sale, conveyance or disposition of all or substantially all of the assets of the Borrower, or the consolidation, merger or other business combination of the Borrower with or into any other Person (as defined below) or Persons when the Borrower is not the survivor shall be treated pursuant to Section 1.6(b) hereof. “Person” shall mean any individual, corporation, limited liability company, partnership, association, trust or other entity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this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(each a “Fundamental Transaction”),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effectuate any transaction described in this Section 1.6(b) unless (a) it first gives, to the extent practicable, at least twenty (20) days prior written notice (but in any event at least ten (10)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(b) the resulting successor or acquiring entity (if not the Borrower) assumes by written instrument the obligations of this Section 1.6(b), and (c) the resulting successor or acquiring entity (if not the Borrower) is a publicly traded corporation whose common stock is listed for trading or quotation on any tier of the NASDAQ Stock Market, the New York Stock Exchange or the NYSE American. The above provisions shall similarly apply to successive consolidations, mergers, sales, transfers or share exchanges.</w:t>
      </w:r>
    </w:p>
    <w:p>
      <w:pPr>
        <w:pStyle w:val="TextBody"/>
        <w:bidi w:val="0"/>
        <w:spacing w:before="0" w:after="0"/>
        <w:ind w:left="246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xml:space="preserve"> If the Borrower shall declare or make any distribution of its assets (or rights to acquire its assets) to holders of Common Stock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shareholders entitled to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If, at any time when all or any portion of this Note is issued and outstanding, the Borrower issues any convertible securities or rights to purchase stock, warrants, securities or other property (the “Purchase Rights”)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Section 1.6 of this Note, the Borrower shall, at its expense and within one (1) calendar day after the occurrence of each respective adjustment or readjustment of the Conversion Price, compute such adjustment or readjustment and prepare and furnish to the Holder a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In addition, the Borrower shall, within one (1) calendar day after each written request from the Holder, furnish to such Holder a like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For the avoidance of doubt, each adjustment or readjustment of the Conversion Price as a result of the events described in Section 1.6 of this Note shall occur without any action by the Holder and regardless of whether the Borrower complied with the notification provisions in Section 1.6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the Holder, (i) the Conversion Shares covered thereby shall be deemed converted into shares of Common Stock and (ii) the Holder’s rights as the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the Holder has not received certificates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the Note has not been surrendered, adjust its records to reflect that such portion of this Note has not been converted. In all cases, the Holder shall retain all of its rights and remedies for the Borrower’s failure to convert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At any time prior to the date that an Event of Default occurs under this Note, the Borrower shall have the right, exercisable on three (3) Trading Days prior written notice to the Holder of the Note, to prepay the outstanding Principal Amount and interest then due under this Note in accordance with this Section 1.8. Any notice of prepayment hereunder (an “Optional Prepayment Notice”) shall be delivered to the Holder of the Note at its registered addresses and shall state: (1) that the Borrower is exercising its right to prepay the Note, and (2) the date of prepayment which shall be three (3) Trading Days from the date of the Optional Prepayment Notice (the “Optional Prepayment Date”). The Holder shall have the right, during the period beginning on the date of Holder’s receipt of the Optional Prepayment Notice and until the Holder’s actual receipt of the full prepayment amount on the Optional Prepayment Date, to instead convert all or any portion of the Note pursuant to the terms of this Note, including the amount of this Note to be prepaid by the Borrower in accordance with this Section 1.8, even if the Note is not yet convertible into Common Stock by the Holder under Section 1.1 of this Note. On the Optional Prepayment Date, the Borrower shall make payment of the amounts designated below to or upon the order of the Holder as specified by the Holder in writing to the Borrower. If the Borrower exercises its right to prepay the Note in accordance with this Section 1.8, the Borrower shall make payment to the Holder of an amount in cash equal to the sum of: (w) the prepayment percentage set forth in the table immediately following this paragraph for the applicable prepayment period set forth in the table immediately following this paragraph (“Prepayment Percentage”) multiplied by the Principal Amount then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the Prepayment Percentage multiplied by the accrued and unpaid interest on the Principal Amount to the Optional Prepayment Date.</w:t>
      </w:r>
    </w:p>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1739" w:right="0" w:hanging="0"/>
        <w:jc w:val="center"/>
        <w:rPr>
          <w:sz w:val="20"/>
          <w:bdr w:val="single" w:sz="12" w:space="1" w:color="000000"/>
        </w:rPr>
      </w:pPr>
      <w:r>
        <w:rPr>
          <w:sz w:val="20"/>
          <w:bdr w:val="single" w:sz="12" w:space="1" w:color="000000"/>
        </w:rPr>
        <w:t>7</w:t>
      </w:r>
    </w:p>
    <w:p>
      <w:pPr>
        <w:pStyle w:val="TextBody"/>
        <w:bidi w:val="0"/>
        <w:spacing w:before="0" w:after="0"/>
        <w:ind w:left="1739" w:right="0" w:hanging="0"/>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85"/>
        <w:gridCol w:w="8323"/>
        <w:gridCol w:w="1697"/>
      </w:tblGrid>
      <w:tr>
        <w:trPr/>
        <w:tc>
          <w:tcPr>
            <w:tcW w:w="850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b/>
              </w:rPr>
              <w:t>Prepayment Period</w:t>
            </w:r>
            <w:r>
              <w:rPr/>
              <w:t xml:space="preserve">  </w:t>
            </w:r>
          </w:p>
        </w:tc>
        <w:tc>
          <w:tcPr>
            <w:tcW w:w="169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Prepayment Percentage</w:t>
            </w:r>
          </w:p>
        </w:tc>
      </w:tr>
      <w:tr>
        <w:trPr/>
        <w:tc>
          <w:tcPr>
            <w:tcW w:w="185"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20"/>
              </w:rPr>
            </w:pPr>
            <w:r>
              <w:rPr>
                <w:sz w:val="20"/>
              </w:rPr>
              <w:t>1.</w:t>
            </w:r>
          </w:p>
        </w:tc>
        <w:tc>
          <w:tcPr>
            <w:tcW w:w="8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The period beginning on the Issue Date and continuing through the date that is 90 calendar days after the Issue Date</w:t>
            </w:r>
          </w:p>
        </w:tc>
        <w:tc>
          <w:tcPr>
            <w:tcW w:w="16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120%</w:t>
            </w:r>
          </w:p>
        </w:tc>
      </w:tr>
      <w:tr>
        <w:trPr/>
        <w:tc>
          <w:tcPr>
            <w:tcW w:w="185"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20"/>
              </w:rPr>
            </w:pPr>
            <w:r>
              <w:rPr>
                <w:sz w:val="20"/>
              </w:rPr>
              <w:t>2.</w:t>
            </w:r>
          </w:p>
        </w:tc>
        <w:tc>
          <w:tcPr>
            <w:tcW w:w="8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The period beginning on the date that is 91 calendar days after the Issue Date and continuing until the date that an Event of Default occurs under this Note</w:t>
            </w:r>
          </w:p>
        </w:tc>
        <w:tc>
          <w:tcPr>
            <w:tcW w:w="16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125%</w:t>
            </w:r>
          </w:p>
        </w:tc>
      </w:tr>
    </w:tbl>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RANKING AND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This Note shall be an unsecured obligation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Distributions on Capital Stock.</w:t>
      </w:r>
      <w:r>
        <w:rPr>
          <w:rFonts w:ascii="Times New Roman;Times;Serif" w:hAnsi="Times New Roman;Times;Serif"/>
          <w:b w:val="false"/>
          <w:i w:val="false"/>
          <w:caps w:val="false"/>
          <w:smallCaps w:val="false"/>
          <w:sz w:val="20"/>
        </w:rPr>
        <w:t xml:space="preserve"> So long as the Borrower shall have any obligation under this Note, the Borrower shall not without the Holder’s written consent (a) pay, declare or set apart for such payment, any dividend or other distribution (whether in cash, property or other securities) on shares of capital stock other than dividends on shares of Common Stock solely in the form of additional shares of Common Stock or (b) directly or indirectly or through any subsidiary make any other payment or distribution in respect of its capital stock except for distributions pursuant to any shareholders’ rights plan which is approved by a majority of the Borrower’s disinterested directors.</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Holder’s prior written consent, which consent shall not be unreasonably withheld or delayed, sell, divest, acquire, or dispose of all or substantially all of its assets other than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considered an event of default if any of the following events listed in this Article III (each, an “Event of Default”) shall occur on or after the Issue Date, subject, in each case (except Section 3.2 under this Note), to a five (5) business day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xml:space="preserve"> The Borrower fails to pay the Principal Amount hereof or interest thereon when due on this Note, whether at maturity, upon acceleration or otherwise, or fails to fully comply with Section 1.10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xml:space="preserve"> The Borrower (i) fails to issue Conversion Shares to the Holder (or announces or threatens in writing that it will not honor its obligation to do so) upon exercise by the Holder of the conversion rights of the Holder in accordance with the terms of this Note, (ii) fails to transfer or cause its transfer agent to transfer (issue) (electronically or in certificated form) any certificate for the Conversion Shares issuable to the Holder upon conversion of or otherwise pursuant to this Note as and when required by this Note, (iii) fails to reserve the Reserved Amount at all times, (iv) the Borrower directs its transfer agent not to transfer or delays, impairs, and/or hinders its transfer agent in transferring (or issuing) (electronically or in certificated form) any certificate for the Conversion Shares issuable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Conversion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Trading Days after the Holder shall have delivered a Notice of Conversion, and/or (v) fails to remain current in its obligations to its transfer agent (including but not limited to payment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added to the principal balance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Agreements and Covenants.</w:t>
      </w:r>
      <w:r>
        <w:rPr>
          <w:rFonts w:ascii="Times New Roman;Times;Serif" w:hAnsi="Times New Roman;Times;Serif"/>
          <w:b w:val="false"/>
          <w:i w:val="false"/>
          <w:caps w:val="false"/>
          <w:smallCaps w:val="false"/>
          <w:sz w:val="20"/>
        </w:rPr>
        <w:t xml:space="preserve"> The Borrower breaches any covenant, agreement, or other term or condition contained in the Purchase Agreement, this Note, Irrevocable Transfer Agent Instructions, or in any agreement, statement or certificate given in writing pursuant hereto or in connection herewith or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xml:space="preserve"> Any representation or warranty of the Borrower made in the Purchase Agreement, this Note, Irrevocable Transfer Agent Instructions, or in any agreement, statement or certificate given in writing pursuant hereto or in connection herewith or therewith shall be false or misleading in any material respect when made.</w:t>
      </w:r>
    </w:p>
    <w:p>
      <w:pPr>
        <w:pStyle w:val="TextBody"/>
        <w:bidi w:val="0"/>
        <w:spacing w:before="0" w:after="0"/>
        <w:ind w:left="0" w:right="0" w:firstLine="206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xml:space="preserv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xml:space="preserve"> Any money judgment, writ or similar process shall be entered or filed against the Borrower or any subsidiary of the Borrower or any of its property or other assets for more than $100,000, and shall remain unvacated, unbonded or unstayed for a period of twenty (20) days unless otherwise consented to by the Holder, which consent will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1934 Act.</w:t>
      </w:r>
      <w:r>
        <w:rPr>
          <w:rFonts w:ascii="Times New Roman;Times;Serif" w:hAnsi="Times New Roman;Times;Serif"/>
          <w:b w:val="false"/>
          <w:i w:val="false"/>
          <w:caps w:val="false"/>
          <w:smallCaps w:val="false"/>
          <w:sz w:val="20"/>
        </w:rPr>
        <w:t xml:space="preserve"> At any time after the Issue Date, the Borrower shall fail to comply with the reporting requirements of the 1934 Act and/or the Borrower shall cease to be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xml:space="preserve"> Any dissolution, liquidation, or winding up of Borrower or any substantial portion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xml:space="preserve">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xml:space="preserve"> The failure by Borrower to maintain any material intellectual property rights, personal, real property or other assets which are necessary to conduct its business (whether now or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xml:space="preserve">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actual transmittal, conveyance, or disclosure by the Borrower or its officers, directors, and/or affiliates of, material non-public information concerning the Borrower, to the Holder or its successors and assigns, which is not cured by Borrower’s filing of a Form 6-K pursuant to Regulation FD.</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Unavailability of Rule 144</w:t>
      </w:r>
      <w:r>
        <w:rPr>
          <w:rFonts w:ascii="Times New Roman;Times;Serif" w:hAnsi="Times New Roman;Times;Serif"/>
          <w:b w:val="false"/>
          <w:i w:val="false"/>
          <w:caps w:val="false"/>
          <w:smallCaps w:val="false"/>
          <w:sz w:val="20"/>
        </w:rPr>
        <w:t>. If, at any time on or after the date that is six (6) calendar months after the Issue Date, the Holder is unable to (i) obtain a standard “144 legal opinion letter” from an attorney reasonably acceptable to the Borrower’s transfer agent in order to facilitate the Holder’s conversion of any portion of the Note into free trading shares of the Borrower’s Common Stock pursuant to Rule 144, and/or (ii) thereupon deposit such shares into the Holder’s brokerage account.</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300" w:right="0" w:firstLine="1440"/>
        <w:jc w:val="center"/>
        <w:rPr>
          <w:sz w:val="20"/>
          <w:bdr w:val="single" w:sz="12" w:space="1" w:color="000000"/>
        </w:rPr>
      </w:pPr>
      <w:r>
        <w:rPr>
          <w:sz w:val="20"/>
          <w:bdr w:val="single" w:sz="12" w:space="1" w:color="000000"/>
        </w:rPr>
        <w:t>9</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Delisting, Suspension, or Quotation of Trading of Common Stock</w:t>
      </w:r>
      <w:r>
        <w:rPr>
          <w:rFonts w:ascii="Times New Roman;Times;Serif" w:hAnsi="Times New Roman;Times;Serif"/>
          <w:b w:val="false"/>
          <w:i w:val="false"/>
          <w:caps w:val="false"/>
          <w:smallCaps w:val="false"/>
          <w:sz w:val="20"/>
        </w:rPr>
        <w:t>. If, at any time on or after the Issue Date, the Borrower’s Common Stock (i) is suspended from trading, (ii) halted from trading, and/or (iii) fails to be listed or quoted on a Principal Market.</w:t>
      </w:r>
    </w:p>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Rights and Remedies Upon an Event of Default</w:t>
      </w:r>
      <w:r>
        <w:rPr>
          <w:rFonts w:ascii="Times New Roman;Times;Serif" w:hAnsi="Times New Roman;Times;Serif"/>
          <w:b w:val="false"/>
          <w:i w:val="false"/>
          <w:caps w:val="false"/>
          <w:smallCaps w:val="false"/>
          <w:sz w:val="20"/>
        </w:rPr>
        <w:t>. Upon the occurrence of any Event of Default specified in this Article III, this Note shall become immediately due and payable, and the Borrower shall pay to the Holder, in full satisfaction of its obligations hereunder, an amount equal to the Principal Amount then outstanding plus accrued interest (including any Default Interest) through the date of full repayment multiplied by 150% (collectively the “Default Amount”), as well as all costs, including, without limitation, legal fees and expenses, of collection, all without demand, presentment or notice, all of which hereby are expressly waived by the Borrower. Holder may, in Holder’s sole discretion, convert all or any portion of this Note (including the Default Amount) into Common Stock pursuant to the terms of this Note (for the avoidance of doubt, this shall apply even if such conversion occurs after the Maturity Date). The Holder shall be entitled to exercise all other rights and remedies available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Holder existing hereunder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br/>
        <w:t>Woodland Hills, CA 91364</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587" w:right="0" w:firstLine="720"/>
        <w:jc w:val="left"/>
        <w:rPr>
          <w:caps w:val="false"/>
          <w:smallCaps w:val="false"/>
        </w:rPr>
      </w:pPr>
      <w:r>
        <w:rPr>
          <w:caps w:val="false"/>
          <w:smallCaps w:val="false"/>
        </w:rPr>
        <w:t> </w:t>
      </w:r>
    </w:p>
    <w:p>
      <w:pPr>
        <w:pStyle w:val="TextBody"/>
        <w:bidi w:val="0"/>
        <w:spacing w:before="0" w:after="0"/>
        <w:ind w:left="587" w:right="0" w:firstLine="720"/>
        <w:jc w:val="center"/>
        <w:rPr>
          <w:sz w:val="20"/>
          <w:bdr w:val="single" w:sz="12" w:space="1" w:color="000000"/>
        </w:rPr>
      </w:pPr>
      <w:r>
        <w:rPr>
          <w:sz w:val="20"/>
          <w:bdr w:val="single" w:sz="12" w:space="1" w:color="000000"/>
        </w:rPr>
        <w:t>10</w:t>
      </w:r>
    </w:p>
    <w:p>
      <w:pPr>
        <w:pStyle w:val="TextBody"/>
        <w:bidi w:val="0"/>
        <w:spacing w:before="0" w:after="0"/>
        <w:ind w:left="587"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Note and any provision hereof may only be amended by an instrument in writing signed by the Borrower and the Holder. The term “Note” and all reference thereto, as used throughout this instrument, shall mean this instrument as originally executed, or if later amended or supplemented, then as so amended or supplemented.</w:t>
      </w:r>
    </w:p>
    <w:p>
      <w:pPr>
        <w:pStyle w:val="TextBody"/>
        <w:bidi w:val="0"/>
        <w:spacing w:before="0" w:after="0"/>
        <w:ind w:left="360" w:right="0" w:firstLine="135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The Borrower shall not assign this Note or any rights or obligations hereunder without the prior written consent of the Holder. The Holder may assign its rights hereunder to any “accredited investor” (as defined in Rule 501(a) of the 1933 Act) in a private transaction from the Holder or to any of its “affiliates”, as that term is defined under the 1934 Act, without the consent of the Borrower.</w:t>
      </w:r>
    </w:p>
    <w:p>
      <w:pPr>
        <w:pStyle w:val="TextBody"/>
        <w:bidi w:val="0"/>
        <w:spacing w:before="0" w:after="0"/>
        <w:ind w:left="360" w:right="0" w:firstLine="135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xml:space="preserve"> If default is made in the payment of this Note, the Borrower shall pay the Holder hereof costs of collection, including reasonable attorneys’ fees.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Arbitration of Claims; Governing Law; Venue; Attorney’s Fees.</w:t>
      </w:r>
      <w:r>
        <w:rPr>
          <w:rFonts w:ascii="Times New Roman;Times;Serif" w:hAnsi="Times New Roman;Times;Serif"/>
          <w:b w:val="false"/>
          <w:i w:val="false"/>
          <w:caps w:val="false"/>
          <w:smallCaps w:val="false"/>
          <w:sz w:val="20"/>
        </w:rPr>
        <w:t xml:space="preserve"> The Company and Holder shall submit all Claims (as defined in Exhibit B of the Purchase Agreement) (the “Claims”) arising under this Note or any other agreement between the parties and their affiliates or any Claim relating to the relationship of the parties to binding arbitration pursuant to the arbitration provisions set forth in Exhibit B of the Purchase Agreement (the “Arbitration Provisions”). The Company and Holder hereby acknowledge and agree that the Arbitration Provisions are unconditionally binding on the Company and Holder hereto and are severable from all other provisions of this Note. By executing this Note,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The Company acknowledges and agrees that Holder may rely upon the foregoing representations and covenants of the Company regarding the Arbitration Provisions.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Holder consent to and expressly agree that the exclusive venue for arbitration of any Claims arising under this Note or any other agreement between the Company and Holder or their respective affiliates (including but not limited to the Transaction Documents) or any Claim relating to the relationship of the Company and Holder or their respective affiliates shall be in Orange County, California. Without modifying the Company’s and Holder’s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(as defined in the Purchase Agreement) or otherwise related to Holder in any way (specifically including, without limitation, any action where Company seeks to obtain an injunction, temporary restraining order, or otherwise prohibit the Company’s transfer agent from issuing shares of Common Stock to Holder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Holder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Holder to realize on any collateral or any other security, or to enforce a judgment or other court ruling in favor of the Holder,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NOTE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Note or any other agreement, certificate, instrument or document contemplated hereby or thereby by mailing a copy thereof via registered or certified mail or overnight delivery (with evidence of delivery) to Company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Note or any other agreement, certificate, instrument or document contemplated hereby or thereby shall be entitled to recover from the other party its reasonable attorney’s fees and costs. If any provision of this Note shall be invalid or unenforceable in any jurisdiction, such invalidity or unenforceability shall not affect the validity or enforceability of the remainder of this Note in that jurisdiction or the validity or enforceability of any provision of this Note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xml:space="preserve"> Whenever pursuant to this Note the Borrower is required to pay an amount in excess of the outstanding Principal Amount (or the portion thereof required to be paid at that time) plus accrued and unpaid interest plus Default Interest on such interest, the Borrower and the Holder agree that the actual damages to the Holder from the receipt of cash payment on this Note may be difficult to determine and the amount to be so paid by the Borrower represents stipulated damages and not a penalty and is intended to compensate the Holder in part for loss of the opportunity to convert this Note and to earn a return from the sale of shares of Common Stock acquired upon conversion of this Note at a price in excess of the price paid for such shares pursuant to this Note. The Borrower and the Holder hereby agree that such amount of stipulated damages is not plainly disproportionate to the possible loss to the Holder from the receipt of a cash payment without the opportunity to convert this Note into shares of Common Stock.</w:t>
      </w:r>
    </w:p>
    <w:p>
      <w:pPr>
        <w:pStyle w:val="TextBody"/>
        <w:bidi w:val="0"/>
        <w:spacing w:before="0" w:after="0"/>
        <w:ind w:left="360" w:right="0" w:firstLine="1440"/>
        <w:jc w:val="left"/>
        <w:rPr>
          <w:caps w:val="false"/>
          <w:smallCaps w:val="false"/>
        </w:rPr>
      </w:pPr>
      <w:r>
        <w:rPr>
          <w:caps w:val="false"/>
          <w:smallCaps w:val="false"/>
        </w:rPr>
        <w:t> </w:t>
      </w:r>
    </w:p>
    <w:p>
      <w:pPr>
        <w:pStyle w:val="TextBody"/>
        <w:bidi w:val="0"/>
        <w:spacing w:before="0" w:after="0"/>
        <w:ind w:left="360" w:right="0" w:firstLine="1440"/>
        <w:jc w:val="center"/>
        <w:rPr>
          <w:sz w:val="20"/>
          <w:bdr w:val="single" w:sz="12" w:space="1" w:color="000000"/>
        </w:rPr>
      </w:pPr>
      <w:r>
        <w:rPr>
          <w:sz w:val="20"/>
          <w:bdr w:val="single" w:sz="12" w:space="1" w:color="000000"/>
        </w:rPr>
        <w:t>11</w:t>
      </w:r>
    </w:p>
    <w:p>
      <w:pPr>
        <w:pStyle w:val="TextBody"/>
        <w:bidi w:val="0"/>
        <w:spacing w:before="0" w:after="0"/>
        <w:ind w:left="36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xml:space="preserve"> The Company and the Holder shall be bound by the applicable terms of the Purchase Agreement, and the Transaction Documents entered into in connection herewith and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all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Holder in order to enforce any right or remedy under this Note. Notwithstanding any provision to the contrary contained in this Note, it is expressly agreed and provided that the total liability of the Company under this Note for payments which under the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the applicable law in the nature of interest that the Company may be obligated to pay under this Note exceed such Maximum Rate. It is agreed that if the maximum contract rate of interest allowed by applicable law and applicable to this Note is increased or decreased by statute or any official governmental action subsequent to the Issue Date, the new maximum contract rate of interest allowed by law will be the Maximum Rate applicable to this Note from the effective date thereof forward, unless such application is precluded by applicable law. If under any circumstances whatsoever, interest in excess of the Maximum Rate is paid by the Company to the Holder with respect to indebtedness evidenced by this the Note, such excess shall be applied by the Holder to the unpaid principal balance of any such indebtedness or be refunded to the Company, the manner of handling such excess to be at the Holder’s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Note is invalid or unenforceable under any applicable statute or rule of law (including any judicial ruling),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Terms of Future Financings.</w:t>
      </w:r>
      <w:r>
        <w:rPr>
          <w:rFonts w:ascii="Times New Roman;Times;Serif" w:hAnsi="Times New Roman;Times;Serif"/>
          <w:b w:val="false"/>
          <w:i w:val="false"/>
          <w:caps w:val="false"/>
          <w:smallCaps w:val="false"/>
          <w:sz w:val="20"/>
        </w:rPr>
        <w:t xml:space="preserve"> So long as this Note is outstanding, upon any issuance by the Borrower or any of its Subsidiaries of any Common Stock Equivalents, or amendment to any Common Stock Equivalents that was originally issued before the Issue Date, with any term that the Holder reasonably believes is more favorable to the holder of such security or with a term in favor of the holder of such security that the Holder reasonably believes was not similarly provided to the Holder in this Note (even if the holder of such other security does not receive the benefit of such more favorable term until a default occurs under such other security), then (i) the Borrower shall notify the Holder of such additional or more favorable term within one (1) business day of the issuance and/or amendment (as applicable) of the respective security, and (ii) such term, at Holder’s option, shall become a part of the transaction documents with the Holder (regardless of whether the Borrower complied with the notification provision of this Section 4.13). The types of terms contained in another security that may be more favorable to the holder of such security include, but are not limited to, terms addressing prepayment rate, interest rates, conversion rate, and original issue discount. Notwithstanding the foregoing, this Section 4.13 of this Note shall not apply to (i) the Borrower’s offering of equity securities pursuant to a registration statement of the Borrower; (ii) in connection with the Borrower’s acquisition of all or part of another entity by stock acquisition, merger, consolidation or other reorganization, or by the purchase of all or part of the assets of such other entity approved by the Board of Directors of the Borrower and provided that such transactions are not for the purpose of raising capital); (iii) pursuant to the issuance, vesting and/or exercise of options, warrants, restricted stock, restricted stock units or other common stock purchase rights issued (or to be issued) to employees, officers, directors, or employees of the Borrower for compensatory purposes pursuant to any stock purchase plan, stock option plan, equity incentive plan or other plan or arrangement approved by the Board of Directors of the Borrower at any time; and (iv) pursuant to the exercise or conversion of Common Stock Equivalents outstanding prior to the Issue Date so long as (a) such Common Stock Equivalents were disclosed in the SEC Documents prior to the Issue Date and (b) the terms or provisions of such Common Stock Equivalents were not altered, amended, or changed on or after the Issue Date.</w:t>
      </w:r>
    </w:p>
    <w:p>
      <w:pPr>
        <w:pStyle w:val="TextBody"/>
        <w:bidi w:val="0"/>
        <w:spacing w:before="0" w:after="0"/>
        <w:ind w:left="30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00" w:right="0" w:firstLine="719"/>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Borrower has caused this Note to be signed in its name by its duly authorized officer on April 27, 2026.</w:t>
      </w:r>
    </w:p>
    <w:p>
      <w:pPr>
        <w:pStyle w:val="TextBody"/>
        <w:bidi w:val="0"/>
        <w:spacing w:before="0" w:after="0"/>
        <w:ind w:left="0" w:right="0" w:hanging="0"/>
        <w:jc w:val="left"/>
        <w:rPr>
          <w:caps w:val="false"/>
          <w:smallCaps w:val="false"/>
        </w:rPr>
      </w:pPr>
      <w:r>
        <w:rPr>
          <w:caps w:val="false"/>
          <w:smallCaps w:val="false"/>
        </w:rPr>
        <w:t> </w:t>
      </w:r>
    </w:p>
    <w:tbl>
      <w:tblPr>
        <w:tblW w:w="3390" w:type="dxa"/>
        <w:jc w:val="left"/>
        <w:tblInd w:w="0" w:type="dxa"/>
        <w:tblLayout w:type="fixed"/>
        <w:tblCellMar>
          <w:top w:w="0" w:type="dxa"/>
          <w:left w:w="0" w:type="dxa"/>
          <w:bottom w:w="0" w:type="dxa"/>
          <w:right w:w="0" w:type="dxa"/>
        </w:tblCellMar>
      </w:tblPr>
      <w:tblGrid>
        <w:gridCol w:w="380"/>
        <w:gridCol w:w="650"/>
        <w:gridCol w:w="2285"/>
        <w:gridCol w:w="75"/>
      </w:tblGrid>
      <w:tr>
        <w:trPr/>
        <w:tc>
          <w:tcPr>
            <w:tcW w:w="3315" w:type="dxa"/>
            <w:gridSpan w:val="3"/>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31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935" w:type="dxa"/>
            <w:gridSpan w:val="2"/>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85"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elects to convert $ principal amount of the Note (defined below) into that number of shares of Common Stock to be issued pursuant to the conversion of the Note (“Common Stock”) as set forth below, of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a British Virgin Islands company (the “Borrower”), according to the conditions of the promissory note of the Borrower dated as of April 27, 2026 (the “Note”), as of the date written below. No fee will be charged to the Holder for any conversion, except for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Borrower shall electronically transmit the Common Stock issuable pursuant to this Notice of Conversion to the account of the undersigned or its nominee with DTC through its Deposit Withdrawal Agent Commission system (“DWAC Transfer”).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sz w:val="20"/>
              </w:rPr>
            </w:pPr>
            <w:r>
              <w:rPr>
                <w:sz w:val="20"/>
              </w:rPr>
              <w:t>Name of DTC Prime Broker: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sz w:val="20"/>
              </w:rPr>
            </w:pPr>
            <w:r>
              <w:rPr>
                <w:sz w:val="20"/>
              </w:rPr>
              <w:t>Account Number: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3620"/>
        <w:gridCol w:w="62"/>
        <w:gridCol w:w="63"/>
        <w:gridCol w:w="75"/>
      </w:tblGrid>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sz w:val="20"/>
              </w:rPr>
            </w:pPr>
            <w:r>
              <w:rPr>
                <w:sz w:val="20"/>
              </w:rPr>
              <w:t>Date of Conversion:</w:t>
            </w:r>
          </w:p>
        </w:tc>
        <w:tc>
          <w:tcPr>
            <w:tcW w:w="125" w:type="dxa"/>
            <w:gridSpan w:val="2"/>
            <w:tcBorders>
              <w:bottom w:val="single" w:sz="12" w:space="0" w:color="000000"/>
            </w:tcBorders>
            <w:tcMar>
              <w:bottom w:w="28" w:type="dxa"/>
            </w:tcMar>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Conversion Price:</w:t>
            </w:r>
          </w:p>
        </w:tc>
        <w:tc>
          <w:tcPr>
            <w:tcW w:w="12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to be</w:t>
            </w:r>
          </w:p>
        </w:tc>
        <w:tc>
          <w:tcPr>
            <w:tcW w:w="12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Pursuant to Conversion of the Note:</w:t>
            </w:r>
          </w:p>
        </w:tc>
        <w:tc>
          <w:tcPr>
            <w:tcW w:w="62" w:type="dxa"/>
            <w:tcBorders/>
            <w:vAlign w:val="center"/>
          </w:tcPr>
          <w:p>
            <w:pPr>
              <w:pStyle w:val="TableContents"/>
              <w:bidi w:val="0"/>
              <w:spacing w:before="0" w:after="283"/>
              <w:jc w:val="right"/>
              <w:rPr/>
            </w:pPr>
            <w:r>
              <w:rPr/>
              <w:t> </w:t>
            </w:r>
          </w:p>
        </w:tc>
        <w:tc>
          <w:tcPr>
            <w:tcW w:w="63" w:type="dxa"/>
            <w:tcBorders>
              <w:bottom w:val="single" w:sz="12" w:space="0" w:color="000000"/>
            </w:tcBorders>
            <w:tcMar>
              <w:bottom w:w="28" w:type="dxa"/>
            </w:tcMar>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Principal Balance Due remaining</w:t>
            </w:r>
          </w:p>
        </w:tc>
        <w:tc>
          <w:tcPr>
            <w:tcW w:w="12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Note after this conversion:</w:t>
            </w:r>
          </w:p>
        </w:tc>
        <w:tc>
          <w:tcPr>
            <w:tcW w:w="62" w:type="dxa"/>
            <w:tcBorders/>
            <w:vAlign w:val="center"/>
          </w:tcPr>
          <w:p>
            <w:pPr>
              <w:pStyle w:val="TableContents"/>
              <w:bidi w:val="0"/>
              <w:spacing w:before="0" w:after="283"/>
              <w:jc w:val="right"/>
              <w:rPr/>
            </w:pPr>
            <w:r>
              <w:rPr/>
              <w:t> </w:t>
            </w:r>
          </w:p>
        </w:tc>
        <w:tc>
          <w:tcPr>
            <w:tcW w:w="63" w:type="dxa"/>
            <w:tcBorders>
              <w:bottom w:val="single" w:sz="12" w:space="0" w:color="000000"/>
            </w:tcBorders>
            <w:tcMar>
              <w:bottom w:w="28" w:type="dxa"/>
            </w:tcMar>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15" w:type="dxa"/>
        <w:jc w:val="left"/>
        <w:tblInd w:w="0" w:type="dxa"/>
        <w:tblLayout w:type="fixed"/>
        <w:tblCellMar>
          <w:top w:w="0" w:type="dxa"/>
          <w:left w:w="0" w:type="dxa"/>
          <w:bottom w:w="0" w:type="dxa"/>
          <w:right w:w="0" w:type="dxa"/>
        </w:tblCellMar>
      </w:tblPr>
      <w:tblGrid>
        <w:gridCol w:w="75"/>
        <w:gridCol w:w="545"/>
        <w:gridCol w:w="60"/>
        <w:gridCol w:w="60"/>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68"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1468" w:right="0" w:hanging="0"/>
        <w:jc w:val="left"/>
        <w:rPr>
          <w:caps w:val="false"/>
          <w:smallCaps w:val="false"/>
        </w:rPr>
      </w:pPr>
      <w:r>
        <w:rPr>
          <w:caps w:val="false"/>
          <w:smallCaps w:val="false"/>
        </w:rPr>
        <w:t> </w:t>
      </w:r>
    </w:p>
    <w:p>
      <w:pPr>
        <w:pStyle w:val="TextBody"/>
        <w:bidi w:val="0"/>
        <w:jc w:val="right"/>
        <w:rPr>
          <w:b/>
        </w:rPr>
      </w:pPr>
      <w:bookmarkStart w:id="63" w:name="ea030132501ex10-51.htm"/>
      <w:bookmarkStart w:id="64" w:name="ksea030132501ex1051"/>
      <w:bookmarkEnd w:id="63"/>
      <w:bookmarkEnd w:id="64"/>
      <w:r>
        <w:rPr>
          <w:b/>
        </w:rPr>
        <w:t>Exhibit 10.51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Heads of Agreement</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For An Acquisition of 2% of the Outstanding Stock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Of Predicxion Group Limited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By NewGenIvf Group Limited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May 15,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9"/>
        <w:gridCol w:w="60"/>
        <w:gridCol w:w="170"/>
        <w:gridCol w:w="238"/>
        <w:gridCol w:w="8448"/>
      </w:tblGrid>
      <w:tr>
        <w:trPr/>
        <w:tc>
          <w:tcPr>
            <w:tcW w:w="1289" w:type="dxa"/>
            <w:tcBorders/>
            <w:vAlign w:val="center"/>
          </w:tcPr>
          <w:p>
            <w:pPr>
              <w:pStyle w:val="TableContents"/>
              <w:bidi w:val="0"/>
              <w:spacing w:before="0" w:after="283"/>
              <w:ind w:left="0" w:right="0" w:hanging="180"/>
              <w:jc w:val="both"/>
              <w:rPr>
                <w:rFonts w:ascii="Times New Roman;Times;Serif" w:hAnsi="Times New Roman;Times;Serif"/>
                <w:b/>
                <w:i/>
                <w:sz w:val="20"/>
              </w:rPr>
            </w:pPr>
            <w:r>
              <w:rPr>
                <w:rFonts w:ascii="Times New Roman;Times;Serif" w:hAnsi="Times New Roman;Times;Serif"/>
                <w:b/>
                <w:i/>
                <w:sz w:val="20"/>
              </w:rPr>
              <w:t>Parties</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PredicXion Group Limited (Company Registration No: 2199437), a company organized under the laws of British Virgin Islands, with registered address at Aegis Chambers, 1st floor, Ellen Skelton Building, 3076 Sir Francis Drake’s Highway, Road Town, Tortola, VG1110, British Virgin Islands (“</w:t>
            </w:r>
            <w:r>
              <w:rPr>
                <w:rFonts w:ascii="Times New Roman;Times;Serif" w:hAnsi="Times New Roman;Times;Serif"/>
                <w:b/>
                <w:sz w:val="20"/>
              </w:rPr>
              <w:t>PredicXion</w:t>
            </w:r>
            <w:r>
              <w:rPr>
                <w:rFonts w:ascii="Times New Roman;Times;Serif" w:hAnsi="Times New Roman;Times;Serif"/>
                <w:sz w:val="20"/>
              </w:rPr>
              <w:t>”); and</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NewGenIvf Group Limited, a British Virgin Islands incorporated company, with registered address at 1/F, Pier 2, Central, Hong Kong (“</w:t>
            </w:r>
            <w:r>
              <w:rPr>
                <w:rFonts w:ascii="Times New Roman;Times;Serif" w:hAnsi="Times New Roman;Times;Serif"/>
                <w:b/>
                <w:sz w:val="20"/>
              </w:rPr>
              <w:t>NIVF</w:t>
            </w:r>
            <w:r>
              <w:rPr>
                <w:rFonts w:ascii="Times New Roman;Times;Serif" w:hAnsi="Times New Roman;Times;Serif"/>
                <w:sz w:val="20"/>
              </w:rPr>
              <w:t>”).</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Each of NIVF and PredicXion are referred to as a “</w:t>
            </w:r>
            <w:r>
              <w:rPr>
                <w:rFonts w:ascii="Times New Roman;Times;Serif" w:hAnsi="Times New Roman;Times;Serif"/>
                <w:b/>
                <w:sz w:val="20"/>
              </w:rPr>
              <w:t>Party</w:t>
            </w:r>
            <w:r>
              <w:rPr>
                <w:rFonts w:ascii="Times New Roman;Times;Serif" w:hAnsi="Times New Roman;Times;Serif"/>
                <w:sz w:val="20"/>
              </w:rPr>
              <w:t>” and collectively referred to as the “</w:t>
            </w:r>
            <w:r>
              <w:rPr>
                <w:rFonts w:ascii="Times New Roman;Times;Serif" w:hAnsi="Times New Roman;Times;Serif"/>
                <w:b/>
                <w:sz w:val="20"/>
              </w:rPr>
              <w:t>Parties</w:t>
            </w:r>
            <w:r>
              <w:rPr>
                <w:rFonts w:ascii="Times New Roman;Times;Serif" w:hAnsi="Times New Roman;Times;Serif"/>
                <w:sz w:val="20"/>
              </w:rPr>
              <w:t>”.</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Acquisition Structure:</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NIVF shall acquire a 2% equity interest in PredicXion (the “</w:t>
            </w:r>
            <w:r>
              <w:rPr>
                <w:rFonts w:ascii="Times New Roman;Times;Serif" w:hAnsi="Times New Roman;Times;Serif"/>
                <w:b/>
                <w:sz w:val="20"/>
              </w:rPr>
              <w:t>Acquisition</w:t>
            </w:r>
            <w:r>
              <w:rPr>
                <w:rFonts w:ascii="Times New Roman;Times;Serif" w:hAnsi="Times New Roman;Times;Serif"/>
                <w:sz w:val="20"/>
              </w:rPr>
              <w:t>”), at a pre-money valuation of US$100,000,000, subject to customary due diligence and entry into definitive transaction documents (“</w:t>
            </w:r>
            <w:r>
              <w:rPr>
                <w:rFonts w:ascii="Times New Roman;Times;Serif" w:hAnsi="Times New Roman;Times;Serif"/>
                <w:b/>
                <w:sz w:val="20"/>
              </w:rPr>
              <w:t>Transaction Documents</w:t>
            </w:r>
            <w:r>
              <w:rPr>
                <w:rFonts w:ascii="Times New Roman;Times;Serif" w:hAnsi="Times New Roman;Times;Serif"/>
                <w:sz w:val="20"/>
              </w:rPr>
              <w:t>”). The shares shall be issued with standard anti-dilution provisions, right to participation, preemption rights, and tag-and-drag along rights.</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NIVF shall have an option exercisable at any time within three months after signing the Share Purchase Agreement, to acquire an additional 8% of PredicXion’s fully diluted equity (bringing NIVF’s total ownership to 10%) at the same pre-money valuation of US$100,000,000 (“</w:t>
            </w:r>
            <w:r>
              <w:rPr>
                <w:rFonts w:ascii="Times New Roman;Times;Serif" w:hAnsi="Times New Roman;Times;Serif"/>
                <w:b/>
                <w:sz w:val="20"/>
              </w:rPr>
              <w:t>Top Up Option</w:t>
            </w:r>
            <w:r>
              <w:rPr>
                <w:rFonts w:ascii="Times New Roman;Times;Serif" w:hAnsi="Times New Roman;Times;Serif"/>
                <w:sz w:val="20"/>
              </w:rPr>
              <w:t>”).</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Notwithstanding the foregoing, if NIVF conducts any fundraising, financing, capital raising, strategic investment, PIPE, private placement, or other equity or equity-linked financing that is marketed, positioned, or otherwise related to K25.ai, PredicXion, AI, prediction markets, information markets, live-streaming prediction markets, or any substantially similar concept, NIVF shall be required to exercise at least 4% of the Top Up Option. Accordingly, NIVF shall subscribe for newly issued shares representing an additional 4% of the fully diluted share capital of PredicXion at the same pre-money valuation and on the same consideration structure set out in the Transaction Documents. The remaining 4% of PredicXion’s fully diluted share capital under the Top Up Option shall remain exercisable at NIVF’s option within the agreed option period and on the agreed terms.</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Consideration:</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Consideration payable for the Acquisition, which shall be paid concurrently with Closing, shall be a combination of:</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8448"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cash consideration of US$1,000,000 or an equivalent amount in stablecoin, or Solana; and</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8448"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666,667 newly issued class A ordinary shares of NIVF at a share price of US$1.50 per share.</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Consideration payable for the Top Up Option, which shall be paid at closing of the top up option transaction, shall be a combination of:</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8448"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cash consideration of US$4,000,000 or an equivalent amount in stablecoin, or Solana; and</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84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newly issued class A ordinary shares of NIVF equal to US$4,000,000 based on an issuance price equal to 110% of the Minimum Price. The “</w:t>
            </w:r>
            <w:r>
              <w:rPr>
                <w:rFonts w:ascii="Times New Roman;Times;Serif" w:hAnsi="Times New Roman;Times;Serif"/>
                <w:b/>
                <w:sz w:val="20"/>
              </w:rPr>
              <w:t>Minimum Price</w:t>
            </w:r>
            <w:r>
              <w:rPr>
                <w:rFonts w:ascii="Times New Roman;Times;Serif" w:hAnsi="Times New Roman;Times;Serif"/>
                <w:sz w:val="20"/>
              </w:rPr>
              <w:t>” shall be the lower of (i) the closing price on the trading day immediately preceding the notice to exercise the Top Up Option (the “</w:t>
            </w:r>
            <w:r>
              <w:rPr>
                <w:rFonts w:ascii="Times New Roman;Times;Serif" w:hAnsi="Times New Roman;Times;Serif"/>
                <w:b/>
                <w:sz w:val="20"/>
              </w:rPr>
              <w:t>Reference Day</w:t>
            </w:r>
            <w:r>
              <w:rPr>
                <w:rFonts w:ascii="Times New Roman;Times;Serif" w:hAnsi="Times New Roman;Times;Serif"/>
                <w:sz w:val="20"/>
              </w:rPr>
              <w:t>”), or (ii) average closing price for the five trading days prior to the Reference Day.</w:t>
            </w:r>
          </w:p>
        </w:tc>
      </w:tr>
    </w:tbl>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335"/>
        <w:gridCol w:w="60"/>
        <w:gridCol w:w="170"/>
        <w:gridCol w:w="8640"/>
      </w:tblGrid>
      <w:tr>
        <w:trPr/>
        <w:tc>
          <w:tcPr>
            <w:tcW w:w="1335" w:type="dxa"/>
            <w:tcBorders/>
            <w:vAlign w:val="center"/>
          </w:tcPr>
          <w:p>
            <w:pPr>
              <w:pStyle w:val="TableContents"/>
              <w:bidi w:val="0"/>
              <w:spacing w:before="0" w:after="283"/>
              <w:ind w:left="0" w:right="0" w:hanging="180"/>
              <w:jc w:val="left"/>
              <w:rPr>
                <w:rFonts w:ascii="Times New Roman;Times;Serif" w:hAnsi="Times New Roman;Times;Serif"/>
                <w:b/>
                <w:i/>
                <w:sz w:val="20"/>
              </w:rPr>
            </w:pPr>
            <w:r>
              <w:rPr>
                <w:rFonts w:ascii="Times New Roman;Times;Serif" w:hAnsi="Times New Roman;Times;Serif"/>
                <w:b/>
                <w:i/>
                <w:sz w:val="20"/>
              </w:rPr>
              <w:t>Closing</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Closing shall occur within 2 days of the satisfaction or waiver of the Closing Conditions.</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Conditions:</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Completion by NIVF of customary confirmatory due diligence on PredicXion, limited to PredicXion’s corporate authority, capitalization, ownership, and any material legal or regulatory restrictions that would prevent Closing. This condition shall be deemed satisfied once PredicXion has provided the requested materials in good faith, after which NIVF shall not unreasonably withhold, delay, or condition Closing based on matters outside the scope above.</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Receipt by the Parties of such corporate approvals as may be necessary to consummate the Acquisition and the transactions contemplated hereby.</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No material adverse change with respect to the Parties or any of their subsidiaries.</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Applicable regulatory clearance having been obtained, if any.</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Waivers of all pre-emptive rights which PredicXion’s existing shareholders have or may have in respect of any of the PredicXion shares to be acquired and/or subscribed for by NIVF at closing pursuant to PredicXion’s existing shareholder agreement.</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Receipt of any required third-party consents.</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Parties’ entry into an exclusive agency agreement as detailed below.</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NIVF Board</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On or after Closing, and as long as PredicXion holds equity in NIVF, PredicXion may nominate 3 independent non-executive directors to NIVF’s board of directors. NIVF shall, subject to approval by its board or relevant committee of its board, and subject to compliance requirements under BVI law, appoint such nominees to the board.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PredicXion Board Observer</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On or after Closing, as long as NIVF holds equity in PredicXion, NIVF shall have the right to designate one non-voting observer to PredicXion’s board of directors. PredicXion shall, subject to approval by its board or relevant committee of its board, and subject to compliance requirements under BVI law and PredicXion’s constitutional documents, permit such nominee to attend board meetings as a non-voting observer.</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Use of Proceeds</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All cash/crypto proceeds shall be used by PredicXion as working capital for expansion of its AI-powered prediction market platform (branded as K25.ai) in the Asia-Pacific region.</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Information Rights</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NIVF shall have customary information rights, including quarterly unaudited and annual audited financial statements of PredicXion.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Exclusive Agency Agreement</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Concurrently with Closing, NIVF and PredicXion shall enter into an Exclusive Agency Agreement under which NIVF will act as exclusive agent for the promotion and sale of PredicXion’s platform services (K25.ai) in Thailand, Singapore, Japan, and other APAC territories as mutually agreed – excluding Hong Kong. NIVF will earn a commission of 10% of gross profit generated from customers introduced or directly serviced by NIVF.</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39"/>
        <w:gridCol w:w="60"/>
        <w:gridCol w:w="170"/>
        <w:gridCol w:w="226"/>
        <w:gridCol w:w="8210"/>
      </w:tblGrid>
      <w:tr>
        <w:trPr/>
        <w:tc>
          <w:tcPr>
            <w:tcW w:w="1539" w:type="dxa"/>
            <w:tcBorders/>
            <w:vAlign w:val="center"/>
          </w:tcPr>
          <w:p>
            <w:pPr>
              <w:pStyle w:val="TableContents"/>
              <w:bidi w:val="0"/>
              <w:spacing w:before="0" w:after="283"/>
              <w:ind w:left="0" w:right="0" w:hanging="180"/>
              <w:jc w:val="left"/>
              <w:rPr>
                <w:rFonts w:ascii="Times New Roman;Times;Serif" w:hAnsi="Times New Roman;Times;Serif"/>
                <w:b/>
                <w:i/>
                <w:sz w:val="20"/>
              </w:rPr>
            </w:pPr>
            <w:r>
              <w:rPr>
                <w:rFonts w:ascii="Times New Roman;Times;Serif" w:hAnsi="Times New Roman;Times;Serif"/>
                <w:b/>
                <w:i/>
                <w:sz w:val="20"/>
              </w:rPr>
              <w:t>Definitive Agreements</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Parties shall use reasonable endeavours to enter into definitive agreements in connection with the Acquisition contemplated herein within two (2) months (the “</w:t>
            </w:r>
            <w:r>
              <w:rPr>
                <w:rFonts w:ascii="Times New Roman;Times;Serif" w:hAnsi="Times New Roman;Times;Serif"/>
                <w:b/>
                <w:sz w:val="20"/>
              </w:rPr>
              <w:t>Definitive Agreements</w:t>
            </w:r>
            <w:r>
              <w:rPr>
                <w:rFonts w:ascii="Times New Roman;Times;Serif" w:hAnsi="Times New Roman;Times;Serif"/>
                <w:sz w:val="20"/>
              </w:rPr>
              <w:t xml:space="preserve">”). </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Representations and Warranties</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Standard representations and warranties from PredicXion as of signing and Closing, including, corporate existence and authority, no conflicts, no litigation, capitalization, no undisclosed liabilities, financial information, regulatory compliance, intellectual property, and no material adverse change.</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Standard representations and warranties from NIVF as of signing and closing on NIVF shares, Nasdaq listing compliance, and public filings.</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Confidentiality:</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terms and conditions of the Acquisition and other transactions contemplated hereunder will be confidential information and will not be disclosed by any Party without written permission from the other Parties.</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Notwithstanding the foregoing:</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821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each Party may disclose this proposed Acquisition to its shareholders, advisors, board of directors and legal counsels for the sole purpose of consideration and evaluation of the Acquisition; and</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821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any PR release, public announcement, Form 6-K, regulatory disclosure, investor communication, or other market-facing disclosure relating to the Acquisition or the transactions contemplated hereunder may only be made after this Agreement has been duly executed by both Parties and the Deposit has been deemed received by PredicXion, and shall be subject to prior consultation between the Parties on the content and timing of such disclosure.</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During the period from the date of acceptance by PredicXion of the terms of this Agreement until the earlier of (i) public announcement of the Acquistion; (ii) the date on which discussions regarding the Acquisition are terminated by mutual agreement, and subject to the Definitive Agreement, PredicXion will restrain from trading the shares of NIVF.</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Expenses:</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Each Party will bear its own costs and expenses (including legal, accounting, and consulting fees) incurred in connection with this Agreement and the Acquisition.</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Deadline:</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2 (two) months from the date of execution of this Agreement, which may be extended by mutual consent of the Parties.</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Exclusivity:</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the execution of this Agreement until the earlier of: (i) Closing Deadline; and (ii) the date on which discussions regarding the Acquisition are terminated by mutual agreement (“</w:t>
            </w:r>
            <w:r>
              <w:rPr>
                <w:rFonts w:ascii="Times New Roman;Times;Serif" w:hAnsi="Times New Roman;Times;Serif"/>
                <w:b/>
                <w:sz w:val="20"/>
              </w:rPr>
              <w:t>Exclusivity Period</w:t>
            </w:r>
            <w:r>
              <w:rPr>
                <w:rFonts w:ascii="Times New Roman;Times;Serif" w:hAnsi="Times New Roman;Times;Serif"/>
                <w:sz w:val="20"/>
              </w:rPr>
              <w:t xml:space="preserve">”), PredicXion shall not, and shall request PredicXion’s other shareholders shall not, solicit or participate in any discussions or negotiations with any other person relating to the acquisition of PredicXion stock or PredicXion’s assets or business, in whole or in part, through purchase, merger, consolidation, or otherwise other than to undertake discussions pertaining to a fundraising round; provided that no such fundraising round shall be completed during the Exclusivity Period without NIVF’s consent.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18"/>
        <w:gridCol w:w="60"/>
        <w:gridCol w:w="170"/>
        <w:gridCol w:w="8757"/>
      </w:tblGrid>
      <w:tr>
        <w:trPr/>
        <w:tc>
          <w:tcPr>
            <w:tcW w:w="1218" w:type="dxa"/>
            <w:tcBorders/>
            <w:vAlign w:val="center"/>
          </w:tcPr>
          <w:p>
            <w:pPr>
              <w:pStyle w:val="TableContents"/>
              <w:bidi w:val="0"/>
              <w:spacing w:before="0" w:after="283"/>
              <w:ind w:left="0" w:right="0" w:hanging="180"/>
              <w:jc w:val="left"/>
              <w:rPr>
                <w:rFonts w:ascii="Times New Roman;Times;Serif" w:hAnsi="Times New Roman;Times;Serif"/>
                <w:b/>
                <w:i/>
                <w:sz w:val="20"/>
              </w:rPr>
            </w:pPr>
            <w:r>
              <w:rPr>
                <w:rFonts w:ascii="Times New Roman;Times;Serif" w:hAnsi="Times New Roman;Times;Serif"/>
                <w:b/>
                <w:i/>
                <w:sz w:val="20"/>
              </w:rPr>
              <w:t>Deposit</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i/>
                <w:sz w:val="20"/>
              </w:rPr>
              <w:t>Payment.</w:t>
            </w:r>
            <w:r>
              <w:rPr>
                <w:rFonts w:ascii="Times New Roman;Times;Serif" w:hAnsi="Times New Roman;Times;Serif"/>
                <w:sz w:val="20"/>
              </w:rPr>
              <w:t xml:space="preserve"> Within five (5) Business Days of the date of execution of this Agreement, NIVF shall pay to PredicXion a deposit of US$200,000 (the “</w:t>
            </w:r>
            <w:r>
              <w:rPr>
                <w:rFonts w:ascii="Times New Roman;Times;Serif" w:hAnsi="Times New Roman;Times;Serif"/>
                <w:b/>
                <w:sz w:val="20"/>
              </w:rPr>
              <w:t>Deposit</w:t>
            </w:r>
            <w:r>
              <w:rPr>
                <w:rFonts w:ascii="Times New Roman;Times;Serif" w:hAnsi="Times New Roman;Times;Serif"/>
                <w:sz w:val="20"/>
              </w:rPr>
              <w:t>”) by on-chain transfer to the digital wallet address designated by PredicXion in writing. The Deposit shall be deemed received upon sufficient blockchain confirmation and shall be held by PredicXion and dealt with solely in accordance with this clause.</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i/>
                <w:sz w:val="20"/>
              </w:rPr>
              <w:t>Application on Closing.</w:t>
            </w:r>
            <w:r>
              <w:rPr>
                <w:rFonts w:ascii="Times New Roman;Times;Serif" w:hAnsi="Times New Roman;Times;Serif"/>
                <w:sz w:val="20"/>
              </w:rPr>
              <w:t xml:space="preserve"> If the Acquisition closes in accordance with the terms of the Definitive Agreements, the Deposit shall be applied in full toward and credited against the Cash Consideration payable by NIVF at Closing.</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i/>
                <w:sz w:val="20"/>
              </w:rPr>
              <w:t>Liquidated Damages — PredicXion Breach.</w:t>
            </w:r>
            <w:r>
              <w:rPr>
                <w:rFonts w:ascii="Times New Roman;Times;Serif" w:hAnsi="Times New Roman;Times;Serif"/>
                <w:sz w:val="20"/>
              </w:rPr>
              <w:t xml:space="preserve"> If, during the Exclusivity Period, PredicXion: (i) breaches its exclusivity obligations under this clause; or (ii) enters into any agreement, whether binding or non-binding, with any third party in respect of any transaction described in paragraph (a) or (b) of the PredicXion Exclusivity Obligation above, then PredicXion shall within five (5) Business Days of written demand by NIVF: (A) return the Deposit in full to NIVF; and (B) pay to NIVF an additional sum of US$200,000 as agreed liquidated damages (the “</w:t>
            </w:r>
            <w:r>
              <w:rPr>
                <w:rFonts w:ascii="Times New Roman;Times;Serif" w:hAnsi="Times New Roman;Times;Serif"/>
                <w:b/>
                <w:sz w:val="20"/>
              </w:rPr>
              <w:t>Liquidated Damages</w:t>
            </w:r>
            <w:r>
              <w:rPr>
                <w:rFonts w:ascii="Times New Roman;Times;Serif" w:hAnsi="Times New Roman;Times;Serif"/>
                <w:sz w:val="20"/>
              </w:rPr>
              <w:t>”). The Parties agree that the Liquidated Damages represent a genuine pre-estimate of NIVF’s loss arising from a breach of exclusivity, including NIVF’s due diligence costs, management time, and opportunity cost, and are not a penalty.</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i/>
                <w:sz w:val="20"/>
              </w:rPr>
              <w:t xml:space="preserve">Penalty — NIVF Withdrawal Without Cause. </w:t>
            </w:r>
            <w:r>
              <w:rPr>
                <w:rFonts w:ascii="Times New Roman;Times;Serif" w:hAnsi="Times New Roman;Times;Serif"/>
                <w:sz w:val="20"/>
              </w:rPr>
              <w:t>If NIVF withdraws from or terminates discussions regarding the Acquisition other than due to the non-satisfaction of the Closing Conditions or a breach by PredicXion of its obligations under this Agreement, NIVF shall pay PredicXion a penalty of US$800,000 as agreed compensation for PredicXion’s lost opportunity, transaction costs, and related commercial impact.</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Governing Law and Dispute Resolution:</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This Agreement is governed by the laws of the British Virgin Islands.</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Any dispute, controversy,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BVI International Arbitration Centre (BVI IAC) under the BVI Arbitration Rules in force when the Notice of Arbitration is submitted. The number of arbitrators shall be one.</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language of the arbitral proceedings shall be English.</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Definitive Agreements entered into pursuant to this Agreement shall be governed by the laws of the British Virgin Islands.</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Binding Effect:</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terms of this Agreement shall be binding on the Parties, and are intended to create a duty to negotiate in good faith towards a definitive transaction documents.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executed and delivered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2989" w:type="dxa"/>
        <w:jc w:val="left"/>
        <w:tblInd w:w="0" w:type="dxa"/>
        <w:tblLayout w:type="fixed"/>
        <w:tblCellMar>
          <w:top w:w="0" w:type="dxa"/>
          <w:left w:w="0" w:type="dxa"/>
          <w:bottom w:w="0" w:type="dxa"/>
          <w:right w:w="0" w:type="dxa"/>
        </w:tblCellMar>
      </w:tblPr>
      <w:tblGrid>
        <w:gridCol w:w="75"/>
        <w:gridCol w:w="689"/>
        <w:gridCol w:w="2225"/>
      </w:tblGrid>
      <w:tr>
        <w:trPr/>
        <w:tc>
          <w:tcPr>
            <w:tcW w:w="75"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both"/>
              <w:rPr>
                <w:b/>
                <w:sz w:val="20"/>
              </w:rPr>
            </w:pPr>
            <w:r>
              <w:rPr>
                <w:b/>
                <w:sz w:val="20"/>
              </w:rPr>
              <w:t>PREDICXION GROUP LIMITED</w:t>
            </w:r>
          </w:p>
        </w:tc>
      </w:tr>
      <w:tr>
        <w:trPr/>
        <w:tc>
          <w:tcPr>
            <w:tcW w:w="75"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both"/>
              <w:rPr>
                <w:sz w:val="20"/>
              </w:rPr>
            </w:pPr>
            <w:r>
              <w:rPr>
                <w:sz w:val="20"/>
              </w:rPr>
              <w:t>By:</w:t>
            </w:r>
          </w:p>
        </w:tc>
        <w:tc>
          <w:tcPr>
            <w:tcW w:w="2225"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Cheung Kong Yiu</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both"/>
              <w:rPr>
                <w:sz w:val="20"/>
              </w:rPr>
            </w:pPr>
            <w:r>
              <w:rPr>
                <w:sz w:val="20"/>
              </w:rPr>
              <w:t>Name:</w:t>
            </w:r>
          </w:p>
        </w:tc>
        <w:tc>
          <w:tcPr>
            <w:tcW w:w="2225" w:type="dxa"/>
            <w:tcBorders/>
            <w:vAlign w:val="center"/>
          </w:tcPr>
          <w:p>
            <w:pPr>
              <w:pStyle w:val="TableContents"/>
              <w:bidi w:val="0"/>
              <w:spacing w:before="0" w:after="283"/>
              <w:jc w:val="both"/>
              <w:rPr>
                <w:sz w:val="20"/>
              </w:rPr>
            </w:pPr>
            <w:r>
              <w:rPr>
                <w:sz w:val="20"/>
              </w:rPr>
              <w:t>Cheung Kong Yiu</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20"/>
              </w:rPr>
            </w:pPr>
            <w:r>
              <w:rPr>
                <w:sz w:val="20"/>
              </w:rPr>
              <w:t>Title:</w:t>
            </w:r>
          </w:p>
        </w:tc>
        <w:tc>
          <w:tcPr>
            <w:tcW w:w="2225" w:type="dxa"/>
            <w:tcBorders/>
            <w:vAlign w:val="center"/>
          </w:tcPr>
          <w:p>
            <w:pPr>
              <w:pStyle w:val="TableContents"/>
              <w:bidi w:val="0"/>
              <w:spacing w:before="0" w:after="283"/>
              <w:jc w:val="left"/>
              <w:rPr>
                <w:sz w:val="20"/>
              </w:rPr>
            </w:pPr>
            <w:r>
              <w:rPr>
                <w:sz w:val="20"/>
              </w:rPr>
              <w:t>CEO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executed and delivered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75"/>
        <w:gridCol w:w="606"/>
        <w:gridCol w:w="2293"/>
      </w:tblGrid>
      <w:tr>
        <w:trPr/>
        <w:tc>
          <w:tcPr>
            <w:tcW w:w="75" w:type="dxa"/>
            <w:tcBorders/>
            <w:vAlign w:val="center"/>
          </w:tcPr>
          <w:p>
            <w:pPr>
              <w:pStyle w:val="TableContents"/>
              <w:bidi w:val="0"/>
              <w:spacing w:before="0" w:after="283"/>
              <w:jc w:val="both"/>
              <w:rPr/>
            </w:pPr>
            <w:r>
              <w:rPr/>
              <w:t> </w:t>
            </w:r>
          </w:p>
        </w:tc>
        <w:tc>
          <w:tcPr>
            <w:tcW w:w="2899" w:type="dxa"/>
            <w:gridSpan w:val="2"/>
            <w:tcBorders/>
            <w:vAlign w:val="center"/>
          </w:tcPr>
          <w:p>
            <w:pPr>
              <w:pStyle w:val="TableContents"/>
              <w:bidi w:val="0"/>
              <w:spacing w:before="0" w:after="283"/>
              <w:jc w:val="both"/>
              <w:rPr>
                <w:b/>
                <w:sz w:val="20"/>
              </w:rPr>
            </w:pPr>
            <w:r>
              <w:rPr>
                <w:b/>
                <w:sz w:val="20"/>
              </w:rPr>
              <w:t>NEWGENIVF GROUP LIMITED</w:t>
            </w:r>
          </w:p>
        </w:tc>
      </w:tr>
      <w:tr>
        <w:trPr/>
        <w:tc>
          <w:tcPr>
            <w:tcW w:w="75" w:type="dxa"/>
            <w:tcBorders/>
            <w:vAlign w:val="center"/>
          </w:tcPr>
          <w:p>
            <w:pPr>
              <w:pStyle w:val="TableContents"/>
              <w:bidi w:val="0"/>
              <w:spacing w:before="0" w:after="283"/>
              <w:jc w:val="both"/>
              <w:rPr/>
            </w:pPr>
            <w:r>
              <w:rPr/>
              <w:t> </w:t>
            </w:r>
          </w:p>
        </w:tc>
        <w:tc>
          <w:tcPr>
            <w:tcW w:w="289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06" w:type="dxa"/>
            <w:tcBorders/>
            <w:vAlign w:val="center"/>
          </w:tcPr>
          <w:p>
            <w:pPr>
              <w:pStyle w:val="TableContents"/>
              <w:bidi w:val="0"/>
              <w:spacing w:before="0" w:after="283"/>
              <w:jc w:val="both"/>
              <w:rPr>
                <w:sz w:val="20"/>
              </w:rPr>
            </w:pPr>
            <w:r>
              <w:rPr>
                <w:sz w:val="20"/>
              </w:rPr>
              <w:t>By:</w:t>
            </w:r>
          </w:p>
        </w:tc>
        <w:tc>
          <w:tcPr>
            <w:tcW w:w="2293"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Siu Wing Fung Alfred</w:t>
            </w:r>
          </w:p>
        </w:tc>
      </w:tr>
      <w:tr>
        <w:trPr/>
        <w:tc>
          <w:tcPr>
            <w:tcW w:w="75" w:type="dxa"/>
            <w:tcBorders/>
            <w:vAlign w:val="center"/>
          </w:tcPr>
          <w:p>
            <w:pPr>
              <w:pStyle w:val="TableContents"/>
              <w:bidi w:val="0"/>
              <w:spacing w:before="0" w:after="283"/>
              <w:jc w:val="both"/>
              <w:rPr/>
            </w:pPr>
            <w:r>
              <w:rPr/>
              <w:t> </w:t>
            </w:r>
          </w:p>
        </w:tc>
        <w:tc>
          <w:tcPr>
            <w:tcW w:w="606" w:type="dxa"/>
            <w:tcBorders/>
            <w:vAlign w:val="center"/>
          </w:tcPr>
          <w:p>
            <w:pPr>
              <w:pStyle w:val="TableContents"/>
              <w:bidi w:val="0"/>
              <w:spacing w:before="0" w:after="283"/>
              <w:jc w:val="both"/>
              <w:rPr>
                <w:sz w:val="20"/>
              </w:rPr>
            </w:pPr>
            <w:r>
              <w:rPr>
                <w:sz w:val="20"/>
              </w:rPr>
              <w:t>Name:</w:t>
            </w:r>
          </w:p>
        </w:tc>
        <w:tc>
          <w:tcPr>
            <w:tcW w:w="2293" w:type="dxa"/>
            <w:tcBorders/>
            <w:vAlign w:val="center"/>
          </w:tcPr>
          <w:p>
            <w:pPr>
              <w:pStyle w:val="TableContents"/>
              <w:bidi w:val="0"/>
              <w:spacing w:before="0" w:after="283"/>
              <w:jc w:val="both"/>
              <w:rPr>
                <w:sz w:val="20"/>
              </w:rPr>
            </w:pPr>
            <w:r>
              <w:rPr>
                <w:sz w:val="20"/>
              </w:rPr>
              <w:t>Siu Wing Fung Alfred</w:t>
            </w:r>
          </w:p>
        </w:tc>
      </w:tr>
      <w:tr>
        <w:trPr/>
        <w:tc>
          <w:tcPr>
            <w:tcW w:w="75"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sz w:val="20"/>
              </w:rPr>
            </w:pPr>
            <w:r>
              <w:rPr>
                <w:sz w:val="20"/>
              </w:rPr>
              <w:t>Title:</w:t>
            </w:r>
          </w:p>
        </w:tc>
        <w:tc>
          <w:tcPr>
            <w:tcW w:w="2293" w:type="dxa"/>
            <w:tcBorders/>
            <w:vAlign w:val="center"/>
          </w:tcPr>
          <w:p>
            <w:pPr>
              <w:pStyle w:val="TableContents"/>
              <w:bidi w:val="0"/>
              <w:spacing w:before="0" w:after="283"/>
              <w:jc w:val="left"/>
              <w:rPr>
                <w:sz w:val="20"/>
              </w:rPr>
            </w:pPr>
            <w:r>
              <w:rPr>
                <w:sz w:val="20"/>
              </w:rPr>
              <w:t>CEO and Chairperson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4" w:right="0" w:hanging="0"/>
        <w:jc w:val="right"/>
        <w:rPr>
          <w:rFonts w:ascii="Times New Roman;Times;Serif" w:hAnsi="Times New Roman;Times;Serif"/>
          <w:b/>
          <w:i w:val="false"/>
          <w:caps w:val="false"/>
          <w:smallCaps w:val="false"/>
          <w:sz w:val="20"/>
        </w:rPr>
      </w:pPr>
      <w:bookmarkStart w:id="65" w:name="ea030132501ex10-55.htm"/>
      <w:bookmarkStart w:id="66" w:name="ksea030132501ex1055"/>
      <w:bookmarkEnd w:id="65"/>
      <w:bookmarkEnd w:id="66"/>
      <w:r>
        <w:rPr>
          <w:rFonts w:ascii="Times New Roman;Times;Serif" w:hAnsi="Times New Roman;Times;Serif"/>
          <w:b/>
          <w:i w:val="false"/>
          <w:caps w:val="false"/>
          <w:smallCaps w:val="false"/>
          <w:sz w:val="20"/>
        </w:rPr>
        <w:t>Exhibit 10.55</w:t>
      </w:r>
      <w:r>
        <w:br w:type="page"/>
      </w:r>
    </w:p>
    <w:p>
      <w:pPr>
        <w:pStyle w:val="TextBody"/>
        <w:bidi w:val="0"/>
        <w:spacing w:before="0" w:after="0"/>
        <w:ind w:left="34" w:right="0" w:hanging="0"/>
        <w:jc w:val="center"/>
        <w:rPr>
          <w:caps w:val="false"/>
          <w:smallCaps w:val="false"/>
        </w:rPr>
      </w:pPr>
      <w:r>
        <w:rPr>
          <w:caps w:val="false"/>
          <w:smallCaps w:val="false"/>
        </w:rPr>
        <w:t> </w:t>
      </w:r>
    </w:p>
    <w:p>
      <w:pPr>
        <w:pStyle w:val="TextBody"/>
        <w:bidi w:val="0"/>
        <w:spacing w:before="0" w:after="0"/>
        <w:ind w:left="3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June 2,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with its address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with its address at 1800 Diagonal Road, Suite 623, Alexandria VA 22314 (the “Lender”).</w:t>
      </w:r>
    </w:p>
    <w:p>
      <w:pPr>
        <w:pStyle w:val="TextBody"/>
        <w:bidi w:val="0"/>
        <w:spacing w:before="0" w:after="0"/>
        <w:ind w:left="34" w:right="0" w:hanging="0"/>
        <w:jc w:val="center"/>
        <w:rPr>
          <w:caps w:val="false"/>
          <w:smallCaps w:val="false"/>
        </w:rPr>
      </w:pPr>
      <w:r>
        <w:rPr>
          <w:caps w:val="false"/>
          <w:smallCaps w:val="false"/>
        </w:rPr>
        <w:t> </w:t>
      </w:r>
    </w:p>
    <w:p>
      <w:pPr>
        <w:pStyle w:val="TextBody"/>
        <w:bidi w:val="0"/>
        <w:spacing w:before="0" w:after="0"/>
        <w:ind w:left="3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Lender are executing and delivering this Agreement in reliance upon the exemption from securities registration afforded by the rules and regulations as promulgated by the United States Securities and Exchange Commission (the “SEC”) under the Securities Act of 1933, as amended (the “1933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desires to purchase and the Company desires to issue and sell, upon the terms and conditions set forth in this Agreement, a convertible promissory note of the Company, in the form attached hereto as Exhibit A, in the aggregate principal amount of $132,000.00 (the “Note”);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Company and the Lender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5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the Securities</w:t>
      </w:r>
      <w:r>
        <w:rPr>
          <w:rFonts w:ascii="Times New Roman;Times;Serif" w:hAnsi="Times New Roman;Times;Serif"/>
          <w:b w:val="false"/>
          <w:i w:val="false"/>
          <w:caps w:val="false"/>
          <w:smallCaps w:val="false"/>
          <w:sz w:val="20"/>
        </w:rPr>
        <w:t>. On the Closing Date (as defined below), the Company shall issue and sell to the Lender and the Lender agrees to purchase from the Company the Securities as is set forth immediately below the Lender’s name on the signature pages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On the Closing Date (as defined below), (i) the Lender shall pay the purchase price for the Securities be issued and sold to it at the Closing (as defined below) (the “Purchase Price”) by wire transfer of immediately available funds to the Company, in accordance with the Company’s written wiring instructions, against delivery of the Securities, and (ii) the Company shall deliver such duly executed Note on behalf of the Company against delivery of such Purchase Price.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satisfaction (or written waiver) of the conditions thereto set forth in Section 6 and Section 7 below, the date and time of the issuance and sale of the Securities pursuant to this Agreement (the “Closing Date”) shall be 12:00 noon, Eastern Standard Time on or about June 2, 2026, or such other mutually agreed upon time. The closing of the transactions contemplated by this Agreement (the “Closing”) shall occur on the Closing Date at such location as may be agreed to by the parties.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Lender’s Representations and Warranties.</w:t>
      </w:r>
      <w:r>
        <w:rPr>
          <w:rFonts w:ascii="Times New Roman;Times;Serif" w:hAnsi="Times New Roman;Times;Serif"/>
          <w:b w:val="false"/>
          <w:i w:val="false"/>
          <w:caps w:val="false"/>
          <w:smallCaps w:val="false"/>
          <w:sz w:val="20"/>
        </w:rPr>
        <w:t xml:space="preserve"> The Lender represents and warrants to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As of the date hereof, the Lender is purchasing the Note and the shares of Class A Ordinary Shares of the Company (“Class A Ordinary Shares”) issuable upon conversion of or otherwise pursuant to the Note (such shares of Class A Ordinary Shares being collectively referred to herein as the “Conversion Shares” and, collectively with the Note, the “Securities”) for its own account and not with a present view towards the public sale or distribution thereof, except pursuant to sales registered or exempted from registration under the 1933 Act.</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Lender is an “accredited investor” as that term is defined in Rule 501(a) of Regulation D (an “Accredited Investor”). Lender, either alone or together with its representatives, has such knowledge, sophistication and experience in business and financial matters so as to be capable of evaluating the merits and risks of the prospective investment in the Note and the Conversion Shares, and has so evaluated the merits and risks of such investment. Lender is able to bear the economic risk of an investment in the Note and Conversion Share and, at the present time, is able to afford a complete loss of such investment. Lender acknowledges that it has had the opportunity to review the reports filed by the Company with the Securities and Exchange Commission, and has been afforded: (i) the opportunity to ask such questions as it has deemed necessary of, and to receive answers from, representatives of the Company concerning the terms and conditions of the offering of the Note and Conversion Shares and the merits and risks of investing in the Note and Conversion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Lender understands that the Securities are being offered and sold to it in reliance upon specific exemptions from the registration requirements of United States federal and state securities laws and that the Company is relying upon the truth and accuracy of, and the Lender’s compliance with, the representations, warranties, agreements, acknowledgments and understandings of the Lender set forth herein in order to determine the availability of such exemptions and the eligibility of the Lender to acquire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Company has not disclosed to the Lender any material nonpublic information and will not disclose such information unless such information is disclosed to the public prior to or promptly following such disclosure to the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Lender understands that the Securities have not been registered under the 1933 Act; and may bear a restrictive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INSTRUMENT HAVE NOT BEEN REGISTERED UNDER THE SECURITIES ACT OF 1933, AS AMENDED (THE “SECURITIES ACT”), OR UNDER ANY STATE SECURITIES LAWS, AND MAY NOT BE PLEDGED, SOLD, ASSIGNED, HYPOTHECATED OR OTHERWISE TRANSFERRED UNLESS (1) A REGISTRATION STATEMENT WITH RESPECT THERETO IS EFFECTIVE UNDER THE SECURITIES ACT AND ANY APPLICABLE STATE SECURITIES LAWS OR (2) THE ISSUER OF SUCH SECURITIES RECEIVES AN OPINION OF COUNSEL TO THE BUYER OF SUCH SECURITIES, WHICH COUNSEL AND OPINION ARE REASONABLY ACCEPTABLE TO THE ISSUER’S TRANSFER AGENT, THAT SUCH SECURITIES MAY BE PLEDGED, SOLD, ASSIGNED, HYPOTHECATED OR OTHERWISE TRANSFERRED WITHOUT AN EFFECTIVE REGISTRATION STATEMENT UNDER THE SECURITIES ACT AND APPLICABLE STATE SECURITIES LAWS.”</w:t>
      </w:r>
    </w:p>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without such legend to the Lender of any Security upon which it is stamped, if, unless otherwise required by applicable state securities laws, (a) such Security is registered for sale under an effective registration statement filed under the 1933 Act or otherwise may be sold pursuant to an exemption from registration without any restriction as to the number of securities as of a particular date that can then be immediately sold, or (b) such Lender provides the Company with an opinion of counsel, in form, substance and scope customary for opinions of counsel in comparable transactions, to the effect that a public sale or transfer of such Security may be made without registration under the 1933 Act, which opinion shall be accepted by the Company so that the sale or transfer is effected. The Lender agrees to sell all Securities, including those represented by a certificate(s) from which the legend has been removed, in compliance with applicable prospectus delivery requirements, if any. In the event that the Company does not reasonably accept the opinion of counsel that properly conforms to applicable securities laws provided by the Lender with respect to the transfer of any Securities pursuant to an exemption from registration, such as Rule 144, at the Deadline, it will be considered an Event of Default pursuant to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This Agreement has been duly executed and delivered on behalf of the Lender, and this Agreement constitutes a valid and binding agreement of the Lender enforceable in accordance with its terms.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Lender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its Subsidiaries (as defined below), if any, is a corporation duly organized, validly existing and in good standing under the laws of the jurisdiction in which it is incorporated, with full power and authority (corporate and other) to own, lease, use and operate its properties and to carry on its business as and where now owned, leased, used, operated and conducted.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(i)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the Note by the Company and the consummation by it of the transactions contemplated hereby and thereby (including without limitation, the issuance of the Note has been duly authorized by the Company’s Board of Directors and no further consent or authorization of the Company, its Board of Directors, or its shareholders is required, (iii) this Agreement has been duly executed and delivered by the Company by its authorized representative, and such authorized representative is the true and official representative with authority to sign this Agreement and the other documents executed in connection herewith and bind the Company accordingly, and (iv) this Agreement constitutes, and upon execution and delivery by the Company of the Note, each of such instruments will constitute, a legal, valid and binding obligation of the Company enforceable against the Company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the date hereof, the authorized Class A Ordinary Shares of the Company consists of unlimited authorized shares, no par value per share, of which 568,448 shares are issued and outstanding. All of such outstanding shares of capital stock are, or upon issuance will be, duly authorized, validly issued, fully paid and non-assessable.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Securities are duly authorized and reserved for issuance in accordance with its respective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Lender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the Note by the Company and the consummation by the Company of the transactions contemplated hereby and thereby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are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The businesses of the Company and its Subsidiaries, if any, are not being conducted, and shall not be conducted so long as the Lender owns any of the Securities, in violation of any law, ordinance or regulation of any governmental entity.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This Note is subordinate to the currently outstanding Series A Preferred Stock, solely with respect to dividend rights and rights on the distribution of assets on any voluntary or involuntary liquidation, dissolution or winding up of the affairs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it with the SEC pursuant to the reporting requirements of the Exchange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or if amended, as of the dates of the amendments,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or if amended, as of the dates of the amendments,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The Company is subject to the reporting requirements of the Exchange Act.</w:t>
      </w:r>
    </w:p>
    <w:p>
      <w:pPr>
        <w:pStyle w:val="TextBody"/>
        <w:bidi w:val="0"/>
        <w:spacing w:before="0" w:after="0"/>
        <w:ind w:left="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2024, except as set forth in the SEC Documents, there has been no material adverse change and no material adverse development in the assets, liabilities, business, properties, operations, financial condition, results of operations, prospects or Exchange Act reporting status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Except as set forth in the SEC Documents,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Company and its Subsidiaries are unaware of any facts or circumstances which might give rise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Lender. The issuance of the Securities to the Lender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Brokers</w:t>
      </w:r>
      <w:r>
        <w:rPr>
          <w:rFonts w:ascii="Times New Roman;Times;Serif" w:hAnsi="Times New Roman;Times;Serif"/>
          <w:b w:val="false"/>
          <w:i w:val="false"/>
          <w:caps w:val="false"/>
          <w:smallCaps w:val="false"/>
          <w:sz w:val="20"/>
        </w:rPr>
        <w:t>. Other than D. Boral, the Company has taken no action which would give rise to any claim by any person for brokerage commissions, transaction fees or similar payments relating to this Agreement or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If the Company breaches any of the material representations or warranties set forth in this Section 3 which is continuing after the applicable cure period as set forth in the Note, if any, and in addition to any other remedies available to the Lender pursuant to this Agreement, it will be considered an Event of default under Section 4.4 of the Note.</w:t>
      </w:r>
    </w:p>
    <w:p>
      <w:pPr>
        <w:pStyle w:val="TextBody"/>
        <w:bidi w:val="0"/>
        <w:spacing w:before="0" w:after="0"/>
        <w:ind w:left="2159" w:right="0" w:hanging="719"/>
        <w:jc w:val="left"/>
        <w:rPr>
          <w:caps w:val="false"/>
          <w:smallCaps w:val="false"/>
        </w:rPr>
      </w:pPr>
      <w:r>
        <w:rPr>
          <w:caps w:val="false"/>
          <w:smallCaps w:val="false"/>
        </w:rPr>
        <w:t> </w:t>
      </w:r>
    </w:p>
    <w:p>
      <w:pPr>
        <w:pStyle w:val="TextBody"/>
        <w:bidi w:val="0"/>
        <w:spacing w:before="0" w:after="0"/>
        <w:ind w:left="215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Reasonable Commercial Efforts</w:t>
      </w:r>
      <w:r>
        <w:rPr>
          <w:rFonts w:ascii="Times New Roman;Times;Serif" w:hAnsi="Times New Roman;Times;Serif"/>
          <w:b w:val="false"/>
          <w:i w:val="false"/>
          <w:caps w:val="false"/>
          <w:smallCaps w:val="false"/>
          <w:sz w:val="20"/>
        </w:rPr>
        <w:t>. The Company shall use its reasonable commercial efforts to satisfy timely each of the conditions described in Section 7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proceeds for general working capital purposes.</w:t>
      </w:r>
    </w:p>
    <w:p>
      <w:pPr>
        <w:pStyle w:val="TextBody"/>
        <w:bidi w:val="0"/>
        <w:spacing w:before="0" w:after="0"/>
        <w:ind w:left="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At the Closing, the Company’s obligation with respect to the transactions contemplated by this Agreement is to reimburse Lender’s expenses shall be $23,000.00 for Lender’s legal fees; due diligence fee and the Company’s investment bankers.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So long as the Lender beneficially owns any Note, the Company shall maintain its corporate existence and shall not sell all or substantially all of the Company’s assets in one or a series of transactions the result of which would render the Company a “shell company” as such term in defined in Rule 144.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If the Company breaches any of the material covenants set forth in this Section 4, and in addition to any other remedies available to the Lender pursuant to this Agreement which is continuing after the applicable cure period as set forth in the Note, it will be considered an event of default under Section 4.4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So long as the Lender beneficially owns the Note, the Company shall comply with the reporting requirements of the Exchange Act; and the Company shall continue to be subject to the reporting requirements of the Exchange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The Company has not engaged the Lender to perform “Dealer” actions</w:t>
      </w:r>
      <w:r>
        <w:rPr>
          <w:rFonts w:ascii="Times New Roman;Times;Serif" w:hAnsi="Times New Roman;Times;Serif"/>
          <w:b w:val="false"/>
          <w:i w:val="false"/>
          <w:caps w:val="false"/>
          <w:smallCaps w:val="false"/>
          <w:sz w:val="20"/>
        </w:rPr>
        <w:t>. The Lender and the Company hereby acknowledge and agree that the Company has not engaged the Lender to: (i) act as an underwriter; (ii) act as a market maker or specialist; (iii) act as “de facto” market maker; or (iv) conduct any other professional market activities such as providing investment advice, extending credit and lending securities in connection.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Shorting</w:t>
      </w:r>
      <w:r>
        <w:rPr>
          <w:rFonts w:ascii="Times New Roman;Times;Serif" w:hAnsi="Times New Roman;Times;Serif"/>
          <w:b w:val="false"/>
          <w:i w:val="false"/>
          <w:caps w:val="false"/>
          <w:smallCaps w:val="false"/>
          <w:sz w:val="20"/>
        </w:rPr>
        <w:t>. So long as any portion of the Note remains outstanding, the Holder agrees that neither it nor any of its affiliates shall, directly or indirectly, engage in any short sales of the Company’s Common Stock or otherwise take any action that would have the effect of decreasing the trading price of the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issue irrevocable instructions to its transfer agent to issue certificates, registered in the name of the Lender or its nominee, for the shares underlying any conversion of the Note upon default of the Note (the “Conversion Shares”) in such amounts as specified from time to time by the Lender to the Company upon conversion of the Note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 shares of Class A Ordinary Shares in the Reserved Amount as such term is defined in the Note) signed by the successor transfer agent to Company and the Company. Prior to registration of the Conversion Shares under the 1933 Act or the date on which the Conversion Shares may be sold pursuant to an exemption from registration, all such certificates shall bear the restrictive legend specified in Section 2(e)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Conversion Shares to be issued to the Lender upon conversion of or otherwise pursuant to the Note as and when required by the Note and this Agreement; and (iii) it will not fail to remove (or directs its transfer agent not to remove or impairs, delays, and/or hinders its transfer agent from removing) any restrictive legend (or to withdraw any stop transfer instructions in respect thereof) on any certificate for any Conversion Shares issued to the Lender upon conversion of or otherwise pursuant to the Note as and when required by the Note and/or this Agreement. If the Lender provides the Company and the Company’s transfer, at the cost of the Lender, with an opinion of counsel in form, substance and scope customary for opinions in comparable transactions, to the effect that a public sale or transfer of such Securities may be made without registration under the 1933 Act, the Company shall permit the transfer, and, in the case of the Conversion Shares, promptly instruct its transfer agent to issue one or more certificates, free from restrictive legend, in such name and in such denominations as specified by the Lender. The Company acknowledges that a breach by it of its obligations hereunder will cause irreparable harm to the Lender,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Lender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The obligation of the Company hereunder to issue and sell the Securities to the Lender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2879" w:right="0" w:hanging="719"/>
        <w:jc w:val="left"/>
        <w:rPr>
          <w:caps w:val="false"/>
          <w:smallCaps w:val="false"/>
        </w:rPr>
      </w:pPr>
      <w:r>
        <w:rPr>
          <w:caps w:val="false"/>
          <w:smallCaps w:val="false"/>
        </w:rPr>
        <w:t> </w:t>
      </w:r>
    </w:p>
    <w:p>
      <w:pPr>
        <w:pStyle w:val="TextBody"/>
        <w:bidi w:val="0"/>
        <w:spacing w:before="0" w:after="0"/>
        <w:ind w:left="287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shall have executed this Agreement and delivered the same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delivered the Purchase Price in accordance with Section 1(b) above.</w:t>
      </w:r>
    </w:p>
    <w:p>
      <w:pPr>
        <w:pStyle w:val="TextBody"/>
        <w:bidi w:val="0"/>
        <w:spacing w:before="0" w:after="0"/>
        <w:ind w:left="2879" w:right="0" w:hanging="719"/>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Lender shall be true and correct in all material respects as of the date when made and as of the Closing Date as though made at that time (except for representations and warranties that speak as of a specific date), and the Lender shall have performed, satisfied and complied in all material respects with the covenants, agreements and conditions required by this Agreement to be performed, satisfied or complied with by the Lender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Lender’s Obligation to Purchase</w:t>
      </w:r>
      <w:r>
        <w:rPr>
          <w:rFonts w:ascii="Times New Roman;Times;Serif" w:hAnsi="Times New Roman;Times;Serif"/>
          <w:b w:val="false"/>
          <w:i w:val="false"/>
          <w:caps w:val="false"/>
          <w:smallCaps w:val="false"/>
          <w:sz w:val="20"/>
        </w:rPr>
        <w:t>. The obligation of the Lender hereunder to purchase the Securities at the Closing is subject to the satisfaction, at or before the Closing Date of each of the following conditions, provided that these conditions are for the Lender’s sole benefit and may be waived by the Lender at any time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87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executed this Agreement and delivered the same to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Lender the duly executed Note, in accordance with Section 1(b)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Lender, shall have been delivered to and acknowledged in writing by the Company’s Transfer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the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 The Lender shall have received a certificate or certificates, executed by the chief executive officer of the Company, dated as of the Closing Date, to the foregoing effect and as to such other matters as may be reasonably requested by the Lender including, but not limited to certificates with respect to the Board of Directors’ resolutions relating to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Exchange Act reporting status of the Company or the failure of the Company to be timely in its Exchange Act reporting obligations.</w:t>
      </w:r>
    </w:p>
    <w:p>
      <w:pPr>
        <w:pStyle w:val="TextBody"/>
        <w:bidi w:val="0"/>
        <w:spacing w:before="0" w:after="0"/>
        <w:ind w:left="2159" w:right="0" w:hanging="719"/>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59" w:right="0" w:hanging="719"/>
        <w:jc w:val="left"/>
        <w:rPr>
          <w:caps w:val="false"/>
          <w:smallCaps w:val="false"/>
        </w:rPr>
      </w:pPr>
      <w:r>
        <w:rPr>
          <w:caps w:val="false"/>
          <w:smallCaps w:val="false"/>
        </w:rPr>
        <w:t> </w:t>
      </w:r>
    </w:p>
    <w:p>
      <w:pPr>
        <w:pStyle w:val="TextBody"/>
        <w:bidi w:val="0"/>
        <w:spacing w:before="0" w:after="0"/>
        <w:ind w:left="215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Commonwealth of Virginia without regard to principles of conflicts of laws. Any action brought by either party against the other concerning the transactions contemplated by this Agreement shall be brought only in the Circuit Court of Fairfax County, Virginia or in the Alexandria Division of the United States District Court for the Eastern District of Virginia. The parties to this Agreement hereby irrevocably waive any objection to jurisdiction and venue of any action instituted hereunder and shall not assert any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Company and Lender waive trial by jury. The Lender shall be entitled to recover from the Company its reasonable attorney’s fees and costs. In the event that any provision of this Agreement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 Each party hereby irrevocably waives personal service of process and consents to process being served in any suit, action or proceeding in connection with this Agreement, the Note or any related document or agreement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shall constitute one and the same agreement and shall become effective when counterparts have been signed by each party and delivered to the other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only and shall not form part of, or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instruments referenced herein contain the entire understanding of the parties with respect to the matters covered herein and therein and, except as specifically set forth herein or therein, neither the Company nor the Lender makes any representation, warranty, covenant or undertaking with respect to such matters. No provision of this Agreement may be waived or amended other than by an instrument in writing signed by the majority in interest of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facsimile, addressed as set forth below or to such other address as such party shall have specified most recently by written notice. Any notice or other communication required or permitted to be given hereunder shall be deemed effective (a) upon hand delivery or delivery by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 as set forth in the heading of this Agreement. Each party shall provide notice to the other party of any change in address.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assigns. Neither the Company nor the Lender shall assign this Agreement or any rights or obligations hereunder without the prior written consent of the other. Notwithstanding the foregoing, the Lender may assign its rights hereunder to any person that purchases Securities in a private transaction from the Lender or to any of its “affiliates,” as that term is defined under the Exchange Act, without the consent of the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agreements and covenants set forth in this Agreement shall survive the closing hereunder notwithstanding any due diligence investigation conducted by or on behalf of the Lender. The Company agrees to indemnify and hold harmless the Lender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Lender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Lender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ind w:left="34"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Lender and the Company have caused this Agreement to be duly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335"/>
        <w:gridCol w:w="2420"/>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20"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Vanquish Funding Group Inc.</w:t>
      </w:r>
    </w:p>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335"/>
        <w:gridCol w:w="1010"/>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Curt Kramer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3605"/>
        <w:gridCol w:w="60"/>
        <w:gridCol w:w="140"/>
        <w:gridCol w:w="1100"/>
        <w:gridCol w:w="75"/>
      </w:tblGrid>
      <w:tr>
        <w:trPr/>
        <w:tc>
          <w:tcPr>
            <w:tcW w:w="3605" w:type="dxa"/>
            <w:tcBorders/>
            <w:vAlign w:val="center"/>
          </w:tcPr>
          <w:p>
            <w:pPr>
              <w:pStyle w:val="TableContents"/>
              <w:bidi w:val="0"/>
              <w:spacing w:before="0" w:after="283"/>
              <w:jc w:val="left"/>
              <w:rPr/>
            </w:pPr>
            <w:r>
              <w:rPr/>
              <w:t>Aggregate Principal Amount of Note: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132,000.00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b/>
        </w:rPr>
      </w:pPr>
      <w:bookmarkStart w:id="67" w:name="ea030132501ex10-56.htm"/>
      <w:bookmarkStart w:id="68" w:name="ksea030132501ex1056"/>
      <w:bookmarkEnd w:id="67"/>
      <w:bookmarkEnd w:id="68"/>
      <w:r>
        <w:rPr>
          <w:b/>
        </w:rPr>
        <w:t>Exhibit 10.56</w:t>
      </w:r>
      <w:r>
        <w:br w:type="page"/>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(WHICH COUNSEL SHALL BE SELECTED BY THE HOLDER), IN A GENERALLY ACCEPTABLE FORM, THAT REGISTRATION IS NOT REQUIRED UNDER SAID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 PRICE OF THIS NOTE IS $132,000.00</w:t>
      </w:r>
    </w:p>
    <w:p>
      <w:pPr>
        <w:pStyle w:val="TextBody"/>
        <w:bidi w:val="0"/>
        <w:spacing w:before="0" w:after="0"/>
        <w:ind w:left="4" w:right="0" w:hanging="0"/>
        <w:jc w:val="center"/>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2690"/>
        <w:gridCol w:w="2105"/>
      </w:tblGrid>
      <w:tr>
        <w:trPr/>
        <w:tc>
          <w:tcPr>
            <w:tcW w:w="26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$132,000.00</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132,000.00132,000.00</w:t>
            </w:r>
          </w:p>
        </w:tc>
        <w:tc>
          <w:tcPr>
            <w:tcW w:w="21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Issue Date: June 2, 2026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44"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CONVERTIBLE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(hereinafter called the “Borrower”), hereby promises to pay to the order of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or registered assigns (the “Holder”) the sum of $132,000.00 together with any interest as set forth herein, on March 15, 2027 (the “Maturity Date”), and to pay interest on the unpaid principal balance hereof at the rate of ten percent (10%) (the “Interest Rate”) per annum from the date hereof (the “Issue Date”) until the same becomes due and payable, whether at maturity or upon acceleration or by prepayment or otherwise. This Note may not be prepaid in whole or in part except as otherwise explicitly set forth herein. Any amount of principal or interest on this Note which is not paid when due shall bear interest at the rate of twenty two percent (22%) per annum (or the highest amount of legally permitted interest under applicable usury statutes) from the due date thereof until the same is paid (“Default Interest”). Interest shall be computed on the basis of a 365 day year and the actual number of days elapsed. Interest shall commence accruing on the Issue Date but shall not be payable until the Note becomes payable (whether at Maturity Date or upon acceleration or by prepayment). All payments due hereunder (to the extent not converted into Class A Ordinary Shares of the Borrower, no par value per share (the “Class A Ordinary Shares”) in accordance with the terms hereof) shall be made in lawful money of the United States of America. All payments shall be made at such address as the Holder shall hereafter give to the Borrower by written notice made in accordance with the provisions of this Note. Each capitalized term used herein, and not otherwise defined, shall have the meaning ascribed thereto in that certain Securities Purchase Agreement dated the date hereof, pursuant to which this Note was originally issued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apply to this Note:</w:t>
      </w:r>
    </w:p>
    <w:p>
      <w:pPr>
        <w:pStyle w:val="TextBody"/>
        <w:bidi w:val="0"/>
        <w:spacing w:before="0" w:after="0"/>
        <w:ind w:left="4" w:right="0" w:hanging="0"/>
        <w:jc w:val="center"/>
        <w:rPr>
          <w:caps w:val="false"/>
          <w:smallCaps w:val="false"/>
        </w:rPr>
      </w:pPr>
      <w:r>
        <w:rPr>
          <w:caps w:val="false"/>
          <w:smallCaps w:val="false"/>
        </w:rPr>
        <w:t> </w:t>
      </w:r>
    </w:p>
    <w:p>
      <w:pPr>
        <w:pStyle w:val="TextBody"/>
        <w:bidi w:val="0"/>
        <w:spacing w:before="0" w:after="0"/>
        <w:ind w:left="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xml:space="preserve">. The Holder shall have the right from time to time, </w:t>
      </w:r>
      <w:r>
        <w:rPr>
          <w:rFonts w:ascii="Times New Roman;Times;Serif" w:hAnsi="Times New Roman;Times;Serif"/>
          <w:b w:val="false"/>
          <w:i w:val="false"/>
          <w:caps w:val="false"/>
          <w:smallCaps w:val="false"/>
          <w:sz w:val="20"/>
          <w:u w:val="single"/>
        </w:rPr>
        <w:t>and at any time during the period beginning on the date which is one hundred eighty (180) days following the date of this Note and ending on the later of: (i) the Maturity Date, or (ii) the date of payment of the Default Amount (as defined in Article III)</w:t>
      </w:r>
      <w:r>
        <w:rPr>
          <w:rFonts w:ascii="Times New Roman;Times;Serif" w:hAnsi="Times New Roman;Times;Serif"/>
          <w:b w:val="false"/>
          <w:i w:val="false"/>
          <w:caps w:val="false"/>
          <w:smallCaps w:val="false"/>
          <w:sz w:val="20"/>
        </w:rPr>
        <w:t xml:space="preserve">, each in respect of the remaining outstanding amount of this Note to convert all or any part of the outstanding and unpaid amount of this Note into fully paid and non-assessable shares of Class A Ordinary Shares, as such Class A Ordinary Shares exists on the Issue Date, or any shares of capital stock or other securities of the Borrower into which such Class A Ordinary Shares shall hereafter be changed or reclassified at the conversion price (the “Conversion Price”) determined as provided herein (a “Conversion”);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Holder be entitled to convert any portion of this Note in excess of that portion of this Note upon conversion of which the sum of (1) the number of shares of Class A Ordinary Shares beneficially owned by the Holder and its affiliates (other than shares of Class A Ordinary Shares which may be deemed beneficially owned through the ownership of the unconverted portion of the Notes or the unexercised or unconverted portion of any other security of the Borrower subject to a limitation on conversion or exercise analogous to the limitations contained herein) and (2) the number of shares of Class A Ordinary Shares issuable upon the conversion of the portion of this Note with respect to which the determination of this proviso is being made, would result in beneficial ownership by the Holder and its affiliates of more than 4.99% of the outstanding shares of Class A Ordinary Shares. For purposes of the proviso to the immediately preceding sentence, beneficial ownership shall be determined in accordance with Section 13(d) of the Securities Exchange Act of 1934, as amended (the “Exchange Act”), and Regulations 13D-G thereunder, except as otherwise provided in clause (1) of such proviso. </w:t>
      </w:r>
      <w:r>
        <w:rPr>
          <w:rFonts w:ascii="Times New Roman;Times;Serif" w:hAnsi="Times New Roman;Times;Serif"/>
          <w:b w:val="false"/>
          <w:i w:val="false"/>
          <w:caps w:val="false"/>
          <w:smallCaps w:val="false"/>
          <w:sz w:val="20"/>
          <w:u w:val="single"/>
        </w:rPr>
        <w:t>The beneficial ownership limitations on conversion as set forth in the section may NOT be waived by the Holder</w:t>
      </w:r>
      <w:r>
        <w:rPr>
          <w:rFonts w:ascii="Times New Roman;Times;Serif" w:hAnsi="Times New Roman;Times;Serif"/>
          <w:b w:val="false"/>
          <w:i w:val="false"/>
          <w:caps w:val="false"/>
          <w:smallCaps w:val="false"/>
          <w:sz w:val="20"/>
        </w:rPr>
        <w:t xml:space="preserve">. The number of shares of Class A Ordinary Shares to be issued upon each conversion of this Note shall be determined by dividing the Conversion Amount (as defined below) by the applicable Conversion Price then in effect on the date specified in the notice of conversion, in the form attached hereto as Exhibit A (the “Notice of Conversion”), delivered to the Borrower by the Holder in accordance with Section 1.4 below; provided that the Notice of Conversion is submitted by facsimile or e-mail (or by other means resulting in, or reasonably expected to result in, notice) to the Borrower before 6:00 p.m., New York, New York time on such conversion date (the “Conversion Date”); however, if the Notice of Conversion is sent after 6:00pm, New York, New York time the Conversion Date shall be the next business day. The term “Conversion Amount”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rates provided in this Note to the Conversion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at the Holder’s option, Default Interest, if any, on the amounts referred to in the immediately preceding clauses (1) and/or (2)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(4) at the Holder’s option, any amounts owed to the Holder pursuant to Sections 1.4 hereof.</w:t>
      </w:r>
    </w:p>
    <w:p>
      <w:pPr>
        <w:pStyle w:val="TextBody"/>
        <w:bidi w:val="0"/>
        <w:spacing w:before="0" w:after="0"/>
        <w:ind w:left="0" w:right="0" w:hanging="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be entitled to deduct $1,500.00 from the conversion amount in each Notice of Conversion to cover Holder's deposit fees associated with each Notice of Conversion. Any additional expenses incurred by Holder with respect to the Borrower's transfer agent, for the issuance of the Class A Ordinary Shares into which this Note is convertible into, shall immediately and automatically be added to the balance of the Note at such time as the expenses are incurred by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shall equal 75% multiplied by the Market Price (as defined herein) (representing a discount rate of 25%). “Market Price” means the lowest Trading Price (as defined below) for the Class A Ordinary Shares during the ten (10) Trading Day period ending on the latest complete Trading Day prior to the Conversion Date. “Trading Price” means, for any security as of any date, the closing bid price on the OTCQB, OTCQX, Pink Sheets electronic quotation system or applicable trading market (the “OTC”) as reported by a reliable reporting service (“Reporting Service”) designated by the Holder (i.e. Bloomberg) or, if the OTC is not the principal trading market for such security, the closing bid price of such security on the principal securities exchange or trading market where such security is listed or traded or, if no closing bid price of such security is available in any of the foregoing manners, the average of the closing bid prices of any market makers for such security that are listed in the “pink sheets”. If the Trading Price cannot be calculated for such security on such date in the manner provided above, the Trading Price shall be the fair market value as mutually determined by the Borrower and the holders of a majority in interest of the Notes being converted for which the calculation of the Trading Price is required in order to determine the Conversion Price of such Notes. “Trading Day” shall mean any day on which the Class A Ordinary Shares is tradable for any period on the OTC, or on the principal securities exchange or other securities market on which the Class A Ordinary Shares is then being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Borrower covenants that during the period the conversion right exists, the Borrower will reserve from its authorized and unissued Class A Ordinary Shares a sufficient number of shares, free from preemptive rights, to provide for the issuance of Class A Ordinary Shares upon the full conversion of this Note issued pursuant to the Purchase Agreement. The Borrower is required at all times to have authorized and reserved four times the number of shares that is actually issuable upon full conversion of the Note (based on the Conversion Price of the Note in effect from time to time)(the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Class A Ordinary Shares into which the Notes shall be convertible at the then current Conversion Price, the Borrower shall at the same time make proper provision so that thereafter there shall be a sufficient number of shares of Class A Ordinary Shares authorized and reserved, free from preemptive rights, for conversion of the outstanding Note. The Borrower (i) acknowledges that it has irrevocably instructed its transfer agent to issue certificates for the Class A Ordinary Shares issuable upon conversion of this Note, and (ii) agrees that its issuance of this Note shall constitute full authority to its officers and agents who are charged with the duty of executing stock certificates to execute and issue the necessary certificates for shares of Class A Ordinary Shares in accordance with the terms and conditions of this Note. If, at any time the Borrower does not maintain the Reserved Amount it will be considered an Event of Default under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A</w:t>
      </w:r>
      <w:r>
        <w:rPr>
          <w:rFonts w:ascii="Times New Roman;Times;Serif" w:hAnsi="Times New Roman;Times;Serif"/>
          <w:b w:val="false"/>
          <w:i w:val="false"/>
          <w:caps w:val="false"/>
          <w:smallCaps w:val="false"/>
          <w:sz w:val="20"/>
          <w:u w:val="single"/>
        </w:rPr>
        <w:t>s set forth in Section 1.1 hereof, from time to time, and at any time during the period beginning on the date which is one hundred eighty (180) days following the date of this Note and ending on the later of: (i) the Maturity Date and (ii) the date of payment of the Default Amount</w:t>
      </w:r>
      <w:r>
        <w:rPr>
          <w:rFonts w:ascii="Times New Roman;Times;Serif" w:hAnsi="Times New Roman;Times;Serif"/>
          <w:b w:val="false"/>
          <w:i w:val="false"/>
          <w:caps w:val="false"/>
          <w:smallCaps w:val="false"/>
          <w:sz w:val="20"/>
        </w:rPr>
        <w:t>, this Note may be converted by the Holder in whole or in part at any time from time to time after the Issue Date, by (A) submitting to the Borrower a Notice of Conversion (by facsimile, e-mail or other reasonable means of communication dispatched on the Conversion Date prior to 6:00 p.m., New York, New York time) and (B) subject to Section 1.4(b), surrendering this Note at the principal office of the Borrower (upon payment in full of any amounts owed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Notwithstanding anything to the contrary set forth herein, upon conversion of 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Class A Ordinary Shares Upon Conversion</w:t>
      </w:r>
      <w:r>
        <w:rPr>
          <w:rFonts w:ascii="Times New Roman;Times;Serif" w:hAnsi="Times New Roman;Times;Serif"/>
          <w:b w:val="false"/>
          <w:i w:val="false"/>
          <w:caps w:val="false"/>
          <w:smallCaps w:val="false"/>
          <w:sz w:val="20"/>
        </w:rPr>
        <w:t>. Upon receipt by the Borrower from the Holder of a facsimile transmission or e-mail (or other reasonable means of communication) of a Notice of Conversion meeting the requirements for conversion as provided in this Section 1.4, the Borrower shall issue and deliver or cause to be issued and delivered to or upon the order of the Holder certificates for the Class A Ordinary Shares issuable upon such conversion within three (3) business days after such receipt (the “Deadline”) (and, solely in the case of conversion of the entire unpaid principal amount hereof, surrender of this Note) in accordance with the terms hereof and the Purchase Agreement. Upon receipt by the Borrower of a Notice of Conversion, the Holder shall be deemed to be the holder of record of the Class A Ordinary Shares issuable upon such conversion, the outstanding principal amount and the amount of accrued and unpaid interest on this Note shall be reduced to reflect such conversion, and, unless the Borrower defaults on its obligations hereunder, all rights with respect to the portion of this Note being so converted shall forthwith terminate except the right to receive the Class A Ordinary Shares or other securities, cash or other assets, as herein provided, on such conversion. If the Holder shall have given a Notice of Conversion as provided herein, the Borrower’s obligation to issue and deliver the certificates for Class A Ordinary Shares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Class A Ordinary Shares by Electronic Transfer</w:t>
      </w:r>
      <w:r>
        <w:rPr>
          <w:rFonts w:ascii="Times New Roman;Times;Serif" w:hAnsi="Times New Roman;Times;Serif"/>
          <w:b w:val="false"/>
          <w:i w:val="false"/>
          <w:caps w:val="false"/>
          <w:smallCaps w:val="false"/>
          <w:sz w:val="20"/>
        </w:rPr>
        <w:t>. In lieu of delivering physical certificates representing the Class A Ordinary Shares issuable upon conversion, provided the Borrower is participating in the Depository Trust Company (“DTC”) Fast Automated Securities Transfer (“FAST”) program, upon request of the Holder and its compliance with the provisions set forth herein, the Borrower shall use its best efforts to cause its transfer agent to electronically transmit the Class A Ordinary Shares issuable upon conversion to the Holder by crediting the account of Holder’s Prime Broker with DTC through its Deposit and Withdrawal at Custodian (“DWAC”)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Failure to Deliver Class A Ordinary Shares Prior to Deadline</w:t>
      </w:r>
      <w:r>
        <w:rPr>
          <w:rFonts w:ascii="Times New Roman;Times;Serif" w:hAnsi="Times New Roman;Times;Serif"/>
          <w:b w:val="false"/>
          <w:i w:val="false"/>
          <w:caps w:val="false"/>
          <w:smallCaps w:val="false"/>
          <w:sz w:val="20"/>
        </w:rPr>
        <w:t>. Without in any way limiting the Holder’s right to pursue other remedies, including actual damages and/or equitable relief, the parties agree that if delivery of the Class A Ordinary Shares issuable upon conversion of this Note is not delivered by the Deadline due to action and/or inaction of the Borrower, the Borrower shall pay to the Holder $2,000 per day in cash, for each day beyond the Deadline that the Borrower fails to deliver such Class A Ordinary Shares (the “Fail to Deliver Fee”); provided; however that the Fail to Deliver Fee shall not be due if the failure is a result of a third party (i.e., transfer agent; and not the result of any failure to pay such transfer agent) despite the best efforts of the Borrower to effect delivery of such Class A Ordinary Shares.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Class A Ordinary Shares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Section 1.4(e) are justified.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shares of Class A Ordinary Shares issuable upon conversion of this Note may not be sold or transferred unless: (i) such shares are sold pursuant to an effective registration statement under the Act or (ii) the Borrower or its transfer agent shall have been furnished with an opinion of counsel (which opinion shall be in form, substance and scope customary for opinions of counsel in comparable transactions) to the effect that the shares to be sold or transferred may be sold or transferred pursuant to an exemption from such registration (such as Rule 144 or a successor rule) (“Rule 144”); or (iii) such shares are transferred to an “affiliate” (as defined in Rule 144) of the Borrower who agrees to sell or otherwise transfer the shares only in accordance with this Section 1.5 and who is an Accredited Investor (as defined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legend on certificates representing shares of Class A Ordinary Shares issuable upon conversion of this Note shall be removed and the Borrower shall issue to the Holder a new certificate therefore free of any transfer legend if the Borrower or its transfer agent shall have received an opinion of counsel from Holder’s counsel, in form, substance and scope customary for opinions of counsel in comparable transactions, to the effect that (i) a public sale or transfer of such Class A Ordinary Shares may be made without registration under the Act, which opinion shall be accepted by the Borrower so that the sale or transfer is effected; or (ii) in the case of the Class A Ordinary Shares issuable upon conversion of this Note, such security is registered for sale by the Holder under an effective registration statement filed under the Act; or otherwise may be sold pursuant to an exemption from registration. In the event that the Borrower does not reasonably accept the opinion of counsel provided by the Holder with respect to the transfer of Securities pursuant to an exemption from registration (such as Rule 144), at the Deadline, it will be considered an Event of Default pursuant to Section 3.2 of the Note.</w:t>
      </w:r>
    </w:p>
    <w:p>
      <w:pPr>
        <w:pStyle w:val="TextBody"/>
        <w:bidi w:val="0"/>
        <w:spacing w:before="0" w:after="0"/>
        <w:ind w:left="2519" w:right="0" w:hanging="143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Except with respect to any transactions disclosed by the Borrower in any of its filings with the SEC prior to the date of this Note, at the option of the Holder, the sale, conveyance or disposition of all or 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be deemed to be an Event of Default (as defined in Article III) pursuant to which the Borrower shall be required to pay to the Holder upon the consummation of and as a condition to such transaction an amount equal to the Default Amount (as defined in Article III). “Person” shall mean any individual, corporation, limited liability company, partnership, association, trust or other entity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the Note, there shall be any merger, consolidation, exchange of shares, recapitalization, reorganization, or other similar event, as a result of which shares of Class A Ordinary Shares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Class A Ordinary Shares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Section 1.6(b) unless (a) it first gives, to the extent practicable, ten (10) days prior written notice (but in any event at least five (5)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Note. The above provisions shall similarly apply to successive consolidations, mergers, sales, transfers or share exchanges.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If the Borrower shall declare or make any distribution of its assets (or rights to acquire its assets) to holders of Class A Ordinary Shares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Class A Ordinary Shares issuable upon such conversion had such Holder been the holder of such shares of Class A Ordinary Shares on the record date for the determination of shareholders entitled to such Distribution. 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Notwithstanding anything to the contrary contained in this Note, at any time during the periods set forth on the table immediately following this paragraph (the “Prepayment Periods”) or as otherwise agreed to between the Borrower and the Holder, the Borrower shall have the right, exercisable on not more than three (3) Trading Days prior written notice to the Holder of the Note to prepay the outstanding Note (principal and accrued interest), in full, in accordance with this Section 1.7. Any notice of prepayment hereunder (an “Optional Prepayment Notice”) shall be delivered to the Holder of the Note at its registered addresses and shall state: (1) that the Borrower is exercising its right to prepay the Note, and (2) the date of prepayment which shall be not more than three (3) Trading Days from the date of the Optional Prepayment Notice. On the date fixed for prepayment (the “Optional Prepayment Date”), the Borrower shall make payment of the Optional Prepayment Amount (as defined below) to Holder, or upon the direction of the Holder as specified by the Holder in a writing to the Borrower (which shall direction to be sent to Borrower by the Holder at least one (1) business day prior to the Optional Prepayment Date). If the Borrower exercises its right to prepay the Note, the Borrower shall make payment to the Holder of an amount in cash equal to the percentage (“Prepayment Percentage”) as set forth in the table immediately following this paragraph opposite the applicable Prepayment Period, multiplied by the sum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Optional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 1.4 hereof (the “Optional Prepayment Amount”).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546" w:type="dxa"/>
          <w:bottom w:w="28" w:type="dxa"/>
          <w:right w:w="28" w:type="dxa"/>
        </w:tblCellMar>
      </w:tblPr>
      <w:tblGrid>
        <w:gridCol w:w="8572"/>
        <w:gridCol w:w="1633"/>
      </w:tblGrid>
      <w:tr>
        <w:trPr/>
        <w:tc>
          <w:tcPr>
            <w:tcW w:w="857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Prepayment Period</w:t>
            </w:r>
          </w:p>
        </w:tc>
        <w:tc>
          <w:tcPr>
            <w:tcW w:w="163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Prepayment Percentage</w:t>
            </w:r>
          </w:p>
        </w:tc>
      </w:tr>
      <w:tr>
        <w:trPr/>
        <w:tc>
          <w:tcPr>
            <w:tcW w:w="8572" w:type="dxa"/>
            <w:tcBorders>
              <w:left w:val="single" w:sz="8" w:space="0" w:color="000000"/>
              <w:right w:val="single" w:sz="8" w:space="0" w:color="000000"/>
            </w:tcBorders>
            <w:tcMar>
              <w:top w:w="0" w:type="dxa"/>
              <w:left w:w="28"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the period beginning on the Issue Date and ending on the date which is one hundred ninety (90) days following the Issue Date.</w:t>
            </w:r>
          </w:p>
        </w:tc>
        <w:tc>
          <w:tcPr>
            <w:tcW w:w="163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w:t>
            </w:r>
          </w:p>
        </w:tc>
      </w:tr>
      <w:tr>
        <w:trPr/>
        <w:tc>
          <w:tcPr>
            <w:tcW w:w="8572"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the period beginning on date which is ninety-one (91) days following the Issue Date and ending on the date which is one hundred eighty (180) days following the Issue Date.</w:t>
            </w:r>
          </w:p>
        </w:tc>
        <w:tc>
          <w:tcPr>
            <w:tcW w:w="163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4"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 w:right="0" w:hanging="0"/>
        <w:jc w:val="center"/>
        <w:rPr>
          <w:caps w:val="false"/>
          <w:smallCaps w:val="false"/>
        </w:rPr>
      </w:pPr>
      <w:r>
        <w:rPr>
          <w:caps w:val="false"/>
          <w:smallCaps w:val="false"/>
        </w:rPr>
        <w:t> </w:t>
      </w:r>
    </w:p>
    <w:p>
      <w:pPr>
        <w:pStyle w:val="TextBody"/>
        <w:bidi w:val="0"/>
        <w:spacing w:before="0" w:after="0"/>
        <w:ind w:left="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So long as the Borrower shall have any obligation under this Note, the Borrower shall not, without the Holder’s written consent, sell, lease or otherwise dispose of any significant portion of its assets outside the ordinary course of business. Any consent to the disposition of any assets may be conditioned on a specified use of the proceeds of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Registration: Piggyback Rights</w:t>
      </w:r>
      <w:r>
        <w:rPr>
          <w:rFonts w:ascii="Times New Roman;Times;Serif" w:hAnsi="Times New Roman;Times;Serif"/>
          <w:b w:val="false"/>
          <w:i w:val="false"/>
          <w:caps w:val="false"/>
          <w:smallCaps w:val="false"/>
          <w:sz w:val="20"/>
        </w:rPr>
        <w:t>. If at any time during the period that this Note is outstanding, the Borrower shall determine to file with the SEC a registration statement relating to an offering for its own account or the account of others of any its Class A Ordinary Shares (“Registration Statement”)(other than on Form S-4 or Form S-8 or their then-equivalents relating to equity securities to be issued solely in connection with any acquisition of any entity or business or equity securities issuable in connection with stock option or other employee benefit plans), the Borrower shall send to the written notice of such determination and, unless objected to in writing by the Holder by written notice delivered to the Borrower within five (5) days after the date of such notice from the Borrower, the Borrower shall include in such Registration Statement all shares issuable upon conversion of this Note (“Registrable Securities”).</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of default (each, an “Event of Default”)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and Interest</w:t>
      </w:r>
      <w:r>
        <w:rPr>
          <w:rFonts w:ascii="Times New Roman;Times;Serif" w:hAnsi="Times New Roman;Times;Serif"/>
          <w:b w:val="false"/>
          <w:i w:val="false"/>
          <w:caps w:val="false"/>
          <w:smallCaps w:val="false"/>
          <w:sz w:val="20"/>
        </w:rPr>
        <w:t>. The Borrower fails to pay the principal hereof or interest thereon when due on this Note, whether at maturity or upon acceleration and such breach continues for a period of five (5) days after written notice from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The Borrower fails to issue shares of Class A Ordinary Shares to the Holder (or announces or threatens in writing that it will not honor its obligation to do so) upon exercise by the Holder of the conversion rights of the Holder in accordance with the terms of this Note, fails to transfer or cause its transfer agent to transfer (issue) (electronically or in certificated form) any certificate for shares of Class A Ordinary Shares issued to the Holder upon conversion of or otherwise pursuant to this Note as and when required by this Note, the Borrower directs its transfer agent not to transfer or delays, impairs, and/or hinders its transfer agent in transferring (or issuing) (electronically or in certificated form) any certificate for shares of Class A Ordinary Shares to be issued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shares of Class A Ordinary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three (3) business days after the Holder shall have delivered a Notice of Conversion. It is an obligation of the Borrower to remain current in its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paid by the Borrower to the Holder within forty-eight (48) hours of a demand from the Holder. Notwithstanding anything contained herein to the contrary, if such failure to timely issue shares of Class A Ordinary Shares to the Holder upon conversion is not a result of the action or inaction of the Borrower, direct or indirect, such failure to issue will not be an event of default (i.e., act of God).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The Borrower breaches any material covenant or other material term or condition contained in this Note and any collateral documents including but not limited to the Purchase Agreement and such breach continues for a period of twenty (20) days after written notice thereof to the Borrower from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Any representation or warranty of the Borrower made herein or in any agreement, statement or certificate given in writing pursuant hereto or in connection herewith (including, without limitation, the Purchase Agreement), shall be false or misleading in any material respect when made and the breach of which has (or with the passage of time will have)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Delisting of Class A Ordinary Shares</w:t>
      </w:r>
      <w:r>
        <w:rPr>
          <w:rFonts w:ascii="Times New Roman;Times;Serif" w:hAnsi="Times New Roman;Times;Serif"/>
          <w:b w:val="false"/>
          <w:i w:val="false"/>
          <w:caps w:val="false"/>
          <w:smallCaps w:val="false"/>
          <w:sz w:val="20"/>
        </w:rPr>
        <w:t>. The Borrower shall fail to maintain the listing of the Class A Ordinary Shares on the Nasdaq National Market, the Nasdaq SmallCap Market, the New York Stock Exchange, or the NYSE American Stock Exchange (collectively, the “Exchanges”) or the quotation platforms maintained by the OTC Markets Group or an equivalent replacement exchange (collectively with the Exchanges,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The Borrower shall fail to comply with the reporting requirements of the Exchange Act; and/or the Borrower shall cease to be subject to the reporting requirements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Any dissolution, liquidation, or winding up of Borrower or any substantial portion of its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Any cessation of operations by Borrower which would result in the Borrower becoming a “shell company” as such term is defined in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 The restatement of any financial statements filed by the Borrower with the SEC at any time after 180 days after the Issuance Date for any date or period until this Note is no longer outstanding, if the result of such restatement would, by comparison to the un-restated financial statement, have constituted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Class A Ordinary Shares in the Reserved Amount) signed by the successor transfer agent to Borrower and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Notwithstanding anything to the contrary contained in this Note or the other related or companion documents, a breach or default by the Borrower of any covenant or other term or condition contained in any of the Other Agreements, after the passage of all applicable notice and cure or grace periods, shall, at the option of the Holder, be considered a default under this Note and the Other Agreements, in which event the Holder shall be entitled (but in no event required) to apply all rights and remedies of the Holder under the terms of this Note and the Other Agreements by reason of a default under said Other Agreement or hereunder. “Other Agreements” means, collectively, all agreements and instruments between, among or by: (1) the Borrower, and, or for the benefit of, (2) the Holder and any affiliate of the Holder, including, without limitation, promissory notes; provided, however, the term “Other Agreements” shall not include the related or companion documents to this Note. Each of the loan transactions will be cross-defaulted with each other loan transaction and with all other existing and future debt of Borrower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continuation of any Event of Default specified in Section 3.1 (solely with respect to failure to pay the principal hereof or interest thereon when due at the Maturity Date), the Note shall become immediately due and payable and the Borrower shall pay to the Holder, in full satisfaction of its obligations hereunder, an amount equal to the Default Amount (as defined herein). UPON THE OCCURRENCE AND DURING THE CONTINUATION OF ANY EVENT OF DEFAULT SPECIFIED IN SECTION 3.2, THE NOTE SHALL BECOME IMMEDIATELY DUE AND PAYABLE AND THE BORROWER SHALL PAY TO THE HOLDER, IN FULL SATISFACTION OF ITS OBLIGATIONS HEREUNDER, AN AMOUNT EQUAL TO: (Y) THE DEFAULT AMOUNT (AS DEFINED HEREIN); MULTIPLIED BY (Z) TWO (2). Upon the occurrence and during the continuation of any Event of Default specified in this Article III (other than Section 3.2 as set forth above), the Note shall become immediately due and payable and the Borrower shall pay to the Holder, in full satisfaction of its obligations hereunder, an amount equal to 150%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date of payment (the “Mandatory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and/or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Sections 1.3 and 1.4(g) hereof (the then outstanding principal amount of this Note to the date of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amounts referred to in clauses (x), (y) and (z) shall collectively be known as the “Default Amount”) and all other amounts payable hereunder shall immediately become due and payable, all without demand, presentment or notice, all of which hereby are expressly waived, together with all costs, including, without limitation, legal fees and expenses, of collection, and the Holder shall be entitled to exercise all other rights and remedies available at law or in equity.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5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pay the Default Amount within five (5) business days of written notice that such amount is due and payable, then the Holder shall have the right at any time, so long as the Borrower remains in default (and so long and to the extent that there are sufficient authorized shares), to require the Borrower, upon written notice, to immediately issue, in lieu of the Default Amount, the number of shares of Class A Ordinary Shares of the Borrower equal to the Default Amount divided by the Conversion Price then in effect.</w:t>
      </w:r>
    </w:p>
    <w:p>
      <w:pPr>
        <w:pStyle w:val="TextBody"/>
        <w:bidi w:val="0"/>
        <w:spacing w:before="0" w:after="0"/>
        <w:ind w:left="4" w:right="0" w:hanging="0"/>
        <w:jc w:val="center"/>
        <w:rPr>
          <w:caps w:val="false"/>
          <w:smallCaps w:val="false"/>
        </w:rPr>
      </w:pPr>
      <w:r>
        <w:rPr>
          <w:caps w:val="false"/>
          <w:smallCaps w:val="false"/>
        </w:rPr>
        <w:t> </w:t>
      </w:r>
    </w:p>
    <w:p>
      <w:pPr>
        <w:pStyle w:val="TextBody"/>
        <w:bidi w:val="0"/>
        <w:spacing w:before="0" w:after="0"/>
        <w:ind w:left="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or delivery by electronic mail,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 Khlong Toei Nuea Sub- district</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 Thailand</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Wing Fung Alfred Siu, Chief Executive Officer</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Diagonal Road, Suite 623</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Alexandria VA 22314</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Curt Kramer, President</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ckramer6@bloomberg.net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Note and any provision hereof may only be amended by an instrument in writing signed by the Borrower and the Holder. The term “Note” and all reference thereto, as used throughout this instrument, shall mean this instrument (and the other Notes issued pursuant to the Purchase Agreement) as originally executed, or if later amended or supplemented, then as so amended or supplemented.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Each transferee of this Note must be an “accredited investor” (as defined in Rule 501(a) of the Securities and Exchange Commission). Notwithstanding anything in this Note to the contrary, this Note may be pledged as collateral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and may be assigned by the Holder without the consent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governed by and construed in accordance with the laws of the Commonwealth of Virginia without regard to principles of conflicts of laws. Any action brought by either party against the other concerning the transactions contemplated by this Note shall be brought only in the Circuit Court of Fairfax County, Virginia or in the Alexandria Division of the United States District Court for the Eastern District of Virginia. The parties to this Note hereby irrevocably waive any objection to jurisdiction and venue of any action instituted hereunder and shall not assert any objection or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Borrower and Holder waive trial by jury. The Holder shall be entitled to recover from the Borrower its reasonable attorney's fees and costs incurred in connection with or related to any Event of Default by the Borrower, as defined in Article III hereof. In the event that any provision of this Note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hereof or any agreement delivered in connection herewith. Each party hereby irrevocably waives personal service of process and consents to process being served in any suit, action or proceeding in connection with this Note, any agreement or any other document delivered in connection with this Note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its acceptance of this Note, each party agrees to be bound by the applicable terms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has caused this Note to be signed in its name by its duly authorized officer this on June 2, 2026</w:t>
      </w:r>
    </w:p>
    <w:p>
      <w:pPr>
        <w:pStyle w:val="TextBody"/>
        <w:bidi w:val="0"/>
        <w:spacing w:before="0" w:after="0"/>
        <w:ind w:left="359"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359"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335"/>
        <w:gridCol w:w="207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75"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Wing Fung Alfred Siu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359"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11"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811"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$__________ principal amount of the Note (defined below) into that number of shares of Class A Ordinary Shares to be issued pursuant to the conversion of the Note (“Class A Ordinary Shares”) as set forth below, of NEWGENIVF GROUP LIMITED, a British Virgin Islands corporation (the “Borrower”) according to the conditions of the convertible note of the Borrower dated as of June 2, 2026 (the “Note”), as of the date written below. No fee will be charged to the Holder for any conversion, except for transfer taxes, if any.</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Class A Ordinary Shares issuable pursuant to this Notice of Conversion to the account of the undersigned or its nominee with DTC through its Deposit Withdrawal Agent Commission system (“DWAC Transfer”).</w:t>
      </w:r>
    </w:p>
    <w:p>
      <w:pPr>
        <w:pStyle w:val="TextBody"/>
        <w:bidi w:val="0"/>
        <w:spacing w:before="0" w:after="0"/>
        <w:ind w:left="2520" w:right="0" w:hanging="0"/>
        <w:jc w:val="left"/>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Class A Ordinary Shares set forth below (which numbers are based on the Holder’s calculation attached hereto) in the name(s) specified immediately below or, if additional space is necessary, on an attachment hereto:</w:t>
      </w:r>
    </w:p>
    <w:p>
      <w:pPr>
        <w:pStyle w:val="TextBody"/>
        <w:bidi w:val="0"/>
        <w:spacing w:before="0" w:after="0"/>
        <w:ind w:left="1800" w:right="0" w:firstLine="720"/>
        <w:jc w:val="both"/>
        <w:rPr>
          <w:caps w:val="false"/>
          <w:smallCaps w:val="false"/>
        </w:rPr>
      </w:pPr>
      <w:r>
        <w:rPr>
          <w:caps w:val="false"/>
          <w:smallCaps w:val="false"/>
        </w:rPr>
        <w:t> </w:t>
      </w:r>
    </w:p>
    <w:tbl>
      <w:tblPr>
        <w:tblW w:w="9507" w:type="dxa"/>
        <w:jc w:val="left"/>
        <w:tblInd w:w="0" w:type="dxa"/>
        <w:tblLayout w:type="fixed"/>
        <w:tblCellMar>
          <w:top w:w="0" w:type="dxa"/>
          <w:left w:w="0" w:type="dxa"/>
          <w:bottom w:w="0" w:type="dxa"/>
          <w:right w:w="0" w:type="dxa"/>
        </w:tblCellMar>
      </w:tblPr>
      <w:tblGrid>
        <w:gridCol w:w="75"/>
        <w:gridCol w:w="7610"/>
        <w:gridCol w:w="1822"/>
      </w:tblGrid>
      <w:tr>
        <w:trPr/>
        <w:tc>
          <w:tcPr>
            <w:tcW w:w="75"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sz w:val="20"/>
              </w:rPr>
            </w:pPr>
            <w:r>
              <w:rPr>
                <w:sz w:val="20"/>
              </w:rPr>
              <w:t>Date of conversion:</w:t>
            </w:r>
          </w:p>
        </w:tc>
        <w:tc>
          <w:tcPr>
            <w:tcW w:w="182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sz w:val="20"/>
              </w:rPr>
            </w:pPr>
            <w:r>
              <w:rPr>
                <w:sz w:val="20"/>
              </w:rPr>
              <w:t>Applicable Conversion Price:</w:t>
            </w:r>
          </w:p>
        </w:tc>
        <w:tc>
          <w:tcPr>
            <w:tcW w:w="1822" w:type="dxa"/>
            <w:tcBorders/>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jc w:val="left"/>
              <w:rPr/>
            </w:pPr>
            <w:r>
              <w:rPr/>
              <w:t> </w:t>
            </w:r>
          </w:p>
        </w:tc>
        <w:tc>
          <w:tcPr>
            <w:tcW w:w="7610" w:type="dxa"/>
            <w:tcBorders/>
            <w:vAlign w:val="center"/>
          </w:tcPr>
          <w:p>
            <w:pPr>
              <w:pStyle w:val="TableContents"/>
              <w:pBdr/>
              <w:bidi w:val="0"/>
              <w:spacing w:before="0" w:after="283"/>
              <w:ind w:left="0" w:right="0" w:hanging="540"/>
              <w:jc w:val="both"/>
              <w:rPr>
                <w:sz w:val="20"/>
              </w:rPr>
            </w:pPr>
            <w:r>
              <w:rPr>
                <w:sz w:val="20"/>
              </w:rPr>
              <w:t>Number of shares of Class A Ordinary Shares to be issued pursuant to conversion of the Notes:</w:t>
            </w:r>
          </w:p>
        </w:tc>
        <w:tc>
          <w:tcPr>
            <w:tcW w:w="1822" w:type="dxa"/>
            <w:tcBorders>
              <w:bottom w:val="single" w:sz="1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1747"/>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822" w:type="dxa"/>
            <w:tcBorders>
              <w:bottom w:val="single" w:sz="1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1747"/>
              <w:jc w:val="right"/>
              <w:rPr>
                <w:caps w:val="false"/>
                <w:smallCaps w:val="false"/>
              </w:rPr>
            </w:pPr>
            <w:r>
              <w:rPr>
                <w:caps w:val="false"/>
                <w:smallCaps w:val="false"/>
              </w:rPr>
              <w:t> </w:t>
            </w:r>
          </w:p>
        </w:tc>
      </w:tr>
    </w:tbl>
    <w:p>
      <w:pPr>
        <w:pStyle w:val="TextBody"/>
        <w:bidi w:val="0"/>
        <w:spacing w:before="0" w:after="0"/>
        <w:ind w:left="180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306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9" w:name="ea030132501ex10-57.htm"/>
      <w:bookmarkStart w:id="70" w:name="ksea030132501ex1057"/>
      <w:bookmarkEnd w:id="69"/>
      <w:bookmarkEnd w:id="70"/>
      <w:r>
        <w:rPr>
          <w:rFonts w:ascii="Times New Roman;Times;Serif" w:hAnsi="Times New Roman;Times;Serif"/>
          <w:b/>
          <w:i w:val="false"/>
          <w:caps w:val="false"/>
          <w:smallCaps w:val="false"/>
          <w:sz w:val="20"/>
        </w:rPr>
        <w:t>Exhibit 10.57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REPURCHASE AND FORBEARANCE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Repurchase and Forbearance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June 15, 2026, is by and between NewGenIvf Group Limited, a business company incorporated under the laws of the British Virgin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smallCaps/>
          <w:sz w:val="20"/>
        </w:rPr>
        <w:t xml:space="preserve">JAK </w:t>
      </w:r>
      <w:r>
        <w:rPr>
          <w:rFonts w:ascii="Times New Roman;Times;Serif" w:hAnsi="Times New Roman;Times;Serif"/>
          <w:b w:val="false"/>
          <w:i w:val="false"/>
          <w:caps w:val="false"/>
          <w:smallCaps w:val="false"/>
          <w:sz w:val="20"/>
        </w:rPr>
        <w:t xml:space="preserve">Opportunities </w:t>
      </w:r>
      <w:r>
        <w:rPr>
          <w:rFonts w:ascii="Times New Roman;Times;Serif" w:hAnsi="Times New Roman;Times;Serif"/>
          <w:b w:val="false"/>
          <w:i w:val="false"/>
          <w:smallCaps/>
          <w:sz w:val="20"/>
        </w:rPr>
        <w:t>VI LLC</w:t>
      </w:r>
      <w:r>
        <w:rPr>
          <w:rFonts w:ascii="Times New Roman;Times;Serif" w:hAnsi="Times New Roman;Times;Serif"/>
          <w:b w:val="false"/>
          <w:i w:val="false"/>
          <w:caps w:val="false"/>
          <w:smallCaps w:val="false"/>
          <w:sz w:val="20"/>
        </w:rPr>
        <w:t>, a Delaware limited liability company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The Company and the Investor are referred to herein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Capitalized terms not defined herein shall have the meaning as set forth in the Existing Securities Purchase Agreements (as defined below),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August 7, 2024, the Parties entered into that certain Securities Purchase Agreement (as amended, modified or waived prior to the date hereof, the “</w:t>
      </w:r>
      <w:r>
        <w:rPr>
          <w:rFonts w:ascii="Times New Roman;Times;Serif" w:hAnsi="Times New Roman;Times;Serif"/>
          <w:b/>
          <w:i w:val="false"/>
          <w:caps w:val="false"/>
          <w:smallCaps w:val="false"/>
          <w:sz w:val="20"/>
        </w:rPr>
        <w:t>2024 Securities Purchase Agreement</w:t>
      </w:r>
      <w:r>
        <w:rPr>
          <w:rFonts w:ascii="Times New Roman;Times;Serif" w:hAnsi="Times New Roman;Times;Serif"/>
          <w:b w:val="false"/>
          <w:i w:val="false"/>
          <w:caps w:val="false"/>
          <w:smallCaps w:val="false"/>
          <w:sz w:val="20"/>
        </w:rPr>
        <w:t>”), pursuant to which, among other things, the Company issued to the Investor (i) that certain senior convertible note of the Company, dated as of July 16, 2025, in the aggregate original principal amount of $2,000,000 (as amended, modified or waived prior to the date hereof, the “</w:t>
      </w:r>
      <w:r>
        <w:rPr>
          <w:rFonts w:ascii="Times New Roman;Times;Serif" w:hAnsi="Times New Roman;Times;Serif"/>
          <w:b/>
          <w:i w:val="false"/>
          <w:caps w:val="false"/>
          <w:smallCaps w:val="false"/>
          <w:sz w:val="20"/>
        </w:rPr>
        <w:t>2024 Note</w:t>
      </w:r>
      <w:r>
        <w:rPr>
          <w:rFonts w:ascii="Times New Roman;Times;Serif" w:hAnsi="Times New Roman;Times;Serif"/>
          <w:b w:val="false"/>
          <w:i w:val="false"/>
          <w:caps w:val="false"/>
          <w:smallCaps w:val="false"/>
          <w:sz w:val="20"/>
        </w:rPr>
        <w:t>”) and (ii) certain Warrants (as defined in the 2024 Securities Purchase Agreement) (as amended, modified or waived prior to the date hereof, collectively, the “</w:t>
      </w:r>
      <w:r>
        <w:rPr>
          <w:rFonts w:ascii="Times New Roman;Times;Serif" w:hAnsi="Times New Roman;Times;Serif"/>
          <w:b/>
          <w:i w:val="false"/>
          <w:caps w:val="false"/>
          <w:smallCaps w:val="false"/>
          <w:sz w:val="20"/>
        </w:rPr>
        <w:t>Original Warrants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April 1, 2025, the Parties entered into that certain Securities Purchase Agreement (as amended, modified or waived prior to the date hereof, the “</w:t>
      </w:r>
      <w:r>
        <w:rPr>
          <w:rFonts w:ascii="Times New Roman;Times;Serif" w:hAnsi="Times New Roman;Times;Serif"/>
          <w:b/>
          <w:i w:val="false"/>
          <w:caps w:val="false"/>
          <w:smallCaps w:val="false"/>
          <w:sz w:val="20"/>
        </w:rPr>
        <w:t>2025 Securities Purchase Agreement</w:t>
      </w:r>
      <w:r>
        <w:rPr>
          <w:rFonts w:ascii="Times New Roman;Times;Serif" w:hAnsi="Times New Roman;Times;Serif"/>
          <w:b w:val="false"/>
          <w:i w:val="false"/>
          <w:caps w:val="false"/>
          <w:smallCaps w:val="false"/>
          <w:sz w:val="20"/>
        </w:rPr>
        <w:t>”, and together with the 2024 Securities Purchase Agreement, the “</w:t>
      </w:r>
      <w:r>
        <w:rPr>
          <w:rFonts w:ascii="Times New Roman;Times;Serif" w:hAnsi="Times New Roman;Times;Serif"/>
          <w:b/>
          <w:i w:val="false"/>
          <w:caps w:val="false"/>
          <w:smallCaps w:val="false"/>
          <w:sz w:val="20"/>
        </w:rPr>
        <w:t>Existing Securities Purchase Agreements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rPr>
        <w:t>Existing Securities Purchase Agreement</w:t>
      </w:r>
      <w:r>
        <w:rPr>
          <w:rFonts w:ascii="Times New Roman;Times;Serif" w:hAnsi="Times New Roman;Times;Serif"/>
          <w:b w:val="false"/>
          <w:i w:val="false"/>
          <w:caps w:val="false"/>
          <w:smallCaps w:val="false"/>
          <w:sz w:val="20"/>
        </w:rPr>
        <w:t>”), pursuant to which, among other things, the Company issued to the Investor that certain senior convertible note of the Company, dated as of June 3, 2025, in the aggregate original principal amount of $3,200,000 (as amended, modified or waived prior to the date hereof, the “</w:t>
      </w:r>
      <w:r>
        <w:rPr>
          <w:rFonts w:ascii="Times New Roman;Times;Serif" w:hAnsi="Times New Roman;Times;Serif"/>
          <w:b/>
          <w:i w:val="false"/>
          <w:caps w:val="false"/>
          <w:smallCaps w:val="false"/>
          <w:sz w:val="20"/>
        </w:rPr>
        <w:t>2025 Note</w:t>
      </w:r>
      <w:r>
        <w:rPr>
          <w:rFonts w:ascii="Times New Roman;Times;Serif" w:hAnsi="Times New Roman;Times;Serif"/>
          <w:b w:val="false"/>
          <w:i w:val="false"/>
          <w:caps w:val="false"/>
          <w:smallCaps w:val="false"/>
          <w:sz w:val="20"/>
        </w:rPr>
        <w:t>”, and together with the 2024 Note, the “</w:t>
      </w:r>
      <w:r>
        <w:rPr>
          <w:rFonts w:ascii="Times New Roman;Times;Serif" w:hAnsi="Times New Roman;Times;Serif"/>
          <w:b/>
          <w:i w:val="false"/>
          <w:caps w:val="false"/>
          <w:smallCaps w:val="false"/>
          <w:sz w:val="20"/>
        </w:rPr>
        <w:t>Original Notes</w:t>
      </w:r>
      <w:r>
        <w:rPr>
          <w:rFonts w:ascii="Times New Roman;Times;Serif" w:hAnsi="Times New Roman;Times;Serif"/>
          <w:b w:val="false"/>
          <w:i w:val="false"/>
          <w:caps w:val="false"/>
          <w:smallCaps w:val="false"/>
          <w:sz w:val="20"/>
        </w:rPr>
        <w:t>”, and collectively with the Original Warrants, the “</w:t>
      </w:r>
      <w:r>
        <w:rPr>
          <w:rFonts w:ascii="Times New Roman;Times;Serif" w:hAnsi="Times New Roman;Times;Serif"/>
          <w:b/>
          <w:i w:val="false"/>
          <w:caps w:val="false"/>
          <w:smallCaps w:val="false"/>
          <w:sz w:val="20"/>
        </w:rPr>
        <w:t>Original Securities</w:t>
      </w:r>
      <w:r>
        <w:rPr>
          <w:rFonts w:ascii="Times New Roman;Times;Serif" w:hAnsi="Times New Roman;Times;Serif"/>
          <w:b w:val="false"/>
          <w:i w:val="false"/>
          <w:caps w:val="false"/>
          <w:smallCaps w:val="false"/>
          <w:sz w:val="20"/>
        </w:rPr>
        <w:t>”). The Original Securities and the Existing Securities Purchase Agreements are collectively referred to herein as the “</w:t>
      </w:r>
      <w:r>
        <w:rPr>
          <w:rFonts w:ascii="Times New Roman;Times;Serif" w:hAnsi="Times New Roman;Times;Serif"/>
          <w:b/>
          <w:i w:val="false"/>
          <w:caps w:val="false"/>
          <w:smallCaps w:val="false"/>
          <w:sz w:val="20"/>
        </w:rPr>
        <w:t>Existing Transaction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Pursuant to Section 1(b)(ii) of the 2024 Securities Purchase Agreement, the Company may sell to the Investor, and the Investor may purchase from the Company, one or more Additional Notes in one or more Additional Closings (the “</w:t>
      </w:r>
      <w:r>
        <w:rPr>
          <w:rFonts w:ascii="Times New Roman;Times;Serif" w:hAnsi="Times New Roman;Times;Serif"/>
          <w:b/>
          <w:i w:val="false"/>
          <w:caps w:val="false"/>
          <w:smallCaps w:val="false"/>
          <w:sz w:val="20"/>
        </w:rPr>
        <w:t>2024 Additional Closing Option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Section 1(b)(ii) of the 2025 Securities Purchase Agreement, the Company may sell to the Investor, and the Investor may purchase from the Company, one or more Additional Notes in one or more Additional Closings (the “</w:t>
      </w:r>
      <w:r>
        <w:rPr>
          <w:rFonts w:ascii="Times New Roman;Times;Serif" w:hAnsi="Times New Roman;Times;Serif"/>
          <w:b/>
          <w:i w:val="false"/>
          <w:caps w:val="false"/>
          <w:smallCaps w:val="false"/>
          <w:sz w:val="20"/>
        </w:rPr>
        <w:t>2025 Additional Closing Option</w:t>
      </w:r>
      <w:r>
        <w:rPr>
          <w:rFonts w:ascii="Times New Roman;Times;Serif" w:hAnsi="Times New Roman;Times;Serif"/>
          <w:b w:val="false"/>
          <w:i w:val="false"/>
          <w:caps w:val="false"/>
          <w:smallCaps w:val="false"/>
          <w:sz w:val="20"/>
        </w:rPr>
        <w:t>”, and together with the 2024 Additional Closing Option, the “</w:t>
      </w:r>
      <w:r>
        <w:rPr>
          <w:rFonts w:ascii="Times New Roman;Times;Serif" w:hAnsi="Times New Roman;Times;Serif"/>
          <w:b/>
          <w:i w:val="false"/>
          <w:caps w:val="false"/>
          <w:smallCaps w:val="false"/>
          <w:sz w:val="20"/>
        </w:rPr>
        <w:t>Additional Closing Options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the Investor holds Original Notes with such aggregate amounts outstanding thereunder (the “</w:t>
      </w:r>
      <w:r>
        <w:rPr>
          <w:rFonts w:ascii="Times New Roman;Times;Serif" w:hAnsi="Times New Roman;Times;Serif"/>
          <w:b/>
          <w:i w:val="false"/>
          <w:caps w:val="false"/>
          <w:smallCaps w:val="false"/>
          <w:sz w:val="20"/>
        </w:rPr>
        <w:t>Purchased Note Amount</w:t>
      </w:r>
      <w:r>
        <w:rPr>
          <w:rFonts w:ascii="Times New Roman;Times;Serif" w:hAnsi="Times New Roman;Times;Serif"/>
          <w:b w:val="false"/>
          <w:i w:val="false"/>
          <w:caps w:val="false"/>
          <w:smallCaps w:val="false"/>
          <w:sz w:val="20"/>
        </w:rPr>
        <w:t>”) as set forth on the signature page of the Investor attached hereto (collectively, the “</w:t>
      </w:r>
      <w:r>
        <w:rPr>
          <w:rFonts w:ascii="Times New Roman;Times;Serif" w:hAnsi="Times New Roman;Times;Serif"/>
          <w:b/>
          <w:i w:val="false"/>
          <w:caps w:val="false"/>
          <w:smallCaps w:val="false"/>
          <w:sz w:val="20"/>
        </w:rPr>
        <w:t>Purchased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As of the date hereof, the Investor holds Original Warrants exercisable into such aggregate number (the “</w:t>
      </w:r>
      <w:r>
        <w:rPr>
          <w:rFonts w:ascii="Times New Roman;Times;Serif" w:hAnsi="Times New Roman;Times;Serif"/>
          <w:b/>
          <w:i w:val="false"/>
          <w:caps w:val="false"/>
          <w:smallCaps w:val="false"/>
          <w:sz w:val="20"/>
        </w:rPr>
        <w:t>Purchased Warrant Number</w:t>
      </w:r>
      <w:r>
        <w:rPr>
          <w:rFonts w:ascii="Times New Roman;Times;Serif" w:hAnsi="Times New Roman;Times;Serif"/>
          <w:b w:val="false"/>
          <w:i w:val="false"/>
          <w:caps w:val="false"/>
          <w:smallCaps w:val="false"/>
          <w:sz w:val="20"/>
        </w:rPr>
        <w:t>”) of Ordinary Shares (without regard to any limitations on exercise set forth therein) as set forth on the signature page of the Investor attached hereto (collectively, the “</w:t>
      </w:r>
      <w:r>
        <w:rPr>
          <w:rFonts w:ascii="Times New Roman;Times;Serif" w:hAnsi="Times New Roman;Times;Serif"/>
          <w:b/>
          <w:i w:val="false"/>
          <w:caps w:val="false"/>
          <w:smallCaps w:val="false"/>
          <w:sz w:val="20"/>
        </w:rPr>
        <w:t>Purchased Warrants</w:t>
      </w:r>
      <w:r>
        <w:rPr>
          <w:rFonts w:ascii="Times New Roman;Times;Serif" w:hAnsi="Times New Roman;Times;Serif"/>
          <w:b w:val="false"/>
          <w:i w:val="false"/>
          <w:caps w:val="false"/>
          <w:smallCaps w:val="false"/>
          <w:sz w:val="20"/>
        </w:rPr>
        <w:t>”, and together with the Purchased Notes, the “</w:t>
      </w:r>
      <w:r>
        <w:rPr>
          <w:rFonts w:ascii="Times New Roman;Times;Serif" w:hAnsi="Times New Roman;Times;Serif"/>
          <w:b/>
          <w:i w:val="false"/>
          <w:caps w:val="false"/>
          <w:smallCaps w:val="false"/>
          <w:sz w:val="20"/>
        </w:rPr>
        <w:t>Purchased Securities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Parties desire to enter into this Agreement, pursuant to which, among other things, the Company shall (i) repurchase from the Investor, and the Investor shall sell to the Company, the Original Notes at an aggregate purchase price of $4,531,250 (the “</w:t>
      </w:r>
      <w:r>
        <w:rPr>
          <w:rFonts w:ascii="Times New Roman;Times;Serif" w:hAnsi="Times New Roman;Times;Serif"/>
          <w:b/>
          <w:i w:val="false"/>
          <w:caps w:val="false"/>
          <w:smallCaps w:val="false"/>
          <w:sz w:val="20"/>
        </w:rPr>
        <w:t>Note Purchase Price</w:t>
      </w:r>
      <w:r>
        <w:rPr>
          <w:rFonts w:ascii="Times New Roman;Times;Serif" w:hAnsi="Times New Roman;Times;Serif"/>
          <w:b w:val="false"/>
          <w:i w:val="false"/>
          <w:caps w:val="false"/>
          <w:smallCaps w:val="false"/>
          <w:sz w:val="20"/>
        </w:rPr>
        <w:t>”), (ii) repurchase from the Investor, and the Investor shall sell to the Company, the Purchased Warrants at an aggregate purchase price of $600,000 (the “</w:t>
      </w:r>
      <w:r>
        <w:rPr>
          <w:rFonts w:ascii="Times New Roman;Times;Serif" w:hAnsi="Times New Roman;Times;Serif"/>
          <w:b/>
          <w:i w:val="false"/>
          <w:caps w:val="false"/>
          <w:smallCaps w:val="false"/>
          <w:sz w:val="20"/>
        </w:rPr>
        <w:t>Warrant Purchase Price</w:t>
      </w:r>
      <w:r>
        <w:rPr>
          <w:rFonts w:ascii="Times New Roman;Times;Serif" w:hAnsi="Times New Roman;Times;Serif"/>
          <w:b w:val="false"/>
          <w:i w:val="false"/>
          <w:caps w:val="false"/>
          <w:smallCaps w:val="false"/>
          <w:sz w:val="20"/>
        </w:rPr>
        <w:t>”), and (iii) pay to the Investor an aggregate amount of $2,250,000 (the “</w:t>
      </w:r>
      <w:r>
        <w:rPr>
          <w:rFonts w:ascii="Times New Roman;Times;Serif" w:hAnsi="Times New Roman;Times;Serif"/>
          <w:b/>
          <w:i w:val="false"/>
          <w:caps w:val="false"/>
          <w:smallCaps w:val="false"/>
          <w:sz w:val="20"/>
        </w:rPr>
        <w:t>Forbearance Payment Amount</w:t>
      </w:r>
      <w:r>
        <w:rPr>
          <w:rFonts w:ascii="Times New Roman;Times;Serif" w:hAnsi="Times New Roman;Times;Serif"/>
          <w:b w:val="false"/>
          <w:i w:val="false"/>
          <w:caps w:val="false"/>
          <w:smallCaps w:val="false"/>
          <w:sz w:val="20"/>
        </w:rPr>
        <w:t>”, and together with the Note Purchase Price and the Warrant Purchase Price, each, a “</w:t>
      </w:r>
      <w:r>
        <w:rPr>
          <w:rFonts w:ascii="Times New Roman;Times;Serif" w:hAnsi="Times New Roman;Times;Serif"/>
          <w:b/>
          <w:i w:val="false"/>
          <w:caps w:val="false"/>
          <w:smallCaps w:val="false"/>
          <w:sz w:val="20"/>
        </w:rPr>
        <w:t>Payment Amount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Aggregate Payment Amount</w:t>
      </w:r>
      <w:r>
        <w:rPr>
          <w:rFonts w:ascii="Times New Roman;Times;Serif" w:hAnsi="Times New Roman;Times;Serif"/>
          <w:b w:val="false"/>
          <w:i w:val="false"/>
          <w:caps w:val="false"/>
          <w:smallCaps w:val="false"/>
          <w:sz w:val="20"/>
        </w:rPr>
        <w:t>”) to (x) forbear the Additional Closing Options and (y) subject to payment of the Aggregate Payment Amount, waive the Additional Closing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contained herein, and for other good and valuable consideration, the receipt and sufficiency of which is hereby acknowledge,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Repurchase and Cancellation of Purchased Notes</w:t>
      </w:r>
      <w:r>
        <w:rPr>
          <w:rFonts w:ascii="Times New Roman;Times;Serif" w:hAnsi="Times New Roman;Times;Serif"/>
          <w:b w:val="false"/>
          <w:i w:val="false"/>
          <w:caps w:val="false"/>
          <w:smallCaps w:val="false"/>
          <w:sz w:val="20"/>
        </w:rPr>
        <w:t xml:space="preserve">. On each date set forth in column (1) of </w:t>
      </w:r>
      <w:r>
        <w:rPr>
          <w:rFonts w:ascii="Times New Roman;Times;Serif" w:hAnsi="Times New Roman;Times;Serif"/>
          <w:b/>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i w:val="false"/>
          <w:caps w:val="false"/>
          <w:smallCaps w:val="false"/>
          <w:sz w:val="20"/>
        </w:rPr>
        <w:t>Installment Schedule</w:t>
      </w:r>
      <w:r>
        <w:rPr>
          <w:rFonts w:ascii="Times New Roman;Times;Serif" w:hAnsi="Times New Roman;Times;Serif"/>
          <w:b w:val="false"/>
          <w:i w:val="false"/>
          <w:caps w:val="false"/>
          <w:smallCaps w:val="false"/>
          <w:sz w:val="20"/>
        </w:rPr>
        <w:t>”, and each such date, an “</w:t>
      </w:r>
      <w:r>
        <w:rPr>
          <w:rFonts w:ascii="Times New Roman;Times;Serif" w:hAnsi="Times New Roman;Times;Serif"/>
          <w:b/>
          <w:i w:val="false"/>
          <w:caps w:val="false"/>
          <w:smallCaps w:val="false"/>
          <w:sz w:val="20"/>
        </w:rPr>
        <w:t>Installment Date</w:t>
      </w:r>
      <w:r>
        <w:rPr>
          <w:rFonts w:ascii="Times New Roman;Times;Serif" w:hAnsi="Times New Roman;Times;Serif"/>
          <w:b w:val="false"/>
          <w:i w:val="false"/>
          <w:caps w:val="false"/>
          <w:smallCaps w:val="false"/>
          <w:sz w:val="20"/>
        </w:rPr>
        <w:t>”), the Company shall pay to the Investor, subject the terms and conditions set forth herein, such portion of the Note Purchase Price equal to such note installment amount set forth opposite such Installment Date in column (2) of the Installment Schedule (each, a “</w:t>
      </w:r>
      <w:r>
        <w:rPr>
          <w:rFonts w:ascii="Times New Roman;Times;Serif" w:hAnsi="Times New Roman;Times;Serif"/>
          <w:b/>
          <w:i w:val="false"/>
          <w:caps w:val="false"/>
          <w:smallCaps w:val="false"/>
          <w:sz w:val="20"/>
        </w:rPr>
        <w:t>Note Installment Amount</w:t>
      </w:r>
      <w:r>
        <w:rPr>
          <w:rFonts w:ascii="Times New Roman;Times;Serif" w:hAnsi="Times New Roman;Times;Serif"/>
          <w:b w:val="false"/>
          <w:i w:val="false"/>
          <w:caps w:val="false"/>
          <w:smallCaps w:val="false"/>
          <w:sz w:val="20"/>
        </w:rPr>
        <w:t>”) by wire transfer of immediately available funds in U.S. dollars. Effective as of such date that the Company shall have paid the Note Purchase Price, in full, to the Investor, the Investor hereby sells, assigns, delivers and transfers to the Company all of its right, title and interest in and to the Purchased Notes (the “</w:t>
      </w:r>
      <w:r>
        <w:rPr>
          <w:rFonts w:ascii="Times New Roman;Times;Serif" w:hAnsi="Times New Roman;Times;Serif"/>
          <w:b/>
          <w:i w:val="false"/>
          <w:caps w:val="false"/>
          <w:smallCaps w:val="false"/>
          <w:sz w:val="20"/>
        </w:rPr>
        <w:t>Note Repurchase</w:t>
      </w:r>
      <w:r>
        <w:rPr>
          <w:rFonts w:ascii="Times New Roman;Times;Serif" w:hAnsi="Times New Roman;Times;Serif"/>
          <w:b w:val="false"/>
          <w:i w:val="false"/>
          <w:caps w:val="false"/>
          <w:smallCaps w:val="false"/>
          <w:sz w:val="20"/>
        </w:rPr>
        <w:t>”), which shall thereafter be cancelled by the Company. Effective as of the Effective Time (as defined below), the Investor hereby agrees to forbear from converting all, or any portion, of the Purchased Notes unless or until (x) any breach or default by the Company of any term of this Agreement occurs and remains uncured for a period of at least three (3) Trading Days (each, a “</w:t>
      </w:r>
      <w:r>
        <w:rPr>
          <w:rFonts w:ascii="Times New Roman;Times;Serif" w:hAnsi="Times New Roman;Times;Serif"/>
          <w:b/>
          <w:i w:val="false"/>
          <w:caps w:val="false"/>
          <w:smallCaps w:val="false"/>
          <w:sz w:val="20"/>
        </w:rPr>
        <w:t>Cure Period</w:t>
      </w:r>
      <w:r>
        <w:rPr>
          <w:rFonts w:ascii="Times New Roman;Times;Serif" w:hAnsi="Times New Roman;Times;Serif"/>
          <w:b w:val="false"/>
          <w:i w:val="false"/>
          <w:caps w:val="false"/>
          <w:smallCaps w:val="false"/>
          <w:sz w:val="20"/>
        </w:rPr>
        <w:t>”, and each such uncured breach or default, a “</w:t>
      </w:r>
      <w:r>
        <w:rPr>
          <w:rFonts w:ascii="Times New Roman;Times;Serif" w:hAnsi="Times New Roman;Times;Serif"/>
          <w:b/>
          <w:i w:val="false"/>
          <w:caps w:val="false"/>
          <w:smallCaps w:val="false"/>
          <w:sz w:val="20"/>
        </w:rPr>
        <w:t>Forbearance Default</w:t>
      </w:r>
      <w:r>
        <w:rPr>
          <w:rFonts w:ascii="Times New Roman;Times;Serif" w:hAnsi="Times New Roman;Times;Serif"/>
          <w:b w:val="false"/>
          <w:i w:val="false"/>
          <w:caps w:val="false"/>
          <w:smallCaps w:val="false"/>
          <w:sz w:val="20"/>
        </w:rPr>
        <w:t>”), (y) the occurrence of any Event of Default (as defined in the Purchased Notes), regardless of whether such Event of Default is subsequently cured (and together with each Forbearance Default, each, a “</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or (z) such time as the Purchased Notes are no longer outstanding (the “</w:t>
      </w:r>
      <w:r>
        <w:rPr>
          <w:rFonts w:ascii="Times New Roman;Times;Serif" w:hAnsi="Times New Roman;Times;Serif"/>
          <w:b/>
          <w:i w:val="false"/>
          <w:caps w:val="false"/>
          <w:smallCaps w:val="false"/>
          <w:sz w:val="20"/>
        </w:rPr>
        <w:t>Conversion Forbearance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Repurchase and Cancellation of Purchased Warrants</w:t>
      </w:r>
      <w:r>
        <w:rPr>
          <w:rFonts w:ascii="Times New Roman;Times;Serif" w:hAnsi="Times New Roman;Times;Serif"/>
          <w:b w:val="false"/>
          <w:i w:val="false"/>
          <w:caps w:val="false"/>
          <w:smallCaps w:val="false"/>
          <w:sz w:val="20"/>
        </w:rPr>
        <w:t>. On each Installment Dat</w:t>
      </w: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the Company shall pay to the Investor, subject the terms and conditions set forth herein, such portion of the Warrant Purchase Price equal to such warrant installment amount set forth opposite such Installment Date in column (3) of the Installment Schedule (each, a “</w:t>
      </w:r>
      <w:r>
        <w:rPr>
          <w:rFonts w:ascii="Times New Roman;Times;Serif" w:hAnsi="Times New Roman;Times;Serif"/>
          <w:b/>
          <w:i w:val="false"/>
          <w:caps w:val="false"/>
          <w:smallCaps w:val="false"/>
          <w:sz w:val="20"/>
        </w:rPr>
        <w:t>Warrant Installment Amount</w:t>
      </w:r>
      <w:r>
        <w:rPr>
          <w:rFonts w:ascii="Times New Roman;Times;Serif" w:hAnsi="Times New Roman;Times;Serif"/>
          <w:b w:val="false"/>
          <w:i w:val="false"/>
          <w:caps w:val="false"/>
          <w:smallCaps w:val="false"/>
          <w:sz w:val="20"/>
        </w:rPr>
        <w:t>”) by wire transfer of immediately available funds in U.S. dollars. Effective as of such date that the Company shall have paid the Warrant Purchase Price, in full, to the Investor, the Investor hereby sells, assigns, delivers and transfers to the Company all of its right, title and interest in and to the Purchased Warrants (the “</w:t>
      </w:r>
      <w:r>
        <w:rPr>
          <w:rFonts w:ascii="Times New Roman;Times;Serif" w:hAnsi="Times New Roman;Times;Serif"/>
          <w:b/>
          <w:i w:val="false"/>
          <w:caps w:val="false"/>
          <w:smallCaps w:val="false"/>
          <w:sz w:val="20"/>
        </w:rPr>
        <w:t>Warrant Repurchase</w:t>
      </w:r>
      <w:r>
        <w:rPr>
          <w:rFonts w:ascii="Times New Roman;Times;Serif" w:hAnsi="Times New Roman;Times;Serif"/>
          <w:b w:val="false"/>
          <w:i w:val="false"/>
          <w:caps w:val="false"/>
          <w:smallCaps w:val="false"/>
          <w:sz w:val="20"/>
        </w:rPr>
        <w:t>”), which shall thereafter be cancelled by the Company. Effective as of the Effective Time, the Investor hereby agrees to forbear from exercising all or any portion of the Purchased Warrants unless or until (x) any Default occurs or (y) such time as the Purchased Warrants are no longer outstanding (the “</w:t>
      </w:r>
      <w:r>
        <w:rPr>
          <w:rFonts w:ascii="Times New Roman;Times;Serif" w:hAnsi="Times New Roman;Times;Serif"/>
          <w:b/>
          <w:i w:val="false"/>
          <w:caps w:val="false"/>
          <w:smallCaps w:val="false"/>
          <w:sz w:val="20"/>
        </w:rPr>
        <w:t>Exercise Forbearance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Forbearance Payments.</w:t>
      </w:r>
      <w:r>
        <w:rPr>
          <w:rFonts w:ascii="Times New Roman;Times;Serif" w:hAnsi="Times New Roman;Times;Serif"/>
          <w:b w:val="false"/>
          <w:i w:val="false"/>
          <w:caps w:val="false"/>
          <w:smallCaps w:val="false"/>
          <w:sz w:val="20"/>
        </w:rPr>
        <w:t xml:space="preserve"> On each Installment Date, the Company shall pay the Investor, subject the terms and conditions set forth herein, a portion of the Forbearance Payment Amount equal to such forbearance installment amount set forth opposite such Installment Date in column (4) of the Installment Schedule (each, a “</w:t>
      </w:r>
      <w:r>
        <w:rPr>
          <w:rFonts w:ascii="Times New Roman;Times;Serif" w:hAnsi="Times New Roman;Times;Serif"/>
          <w:b/>
          <w:i w:val="false"/>
          <w:caps w:val="false"/>
          <w:smallCaps w:val="false"/>
          <w:sz w:val="20"/>
        </w:rPr>
        <w:t>Forbearance Installment Amount</w:t>
      </w:r>
      <w:r>
        <w:rPr>
          <w:rFonts w:ascii="Times New Roman;Times;Serif" w:hAnsi="Times New Roman;Times;Serif"/>
          <w:b w:val="false"/>
          <w:i w:val="false"/>
          <w:caps w:val="false"/>
          <w:smallCaps w:val="false"/>
          <w:sz w:val="20"/>
        </w:rPr>
        <w:t>”, and together with the Note Installment Amounts and Warrant Installment Amounts, each, an “</w:t>
      </w:r>
      <w:r>
        <w:rPr>
          <w:rFonts w:ascii="Times New Roman;Times;Serif" w:hAnsi="Times New Roman;Times;Serif"/>
          <w:b/>
          <w:i w:val="false"/>
          <w:caps w:val="false"/>
          <w:smallCaps w:val="false"/>
          <w:sz w:val="20"/>
        </w:rPr>
        <w:t>Installment Amount</w:t>
      </w:r>
      <w:r>
        <w:rPr>
          <w:rFonts w:ascii="Times New Roman;Times;Serif" w:hAnsi="Times New Roman;Times;Serif"/>
          <w:b w:val="false"/>
          <w:i w:val="false"/>
          <w:caps w:val="false"/>
          <w:smallCaps w:val="false"/>
          <w:sz w:val="20"/>
        </w:rPr>
        <w:t>”) by wire transfer of immediately available funds in U.S. dollars.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Forbearance of Additional Closings under the Existing Securities Purchase Agreements.</w:t>
      </w:r>
      <w:r>
        <w:rPr>
          <w:rFonts w:ascii="Times New Roman;Times;Serif" w:hAnsi="Times New Roman;Times;Serif"/>
          <w:b w:val="false"/>
          <w:i w:val="false"/>
          <w:caps w:val="false"/>
          <w:smallCaps w:val="false"/>
          <w:sz w:val="20"/>
        </w:rPr>
        <w:t xml:space="preserve"> Effective as of the Effective Time, unless or until (x) any Default occurs or (y) the Aggregate Payment Amount is satisfied in full (such period, the “</w:t>
      </w:r>
      <w:r>
        <w:rPr>
          <w:rFonts w:ascii="Times New Roman;Times;Serif" w:hAnsi="Times New Roman;Times;Serif"/>
          <w:b/>
          <w:i w:val="false"/>
          <w:caps w:val="false"/>
          <w:smallCaps w:val="false"/>
          <w:sz w:val="20"/>
        </w:rPr>
        <w:t>Forbearance Period</w:t>
      </w:r>
      <w:r>
        <w:rPr>
          <w:rFonts w:ascii="Times New Roman;Times;Serif" w:hAnsi="Times New Roman;Times;Serif"/>
          <w:b w:val="false"/>
          <w:i w:val="false"/>
          <w:caps w:val="false"/>
          <w:smallCaps w:val="false"/>
          <w:sz w:val="20"/>
        </w:rPr>
        <w:t>”), the Investor agrees to forbear from requesting or consummating any Additional Closing pursuant to the Additional Closing Options (the “</w:t>
      </w:r>
      <w:r>
        <w:rPr>
          <w:rFonts w:ascii="Times New Roman;Times;Serif" w:hAnsi="Times New Roman;Times;Serif"/>
          <w:b/>
          <w:i w:val="false"/>
          <w:caps w:val="false"/>
          <w:smallCaps w:val="false"/>
          <w:sz w:val="20"/>
        </w:rPr>
        <w:t>Additional Closing Forbearance</w:t>
      </w:r>
      <w:r>
        <w:rPr>
          <w:rFonts w:ascii="Times New Roman;Times;Serif" w:hAnsi="Times New Roman;Times;Serif"/>
          <w:b w:val="false"/>
          <w:i w:val="false"/>
          <w:caps w:val="false"/>
          <w:smallCaps w:val="false"/>
          <w:sz w:val="20"/>
        </w:rPr>
        <w:t>”, and together with the Conversion Forbearance and the Exercise Forbearance, the “</w:t>
      </w:r>
      <w:r>
        <w:rPr>
          <w:rFonts w:ascii="Times New Roman;Times;Serif" w:hAnsi="Times New Roman;Times;Serif"/>
          <w:b/>
          <w:i w:val="false"/>
          <w:caps w:val="false"/>
          <w:smallCaps w:val="false"/>
          <w:sz w:val="20"/>
        </w:rPr>
        <w:t>Forbearances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Forbearance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Waiver of Additional Closings under the Existing Securities Purchase Agreements.</w:t>
      </w:r>
      <w:r>
        <w:rPr>
          <w:rFonts w:ascii="Times New Roman;Times;Serif" w:hAnsi="Times New Roman;Times;Serif"/>
          <w:b w:val="false"/>
          <w:i w:val="false"/>
          <w:caps w:val="false"/>
          <w:smallCaps w:val="false"/>
          <w:sz w:val="20"/>
        </w:rPr>
        <w:t xml:space="preserve"> Provided that the Company is not in breach of its obligations under this Agreement, effective as of such date that the Company shall have paid the Aggregate Payment Amount, in full, to the Investor, the Investor and the Company hereby mutually acknowledge and agree that Section 1(b)(ii) of each Existing Securities Purchase Agreement shall be of no further force or effect and no further Additional Closings shall occur thereunder (the “</w:t>
      </w:r>
      <w:r>
        <w:rPr>
          <w:rFonts w:ascii="Times New Roman;Times;Serif" w:hAnsi="Times New Roman;Times;Serif"/>
          <w:b/>
          <w:i w:val="false"/>
          <w:caps w:val="false"/>
          <w:smallCaps w:val="false"/>
          <w:sz w:val="20"/>
        </w:rPr>
        <w:t>Additional Closings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Prepayments.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Optional Prepayments.</w:t>
      </w:r>
      <w:r>
        <w:rPr>
          <w:rFonts w:ascii="Times New Roman;Times;Serif" w:hAnsi="Times New Roman;Times;Serif"/>
          <w:b w:val="false"/>
          <w:i w:val="false"/>
          <w:caps w:val="false"/>
          <w:smallCaps w:val="false"/>
          <w:sz w:val="20"/>
        </w:rPr>
        <w:t xml:space="preserve"> The Company may prepay all, or any portion, of the outstanding Aggregate Payment Amount at any time without penalty (each, an “</w:t>
      </w:r>
      <w:r>
        <w:rPr>
          <w:rFonts w:ascii="Times New Roman;Times;Serif" w:hAnsi="Times New Roman;Times;Serif"/>
          <w:b/>
          <w:i w:val="false"/>
          <w:caps w:val="false"/>
          <w:smallCaps w:val="false"/>
          <w:sz w:val="20"/>
        </w:rPr>
        <w:t>Optional Prepayment</w:t>
      </w:r>
      <w:r>
        <w:rPr>
          <w:rFonts w:ascii="Times New Roman;Times;Serif" w:hAnsi="Times New Roman;Times;Serif"/>
          <w:b w:val="false"/>
          <w:i w:val="false"/>
          <w:caps w:val="false"/>
          <w:smallCaps w:val="false"/>
          <w:sz w:val="20"/>
        </w:rPr>
        <w:t xml:space="preserve">”). Any Optional Prepayments made by the Company to the Investor in accordance herewith shall be applied as follows: (i)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Note Purchase Price, by proportionally reducing each Note Installment Amount, until the Note Purchase Price is satisfied in full, and (ii)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allocated pro rata to the Warrant Purchase Price and the Forbearance Payment Amount, by proportionally reducing each Installment Amount with respect to such Payment Amount, until the Aggregate Payment Amount is satisfied in full. The Investor may deliver a revised Installment Schedule to the Company reflecting any adjustments to the Installment Schedule as a result of any Optional Repayments, any Mandatory Repayments (as defined below) or pursuant to Section 7, which shall amend the Installment Schedule thereafter unless disputed by the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Mandatory Prepayments.</w:t>
      </w:r>
      <w:r>
        <w:rPr>
          <w:rFonts w:ascii="Times New Roman;Times;Serif" w:hAnsi="Times New Roman;Times;Serif"/>
          <w:b w:val="false"/>
          <w:i w:val="false"/>
          <w:caps w:val="false"/>
          <w:smallCaps w:val="false"/>
          <w:sz w:val="20"/>
        </w:rPr>
        <w:t xml:space="preserve"> At least one (1) Trading Day prior to any proposed or intended Subsequent Placement (in each case, other than with respect to Excluded Securities (as defined below)) (each, an “</w:t>
      </w:r>
      <w:r>
        <w:rPr>
          <w:rFonts w:ascii="Times New Roman;Times;Serif" w:hAnsi="Times New Roman;Times;Serif"/>
          <w:b/>
          <w:i w:val="false"/>
          <w:caps w:val="false"/>
          <w:smallCaps w:val="false"/>
          <w:sz w:val="20"/>
        </w:rPr>
        <w:t>Eligible Subsequent Placement</w:t>
      </w:r>
      <w:r>
        <w:rPr>
          <w:rFonts w:ascii="Times New Roman;Times;Serif" w:hAnsi="Times New Roman;Times;Serif"/>
          <w:b w:val="false"/>
          <w:i w:val="false"/>
          <w:caps w:val="false"/>
          <w:smallCaps w:val="false"/>
          <w:sz w:val="20"/>
        </w:rPr>
        <w:t>”), the Company shall deliver to the Investor a written notice (each such notice, a “</w:t>
      </w:r>
      <w:r>
        <w:rPr>
          <w:rFonts w:ascii="Times New Roman;Times;Serif" w:hAnsi="Times New Roman;Times;Serif"/>
          <w:b/>
          <w:i w:val="false"/>
          <w:caps w:val="false"/>
          <w:smallCaps w:val="false"/>
          <w:sz w:val="20"/>
        </w:rPr>
        <w:t>Mandatory Prepayment Notice</w:t>
      </w:r>
      <w:r>
        <w:rPr>
          <w:rFonts w:ascii="Times New Roman;Times;Serif" w:hAnsi="Times New Roman;Times;Serif"/>
          <w:b w:val="false"/>
          <w:i w:val="false"/>
          <w:caps w:val="false"/>
          <w:smallCaps w:val="false"/>
          <w:sz w:val="20"/>
        </w:rPr>
        <w:t>”) specifying (i) the aggregate gross proceeds (less any reasonable and documented legal fees and expenses) of such Eligible Subsequent Placement (each, a “</w:t>
      </w:r>
      <w:r>
        <w:rPr>
          <w:rFonts w:ascii="Times New Roman;Times;Serif" w:hAnsi="Times New Roman;Times;Serif"/>
          <w:b/>
          <w:i w:val="false"/>
          <w:caps w:val="false"/>
          <w:smallCaps w:val="false"/>
          <w:sz w:val="20"/>
        </w:rPr>
        <w:t>Subsequent Placement Proceeds Amount</w:t>
      </w:r>
      <w:r>
        <w:rPr>
          <w:rFonts w:ascii="Times New Roman;Times;Serif" w:hAnsi="Times New Roman;Times;Serif"/>
          <w:b w:val="false"/>
          <w:i w:val="false"/>
          <w:caps w:val="false"/>
          <w:smallCaps w:val="false"/>
          <w:sz w:val="20"/>
        </w:rPr>
        <w:t>”), (ii) the applicable Mandatory Prepayment Amount (as defined below), and (iii) the applicable Mandatory Prepayment Date (as defined below). The Company shall pay a prepayment amount to the Investor equal to sixty-six percent (66%) of the Subsequent Placement Proceeds Amount of such Eligible Subsequent Placement (each, a “</w:t>
      </w:r>
      <w:r>
        <w:rPr>
          <w:rFonts w:ascii="Times New Roman;Times;Serif" w:hAnsi="Times New Roman;Times;Serif"/>
          <w:b/>
          <w:i w:val="false"/>
          <w:caps w:val="false"/>
          <w:smallCaps w:val="false"/>
          <w:sz w:val="20"/>
        </w:rPr>
        <w:t>Mandatory Prepayment Amount</w:t>
      </w:r>
      <w:r>
        <w:rPr>
          <w:rFonts w:ascii="Times New Roman;Times;Serif" w:hAnsi="Times New Roman;Times;Serif"/>
          <w:b w:val="false"/>
          <w:i w:val="false"/>
          <w:caps w:val="false"/>
          <w:smallCaps w:val="false"/>
          <w:sz w:val="20"/>
        </w:rPr>
        <w:t>”), which Mandatory Prepayment Amount shall be applied pro rata among the Payments Amounts, by proportionally reducing each Installment Amount with respect to such Payment Amount. For the avoidance of doubt, a Payment Amount’s pro rata portion of each Mandatory Prepayment Amount shall be based on the quotient of (x) such Payment Amount on the date hereof divided by (y) the Aggregate Payment Amount on the date hereof. Unless waived in writing by the Investor, on the date of the consummation of such Eligible Subsequent Placement (each, a “</w:t>
      </w:r>
      <w:r>
        <w:rPr>
          <w:rFonts w:ascii="Times New Roman;Times;Serif" w:hAnsi="Times New Roman;Times;Serif"/>
          <w:b/>
          <w:i w:val="false"/>
          <w:caps w:val="false"/>
          <w:smallCaps w:val="false"/>
          <w:sz w:val="20"/>
        </w:rPr>
        <w:t>Mandatory Prepayment Date</w:t>
      </w:r>
      <w:r>
        <w:rPr>
          <w:rFonts w:ascii="Times New Roman;Times;Serif" w:hAnsi="Times New Roman;Times;Serif"/>
          <w:b w:val="false"/>
          <w:i w:val="false"/>
          <w:caps w:val="false"/>
          <w:smallCaps w:val="false"/>
          <w:sz w:val="20"/>
        </w:rPr>
        <w:t>”), the Company shall pay the Investor in cash (each, a “</w:t>
      </w:r>
      <w:r>
        <w:rPr>
          <w:rFonts w:ascii="Times New Roman;Times;Serif" w:hAnsi="Times New Roman;Times;Serif"/>
          <w:b/>
          <w:i w:val="false"/>
          <w:caps w:val="false"/>
          <w:smallCaps w:val="false"/>
          <w:sz w:val="20"/>
        </w:rPr>
        <w:t>Mandatory Prepayment</w:t>
      </w:r>
      <w:r>
        <w:rPr>
          <w:rFonts w:ascii="Times New Roman;Times;Serif" w:hAnsi="Times New Roman;Times;Serif"/>
          <w:b w:val="false"/>
          <w:i w:val="false"/>
          <w:caps w:val="false"/>
          <w:smallCaps w:val="false"/>
          <w:sz w:val="20"/>
        </w:rPr>
        <w:t>”), without the requirement for any notice or demand or other action by the Investor or any other Person, an amount equal to applicable Mandatory Prepayment Amount.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Agreement,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(i) Ordinary Shares or standard options to purchase Ordinary Shares issued to directors, officers or employees of the Company for services rendered to the Company in their capacity as such pursuant to an Approved Share Plan (as defined in the 2025 Note), provided that (A) all such issuances (taking into account the Ordinary Shares issuable upon exercise of such options) after the date hereof pursuant to this clause (i) do not, in the aggregate, exceed more than 10% of the Ordinary Shares issued and outstanding immediately prior to the date hereof and (B) the exercise price of any such options is not lowered, none of such options are amended to increase the number of shares issuable thereunder and none of the terms or conditions of any such options are otherwise materially changed in any manner that adversely affects the Investor; (ii) Ordinary Shares issued upon the conversion or exercise of Convertible Securities (as defined in the 2025 Notes) or Options (as defined in the 2025 Notes) (other than standard options to purchase Ordinary Shares issued pursuant to an Approved Share Plan that are covered by clause (i) above) issued prior to the date hereof, provided that the conversion price of any such Convertible Securities (other than standard options to purchase Ordinary Shares issued pursuant to an Approved Share Plan that are covered by clause (i) above) is not lowered, none of such Convertible Securities or Options (other than standard options to purchase Ordinary Shares issued pursuant to an Approved Share Plan that are covered by clause (i) above) are amended to increase the number of shares issuable thereunder and none of the terms or conditions of any such Convertible Securities or Options (other than standard options to purchase Ordinary Shares issued pursuant to an Approved Share Plan that are covered by clause (i) above) are otherwise materially changed in any manner that adversely affects the Investor; (iii) Ordinary Shares issued in connection with any bona fide strategic or commercial alliances, acquisitions, mergers, licensing arrangements, strategic transactions and strategic partnerships (including, without limitation, joint ventures, marketing or distribution arrangements, collaboration agreements or intellectual property license agreements) approved by a majority of the disinterested directors of the Company, provided that such Ordinary Shares are issued as “restricted securities” (as defined in Rule 144 ) and carry no registration rights that require or permit the filing of any registration statement in connection therewith during the Restricted Period, provided, further, that (w) the primary purpose of such issuance is not to raise capital, and (x)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stockholders,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(y)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and (iv) Ordinary Shares issued pursuant to that certain Common Stock Purchase Agreement, dated as of November 21, 2024, by and between the Company and White Lion Capital,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 xml:space="preserve">Cure Period Conversions and Exercises. </w:t>
      </w:r>
      <w:r>
        <w:rPr>
          <w:rFonts w:ascii="Times New Roman;Times;Serif" w:hAnsi="Times New Roman;Times;Serif"/>
          <w:b w:val="false"/>
          <w:i w:val="false"/>
          <w:caps w:val="false"/>
          <w:smallCaps w:val="false"/>
          <w:sz w:val="20"/>
        </w:rPr>
        <w:t xml:space="preserve">For the avoidance of doubt, during a Cure Period, each Forbearance shall cease to be effective unless and until the applicable Forbearance Default is cured during such Cure Period (and no other Default then exists). Notwithstanding anything to the contrary herein, if the Investor converts and/or exercises (as the case may be) any portion of the Purchased Securities during a Cure Period, the aggregate Conversion Amount (as defined in the Purchased Notes) and/or the aggregate Aggregate Exercise Price (as defined in the Purchased Warrants) (as the case may be), shall be applied as follows: (x)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Note Purchase Price in reverse order commencing on the last Note Installment Amount on the Installment Schedule, until such Note Installment Amount is paid in full, then the prior Note Installment Amount, if any, respectively, until the Note Purchase Price is satisfied in full and (ii)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the Warrant Purchase Price in reverse order commencing on the last Warrant Installment Amount on the Installment Schedule, until such Warrant Installment Amount is paid in full, then the prior Warrant Installment Amount, if any, respectively.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 xml:space="preserve">Termination. </w:t>
      </w:r>
      <w:r>
        <w:rPr>
          <w:rFonts w:ascii="Times New Roman;Times;Serif" w:hAnsi="Times New Roman;Times;Serif"/>
          <w:b w:val="false"/>
          <w:i w:val="false"/>
          <w:caps w:val="false"/>
          <w:smallCaps w:val="false"/>
          <w:sz w:val="20"/>
        </w:rPr>
        <w:t>Upon the occurrence of a Default, the Forbearances and any waiver of any provision contained in the Existing Transaction Documents shall terminate and be of no further force and effect. Notwithstanding anything to the contrary herein, in the event of a Default, the Company agrees that any and all Installment Payments made hereunder shall be deemed as nonrefundable liquidated damages and not as a penalty or as payment under the Original Securities; provided that, if the Company pays the Investor an amount in cash equal to 100% of the outstanding Aggregate Payment Amount within fifteen (15) Business Days of such Default, the Investor hereby (i) grants the Additional Closing Waiver, (ii) agrees that the Note Repurchase shall have occurred and (iii) agrees that the Warrant Repurchase shall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Ratification.</w:t>
      </w:r>
      <w:r>
        <w:rPr>
          <w:rFonts w:ascii="Times New Roman;Times;Serif" w:hAnsi="Times New Roman;Times;Serif"/>
          <w:b w:val="false"/>
          <w:i w:val="false"/>
          <w:caps w:val="false"/>
          <w:smallCaps w:val="false"/>
          <w:sz w:val="20"/>
        </w:rPr>
        <w:t xml:space="preserve"> Except as specifically provided in this Agreement, all other terms and conditions of the Transaction Documents (as defined in the Existing Securities Purchase Agreements, as applicable) remain in full force and effect and are hereby ratified and confirmed in all respects.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Transfer Agent Instructions</w:t>
      </w:r>
      <w:r>
        <w:rPr>
          <w:rFonts w:ascii="Times New Roman;Times;Serif" w:hAnsi="Times New Roman;Times;Serif"/>
          <w:b w:val="false"/>
          <w:i w:val="false"/>
          <w:caps w:val="false"/>
          <w:smallCaps w:val="false"/>
          <w:sz w:val="20"/>
        </w:rPr>
        <w:t>. On or prior to the date hereof, the Company shall execute and deliver updated irrevocable transfer agent instructions to the Transfer Agent (the “</w:t>
      </w:r>
      <w:r>
        <w:rPr>
          <w:rFonts w:ascii="Times New Roman;Times;Serif" w:hAnsi="Times New Roman;Times;Serif"/>
          <w:b/>
          <w:i w:val="false"/>
          <w:caps w:val="false"/>
          <w:smallCaps w:val="false"/>
          <w:sz w:val="20"/>
        </w:rPr>
        <w:t>Irrevocable Transfer Agent Instructions</w:t>
      </w:r>
      <w:r>
        <w:rPr>
          <w:rFonts w:ascii="Times New Roman;Times;Serif" w:hAnsi="Times New Roman;Times;Serif"/>
          <w:b w:val="false"/>
          <w:i w:val="false"/>
          <w:caps w:val="false"/>
          <w:smallCaps w:val="false"/>
          <w:sz w:val="20"/>
        </w:rPr>
        <w:t>”), which shall irrevocably instruct the Transfer Agent to increase the reserve with respect to the Original Securities to at least 100,000,000 Ordinary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This Agreement shall be deemed to be effective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upon the latest of (a) the time of due execution and delivery by the Company and the Investor of this Agreement, (b) such time that the Company shall have delivered to the Investor a copy of the Irrevocable Transfer Agent Instructions, in the form acceptable to the Investor, which instructions shall have been delivered to and acknowledged in writing by the Transfer Agent, and (c) such time that the Company Legal Fee Amount is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Representations and Warranties of the Company.</w:t>
      </w:r>
      <w:r>
        <w:rPr>
          <w:rFonts w:ascii="Times New Roman;Times;Serif" w:hAnsi="Times New Roman;Times;Serif"/>
          <w:b w:val="false"/>
          <w:i w:val="false"/>
          <w:caps w:val="false"/>
          <w:smallCaps w:val="false"/>
          <w:sz w:val="20"/>
        </w:rPr>
        <w:t xml:space="preserve"> The Company represents and warrants to Investor as of the date hereof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Organization, Good Standing and Authorization.</w:t>
      </w:r>
      <w:r>
        <w:rPr>
          <w:rFonts w:ascii="Times New Roman;Times;Serif" w:hAnsi="Times New Roman;Times;Serif"/>
          <w:b w:val="false"/>
          <w:i w:val="false"/>
          <w:caps w:val="false"/>
          <w:smallCaps w:val="false"/>
          <w:sz w:val="20"/>
        </w:rPr>
        <w:t xml:space="preserve"> The Company is duly incorporated, validly existing and in good standing under the laws of the British Virgin Islands with full right, corporate, partnership, limited liability company or similar power and authority to enter into and to consummate the transactions contemplated by the Agreement and otherwise to carry out its obligations hereunder. The execution and delivery of the Agreement and the consummation by the Company of the transactions contemplated hereby have been duly authorized by the Company’s board of directors or other governing body, as applicable, and no further filing, consent or authorization is required by the Company, its Subsidiaries, their respective boards of directors or their shareholders or other governing body, on the part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Enforceability.</w:t>
      </w:r>
      <w:r>
        <w:rPr>
          <w:rFonts w:ascii="Times New Roman;Times;Serif" w:hAnsi="Times New Roman;Times;Serif"/>
          <w:b w:val="false"/>
          <w:i w:val="false"/>
          <w:caps w:val="false"/>
          <w:smallCaps w:val="false"/>
          <w:sz w:val="20"/>
        </w:rPr>
        <w:t xml:space="preserve"> The Agreement has been duly executed by the Company, and when delivered by the Company in accordance with the terms hereof, will constitute the valid and legally binding obligation of the Company, enforceable against it in accordance with its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Conflicts.</w:t>
      </w:r>
      <w:r>
        <w:rPr>
          <w:rFonts w:ascii="Times New Roman;Times;Serif" w:hAnsi="Times New Roman;Times;Serif"/>
          <w:b w:val="false"/>
          <w:i w:val="false"/>
          <w:caps w:val="false"/>
          <w:smallCaps w:val="false"/>
          <w:sz w:val="20"/>
        </w:rPr>
        <w:t xml:space="preserve"> The execution, delivery and performance of this Agreement by the Company and the consummation by the Company of the transactions contemplated hereby will not (i) result in a violation of the certificate of incorporation, as may be amended from time to time, of the Company, the Memorandum of Association, and Articles of Association, or the certificate of formation, memorandum of association, articles of association, bylaws or other organizational documents of the Company or any of its Subsidiaries, or any share capital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Principal Market and including all applicable foreign, federal and state laws, rules and regulations, including, without limitation, the laws, rules and regulations of the British Virgin Islands, Thailand and/or the People’s Republic of China as applicable to the Company or any of its Subsidiaries or by which any property or asset of the Company or any of its Subsidiaries is bound or affected), except in the case of clauses (ii) and (iii) above, for such conflicts, defaults, rights or violations which could not, individually or in the aggregate,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Information.</w:t>
      </w:r>
      <w:r>
        <w:rPr>
          <w:rFonts w:ascii="Times New Roman;Times;Serif" w:hAnsi="Times New Roman;Times;Serif"/>
          <w:b w:val="false"/>
          <w:i w:val="false"/>
          <w:caps w:val="false"/>
          <w:smallCaps w:val="false"/>
          <w:sz w:val="20"/>
        </w:rPr>
        <w:t xml:space="preserve"> The Company confirms that neither it nor to its knowledge any other Person acting on its behalf has provided the Investor or any of its agents or counsel with any information that constitutes or could reasonably be expected to constitute material, non-public information concerning the Company or any of its subsidiaries, other than the existence of the transactions contemplated by this Agreement. The Company understands and confirms that the Investor will rely on the foregoing representations in effecting transactions in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Representations and Warranties of Investor</w:t>
      </w:r>
      <w:r>
        <w:rPr>
          <w:rFonts w:ascii="Times New Roman;Times;Serif" w:hAnsi="Times New Roman;Times;Serif"/>
          <w:b w:val="false"/>
          <w:i w:val="false"/>
          <w:caps w:val="false"/>
          <w:smallCaps w:val="false"/>
          <w:sz w:val="20"/>
        </w:rPr>
        <w:t>. Investor represents and warrants to the Company as of the date hereof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Authority.</w:t>
      </w:r>
      <w:r>
        <w:rPr>
          <w:rFonts w:ascii="Times New Roman;Times;Serif" w:hAnsi="Times New Roman;Times;Serif"/>
          <w:b w:val="false"/>
          <w:i w:val="false"/>
          <w:caps w:val="false"/>
          <w:smallCaps w:val="false"/>
          <w:sz w:val="20"/>
        </w:rPr>
        <w:t xml:space="preserve"> The execution, delivery and performance by the Investor of this Agreement and the consummation of the transactions contemplated hereby will not will not (i) result in a violation of the organizational documents of the Investor, or (ii) conflict with, or constitute a default (or an event which with notice or lapse of time or both would become a default) under, or give to others any rights of termination, amendment, acceleration or cancellation of, any agreement, indenture or instrument to which the Investor is a party, or (iii) result in a violation of any law, rule, regulation, order, judgment or decree (including federal and state securities laws) applicable to the Investor, except in the case of clauses (ii) and (iii) above, for such conflicts, defaults, rights or violations which could not, individually or in the aggregate, reasonably be expected to have a material adverse effect on the ability of the Investor to perform its obligations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Enforceability.</w:t>
      </w:r>
      <w:r>
        <w:rPr>
          <w:rFonts w:ascii="Times New Roman;Times;Serif" w:hAnsi="Times New Roman;Times;Serif"/>
          <w:b w:val="false"/>
          <w:i w:val="false"/>
          <w:caps w:val="false"/>
          <w:smallCaps w:val="false"/>
          <w:sz w:val="20"/>
        </w:rPr>
        <w:t xml:space="preserve"> This Agreement has been duly executed and delivered by Investor and is a valid and binding agreement, enforceable against Investor in accordance with its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 xml:space="preserve">Ownership of Securities. </w:t>
      </w:r>
      <w:r>
        <w:rPr>
          <w:rFonts w:ascii="Times New Roman;Times;Serif" w:hAnsi="Times New Roman;Times;Serif"/>
          <w:b w:val="false"/>
          <w:i w:val="false"/>
          <w:caps w:val="false"/>
          <w:smallCaps w:val="false"/>
          <w:sz w:val="20"/>
        </w:rPr>
        <w:t>Investor owns and has valid title to the Purchased Notes and the Purchased Warrants free and clear of all liens. Investor has not sold, assigned or otherwise transferred to any third party any of the Investor’s right, title or interest in or to any of the Purchased Notes or the Purchased Warrants, and the Investor has not agreed to do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Disclosure of Transactions and Other Material Information</w:t>
      </w:r>
      <w:r>
        <w:rPr>
          <w:rFonts w:ascii="Times New Roman;Times;Serif" w:hAnsi="Times New Roman;Times;Serif"/>
          <w:b w:val="false"/>
          <w:i w:val="false"/>
          <w:caps w:val="false"/>
          <w:smallCaps w:val="false"/>
          <w:sz w:val="20"/>
        </w:rPr>
        <w:t>. The Company shall, on or before 8:30 a.m., New York City Time, on the first Business Day after the date of this Agreement, publicly issue a Report of Foreign Private Issuer on Form 6-K (the “</w:t>
      </w:r>
      <w:r>
        <w:rPr>
          <w:rFonts w:ascii="Times New Roman;Times;Serif" w:hAnsi="Times New Roman;Times;Serif"/>
          <w:b/>
          <w:i w:val="false"/>
          <w:caps w:val="false"/>
          <w:smallCaps w:val="false"/>
          <w:sz w:val="20"/>
        </w:rPr>
        <w:t>6-K Filing</w:t>
      </w:r>
      <w:r>
        <w:rPr>
          <w:rFonts w:ascii="Times New Roman;Times;Serif" w:hAnsi="Times New Roman;Times;Serif"/>
          <w:b w:val="false"/>
          <w:i w:val="false"/>
          <w:caps w:val="false"/>
          <w:smallCaps w:val="false"/>
          <w:sz w:val="20"/>
        </w:rPr>
        <w:t>”) disclosing all material terms of the transactions contemplated hereby. From and after the issuance of the 6-K Filing, the Investor shall not be in possession of any material, nonpublic information received from the Company, any of its Subsidiaries or any of its respective officers, directors, employees or agents, that is not disclosed in the 6-K Filing. In addition, effective upon the issuance of the 6-K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the Investor or any of its affiliates, on the other hand, shall terminate. The Company shall not, and shall cause each of its Subsidiaries and each of their respective officers, directors, employees and agents, not to, provide the Investor with any material, nonpublic information regarding the Company or any of its Subsidiaries from and after the date hereof without the express written consent of the Investor. To the extent that the Company delivers any material, non-public information to the Investor without the Investor’s consent, the Company hereby covenants and agrees that the Investor shall not have any duty of confidentiality with respect to, or a duty not to trade on the basis of, such material, non-public information. The Company shall not disclose the name of the Investor in any filing, announcement, release or otherwise, unless such disclosure is required by law or regulation, except this initial 6-K Filing and any further disclosure in any Securities Act and Exchange Act filings covering the same subject matter.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Fees.</w:t>
      </w:r>
      <w:r>
        <w:rPr>
          <w:rFonts w:ascii="Times New Roman;Times;Serif" w:hAnsi="Times New Roman;Times;Serif"/>
          <w:b w:val="false"/>
          <w:i w:val="false"/>
          <w:caps w:val="false"/>
          <w:smallCaps w:val="false"/>
          <w:sz w:val="20"/>
        </w:rPr>
        <w:t xml:space="preserve"> The parties shall reimburse Kelley Drye &amp; Warren LLP, on demand, for all costs and expenses incurred by it in connection with preparing and delivering this Agreement in an aggregate non-accountable amount equal to $76,000, of which the Company shall pay $50,000 (the “</w:t>
      </w:r>
      <w:r>
        <w:rPr>
          <w:rFonts w:ascii="Times New Roman;Times;Serif" w:hAnsi="Times New Roman;Times;Serif"/>
          <w:b/>
          <w:i w:val="false"/>
          <w:caps w:val="false"/>
          <w:smallCaps w:val="false"/>
          <w:sz w:val="20"/>
        </w:rPr>
        <w:t>Company Legal Fee Amount</w:t>
      </w:r>
      <w:r>
        <w:rPr>
          <w:rFonts w:ascii="Times New Roman;Times;Serif" w:hAnsi="Times New Roman;Times;Serif"/>
          <w:b w:val="false"/>
          <w:i w:val="false"/>
          <w:caps w:val="false"/>
          <w:smallCaps w:val="false"/>
          <w:sz w:val="20"/>
        </w:rPr>
        <w:t>”) and the Investor shall pay $26,000.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The Agreement constitutes the entire understanding and agreement of the Parties with respect to the subject matter hereof and supersedes all prior and/or contemporaneous oral or written proposals or agreements relating thereto all of which are merged herein. This Agreement may not be amended or any provision hereof waived in whole or in part, except by a written amendment signed by all the parties. No waiver of any provision of this Agreement shall be effective unless it is in writing and signed by an authorized representative of the waiving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Miscellaneous Provisions.</w:t>
      </w:r>
      <w:r>
        <w:rPr>
          <w:rFonts w:ascii="Times New Roman;Times;Serif" w:hAnsi="Times New Roman;Times;Serif"/>
          <w:b w:val="false"/>
          <w:i w:val="false"/>
          <w:caps w:val="false"/>
          <w:smallCaps w:val="false"/>
          <w:sz w:val="20"/>
        </w:rPr>
        <w:t xml:space="preserve"> Section 9 of the 2025 Securities Purchase Agreement (other than subsections (e), (k), (q) and (r) thereof) is hereby incorporated by reference herein, </w:t>
      </w:r>
      <w:r>
        <w:rPr>
          <w:rFonts w:ascii="Times New Roman;Times;Serif" w:hAnsi="Times New Roman;Times;Serif"/>
          <w:b w:val="false"/>
          <w:i/>
          <w:caps w:val="false"/>
          <w:smallCaps w:val="false"/>
          <w:sz w:val="20"/>
        </w:rPr>
        <w:t>mutatis mutandis.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Parties have caused their respective signature page to this Agreement to be duly executed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3514" w:type="dxa"/>
        <w:jc w:val="left"/>
        <w:tblInd w:w="0" w:type="dxa"/>
        <w:tblLayout w:type="fixed"/>
        <w:tblCellMar>
          <w:top w:w="0" w:type="dxa"/>
          <w:left w:w="0" w:type="dxa"/>
          <w:bottom w:w="0" w:type="dxa"/>
          <w:right w:w="0" w:type="dxa"/>
        </w:tblCellMar>
      </w:tblPr>
      <w:tblGrid>
        <w:gridCol w:w="75"/>
        <w:gridCol w:w="661"/>
        <w:gridCol w:w="2778"/>
      </w:tblGrid>
      <w:tr>
        <w:trPr/>
        <w:tc>
          <w:tcPr>
            <w:tcW w:w="75"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b/>
              </w:rPr>
            </w:pPr>
            <w:r>
              <w:rPr>
                <w:b/>
              </w:rPr>
              <w:t>COMPANY</w:t>
            </w:r>
          </w:p>
        </w:tc>
      </w:tr>
      <w:tr>
        <w:trPr/>
        <w:tc>
          <w:tcPr>
            <w:tcW w:w="75"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27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pPr>
            <w:r>
              <w:rPr/>
              <w:t>NEWGENIVF GROUP LIMITED</w:t>
            </w:r>
          </w:p>
        </w:tc>
      </w:tr>
      <w:tr>
        <w:trPr/>
        <w:tc>
          <w:tcPr>
            <w:tcW w:w="75"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27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39" w:type="dxa"/>
            <w:gridSpan w:val="2"/>
            <w:tcBorders>
              <w:bottom w:val="single" w:sz="12" w:space="0" w:color="000000"/>
            </w:tcBorders>
            <w:tcMar>
              <w:bottom w:w="28" w:type="dxa"/>
            </w:tcMar>
            <w:vAlign w:val="center"/>
          </w:tcPr>
          <w:p>
            <w:pPr>
              <w:pStyle w:val="TableContents"/>
              <w:bidi w:val="0"/>
              <w:spacing w:before="0" w:after="283"/>
              <w:jc w:val="left"/>
              <w:rPr/>
            </w:pPr>
            <w:r>
              <w:rPr/>
              <w:t>/s/ Siu Wing Fung Alfred</w:t>
            </w:r>
          </w:p>
        </w:tc>
      </w:tr>
      <w:tr>
        <w:trPr/>
        <w:tc>
          <w:tcPr>
            <w:tcW w:w="75"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By:</w:t>
            </w:r>
          </w:p>
        </w:tc>
        <w:tc>
          <w:tcPr>
            <w:tcW w:w="2778" w:type="dxa"/>
            <w:tcBorders/>
            <w:vAlign w:val="center"/>
          </w:tcPr>
          <w:p>
            <w:pPr>
              <w:pStyle w:val="TableContents"/>
              <w:bidi w:val="0"/>
              <w:spacing w:before="0" w:after="283"/>
              <w:jc w:val="left"/>
              <w:rPr/>
            </w:pPr>
            <w:r>
              <w:rPr/>
              <w:t>Siu Wing Fung Alfred</w:t>
            </w:r>
          </w:p>
        </w:tc>
      </w:tr>
      <w:tr>
        <w:trPr/>
        <w:tc>
          <w:tcPr>
            <w:tcW w:w="75"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Title:</w:t>
            </w:r>
          </w:p>
        </w:tc>
        <w:tc>
          <w:tcPr>
            <w:tcW w:w="2778" w:type="dxa"/>
            <w:tcBorders/>
            <w:vAlign w:val="center"/>
          </w:tcPr>
          <w:p>
            <w:pPr>
              <w:pStyle w:val="TableContents"/>
              <w:bidi w:val="0"/>
              <w:spacing w:before="0" w:after="283"/>
              <w:jc w:val="left"/>
              <w:rPr/>
            </w:pPr>
            <w:r>
              <w:rPr/>
              <w:t>CEO</w:t>
            </w:r>
          </w:p>
        </w:tc>
      </w:tr>
    </w:tbl>
    <w:p>
      <w:pPr>
        <w:pStyle w:val="TextBody"/>
        <w:bidi w:val="0"/>
        <w:spacing w:before="0" w:after="0"/>
        <w:ind w:left="0" w:right="0" w:hanging="0"/>
        <w:jc w:val="left"/>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5"/>
        <w:gridCol w:w="608"/>
        <w:gridCol w:w="2666"/>
      </w:tblGrid>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b/>
              </w:rPr>
            </w:pPr>
            <w:r>
              <w:rPr>
                <w:b/>
              </w:rPr>
              <w:t>INVESTOR</w:t>
            </w:r>
          </w:p>
        </w:tc>
      </w:tr>
      <w:tr>
        <w:trPr/>
        <w:tc>
          <w:tcPr>
            <w:tcW w:w="7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26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JAK OPPORTUNITIES VI LLC</w:t>
            </w:r>
          </w:p>
        </w:tc>
      </w:tr>
      <w:tr>
        <w:trPr/>
        <w:tc>
          <w:tcPr>
            <w:tcW w:w="7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26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74" w:type="dxa"/>
            <w:gridSpan w:val="2"/>
            <w:tcBorders>
              <w:bottom w:val="single" w:sz="12" w:space="0" w:color="000000"/>
            </w:tcBorders>
            <w:tcMar>
              <w:bottom w:w="28" w:type="dxa"/>
            </w:tcMar>
            <w:vAlign w:val="center"/>
          </w:tcPr>
          <w:p>
            <w:pPr>
              <w:pStyle w:val="TableContents"/>
              <w:bidi w:val="0"/>
              <w:spacing w:before="0" w:after="283"/>
              <w:jc w:val="left"/>
              <w:rPr/>
            </w:pPr>
            <w:r>
              <w:rPr/>
              <w:t>/s/ Antonio Ruiz-Gimenez</w:t>
            </w:r>
          </w:p>
        </w:tc>
      </w:tr>
      <w:tr>
        <w:trPr/>
        <w:tc>
          <w:tcPr>
            <w:tcW w:w="7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By:</w:t>
            </w:r>
          </w:p>
        </w:tc>
        <w:tc>
          <w:tcPr>
            <w:tcW w:w="2666" w:type="dxa"/>
            <w:tcBorders/>
            <w:vAlign w:val="center"/>
          </w:tcPr>
          <w:p>
            <w:pPr>
              <w:pStyle w:val="TableContents"/>
              <w:bidi w:val="0"/>
              <w:spacing w:before="0" w:after="283"/>
              <w:jc w:val="left"/>
              <w:rPr/>
            </w:pPr>
            <w:r>
              <w:rPr/>
              <w:t>Antonio Ruiz-Gimenez</w:t>
            </w:r>
          </w:p>
        </w:tc>
      </w:tr>
      <w:tr>
        <w:trPr/>
        <w:tc>
          <w:tcPr>
            <w:tcW w:w="7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Title:</w:t>
            </w:r>
          </w:p>
        </w:tc>
        <w:tc>
          <w:tcPr>
            <w:tcW w:w="2666" w:type="dxa"/>
            <w:tcBorders/>
            <w:vAlign w:val="center"/>
          </w:tcPr>
          <w:p>
            <w:pPr>
              <w:pStyle w:val="TableContents"/>
              <w:bidi w:val="0"/>
              <w:spacing w:before="0" w:after="283"/>
              <w:jc w:val="left"/>
              <w:rPr/>
            </w:pPr>
            <w:r>
              <w:rPr/>
              <w:t>Managing Member</w:t>
            </w:r>
          </w:p>
        </w:tc>
      </w:tr>
    </w:tbl>
    <w:p>
      <w:pPr>
        <w:pStyle w:val="TextBody"/>
        <w:bidi w:val="0"/>
        <w:spacing w:before="0" w:after="283"/>
        <w:jc w:val="left"/>
        <w:rPr/>
      </w:pPr>
      <w:r>
        <w:rPr/>
        <w:t> </w:t>
      </w:r>
    </w:p>
    <w:tbl>
      <w:tblPr>
        <w:tblW w:w="3995" w:type="dxa"/>
        <w:jc w:val="left"/>
        <w:tblInd w:w="0" w:type="dxa"/>
        <w:tblLayout w:type="fixed"/>
        <w:tblCellMar>
          <w:top w:w="0" w:type="dxa"/>
          <w:left w:w="0" w:type="dxa"/>
          <w:bottom w:w="0" w:type="dxa"/>
          <w:right w:w="0" w:type="dxa"/>
        </w:tblCellMar>
      </w:tblPr>
      <w:tblGrid>
        <w:gridCol w:w="75"/>
        <w:gridCol w:w="3920"/>
      </w:tblGrid>
      <w:tr>
        <w:trPr/>
        <w:tc>
          <w:tcPr>
            <w:tcW w:w="75" w:type="dxa"/>
            <w:tcBorders/>
            <w:vAlign w:val="center"/>
          </w:tcPr>
          <w:p>
            <w:pPr>
              <w:pStyle w:val="TableContents"/>
              <w:bidi w:val="0"/>
              <w:spacing w:before="0" w:after="283"/>
              <w:jc w:val="left"/>
              <w:rPr/>
            </w:pPr>
            <w:r>
              <w:rPr/>
              <w:t> </w:t>
            </w:r>
          </w:p>
        </w:tc>
        <w:tc>
          <w:tcPr>
            <w:tcW w:w="3920" w:type="dxa"/>
            <w:tcBorders>
              <w:bottom w:val="single" w:sz="12" w:space="0" w:color="000000"/>
            </w:tcBorders>
            <w:tcMar>
              <w:bottom w:w="28" w:type="dxa"/>
            </w:tcMar>
            <w:vAlign w:val="center"/>
          </w:tcPr>
          <w:p>
            <w:pPr>
              <w:pStyle w:val="TableContents"/>
              <w:bidi w:val="0"/>
              <w:spacing w:before="0" w:after="283"/>
              <w:jc w:val="left"/>
              <w:rPr/>
            </w:pPr>
            <w:r>
              <w:rPr>
                <w:b/>
              </w:rPr>
              <w:t>Aggregate Amount Outstanding</w:t>
              <w:br/>
              <w:t>(Including Principal and Accrued</w:t>
              <w:br/>
              <w:t>Interest) under the 2024 Original Note</w:t>
              <w:br/>
              <w:t>as of the date hereof:</w:t>
              <w:br/>
            </w:r>
            <w:r>
              <w:rPr/>
              <w:t>$475,000</w:t>
            </w:r>
          </w:p>
        </w:tc>
      </w:tr>
    </w:tbl>
    <w:p>
      <w:pPr>
        <w:pStyle w:val="TextBody"/>
        <w:bidi w:val="0"/>
        <w:spacing w:before="0" w:after="283"/>
        <w:jc w:val="left"/>
        <w:rPr/>
      </w:pPr>
      <w:r>
        <w:rPr/>
        <w:t> </w:t>
      </w:r>
    </w:p>
    <w:tbl>
      <w:tblPr>
        <w:tblW w:w="3995" w:type="dxa"/>
        <w:jc w:val="left"/>
        <w:tblInd w:w="0" w:type="dxa"/>
        <w:tblLayout w:type="fixed"/>
        <w:tblCellMar>
          <w:top w:w="0" w:type="dxa"/>
          <w:left w:w="0" w:type="dxa"/>
          <w:bottom w:w="0" w:type="dxa"/>
          <w:right w:w="0" w:type="dxa"/>
        </w:tblCellMar>
      </w:tblPr>
      <w:tblGrid>
        <w:gridCol w:w="75"/>
        <w:gridCol w:w="3920"/>
      </w:tblGrid>
      <w:tr>
        <w:trPr/>
        <w:tc>
          <w:tcPr>
            <w:tcW w:w="75" w:type="dxa"/>
            <w:tcBorders/>
            <w:vAlign w:val="center"/>
          </w:tcPr>
          <w:p>
            <w:pPr>
              <w:pStyle w:val="TableContents"/>
              <w:bidi w:val="0"/>
              <w:spacing w:before="0" w:after="283"/>
              <w:jc w:val="left"/>
              <w:rPr/>
            </w:pPr>
            <w:r>
              <w:rPr/>
              <w:t> </w:t>
            </w:r>
          </w:p>
        </w:tc>
        <w:tc>
          <w:tcPr>
            <w:tcW w:w="3920" w:type="dxa"/>
            <w:tcBorders>
              <w:bottom w:val="single" w:sz="12" w:space="0" w:color="000000"/>
            </w:tcBorders>
            <w:tcMar>
              <w:bottom w:w="28" w:type="dxa"/>
            </w:tcMar>
            <w:vAlign w:val="center"/>
          </w:tcPr>
          <w:p>
            <w:pPr>
              <w:pStyle w:val="TableContents"/>
              <w:bidi w:val="0"/>
              <w:spacing w:before="0" w:after="283"/>
              <w:jc w:val="left"/>
              <w:rPr/>
            </w:pPr>
            <w:r>
              <w:rPr>
                <w:b/>
              </w:rPr>
              <w:t>Aggregate Amount Outstanding</w:t>
              <w:br/>
              <w:t>(Including Principal and Accrued</w:t>
              <w:br/>
              <w:t>Interest) under the 2025 Original Note</w:t>
              <w:br/>
              <w:t>as of the date hereof:</w:t>
              <w:br/>
            </w:r>
            <w:r>
              <w:rPr/>
              <w:t>$3,150,000</w:t>
            </w:r>
          </w:p>
        </w:tc>
      </w:tr>
    </w:tbl>
    <w:p>
      <w:pPr>
        <w:pStyle w:val="TextBody"/>
        <w:bidi w:val="0"/>
        <w:spacing w:before="0" w:after="283"/>
        <w:jc w:val="left"/>
        <w:rPr/>
      </w:pPr>
      <w:r>
        <w:rPr/>
        <w:t> </w:t>
      </w:r>
    </w:p>
    <w:tbl>
      <w:tblPr>
        <w:tblW w:w="4100" w:type="dxa"/>
        <w:jc w:val="left"/>
        <w:tblInd w:w="0" w:type="dxa"/>
        <w:tblLayout w:type="fixed"/>
        <w:tblCellMar>
          <w:top w:w="0" w:type="dxa"/>
          <w:left w:w="0" w:type="dxa"/>
          <w:bottom w:w="0" w:type="dxa"/>
          <w:right w:w="0" w:type="dxa"/>
        </w:tblCellMar>
      </w:tblPr>
      <w:tblGrid>
        <w:gridCol w:w="75"/>
        <w:gridCol w:w="4025"/>
      </w:tblGrid>
      <w:tr>
        <w:trPr/>
        <w:tc>
          <w:tcPr>
            <w:tcW w:w="75" w:type="dxa"/>
            <w:tcBorders/>
            <w:vAlign w:val="center"/>
          </w:tcPr>
          <w:p>
            <w:pPr>
              <w:pStyle w:val="TableContents"/>
              <w:bidi w:val="0"/>
              <w:spacing w:before="0" w:after="283"/>
              <w:jc w:val="left"/>
              <w:rPr/>
            </w:pPr>
            <w:r>
              <w:rPr/>
              <w:t> </w:t>
            </w:r>
          </w:p>
        </w:tc>
        <w:tc>
          <w:tcPr>
            <w:tcW w:w="4025" w:type="dxa"/>
            <w:tcBorders>
              <w:bottom w:val="single" w:sz="12" w:space="0" w:color="000000"/>
            </w:tcBorders>
            <w:tcMar>
              <w:bottom w:w="28" w:type="dxa"/>
            </w:tcMar>
            <w:vAlign w:val="center"/>
          </w:tcPr>
          <w:p>
            <w:pPr>
              <w:pStyle w:val="TableContents"/>
              <w:bidi w:val="0"/>
              <w:spacing w:before="0" w:after="283"/>
              <w:jc w:val="left"/>
              <w:rPr/>
            </w:pPr>
            <w:r>
              <w:rPr>
                <w:b/>
              </w:rPr>
              <w:t>Aggregate Number of Ordinary Shares</w:t>
              <w:br/>
              <w:t>issuable upon exercise of the Original</w:t>
              <w:br/>
              <w:t>Warrants as of the date hereof:</w:t>
            </w:r>
            <w:r>
              <w:rPr/>
              <w:br/>
              <w:t>1,143,208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Installment Schedule</w:t>
      </w:r>
    </w:p>
    <w:p>
      <w:pPr>
        <w:pStyle w:val="TextBody"/>
        <w:bidi w:val="0"/>
        <w:spacing w:before="0" w:after="0"/>
        <w:ind w:left="720" w:right="0" w:hanging="0"/>
        <w:jc w:val="center"/>
        <w:rPr>
          <w:caps w:val="false"/>
          <w:smallCaps w:val="false"/>
        </w:rPr>
      </w:pPr>
      <w:r>
        <w:rPr>
          <w:caps w:val="false"/>
          <w:smallCaps w:val="false"/>
        </w:rPr>
        <w:t> </w:t>
      </w:r>
    </w:p>
    <w:tbl>
      <w:tblPr>
        <w:tblW w:w="8700" w:type="dxa"/>
        <w:jc w:val="left"/>
        <w:tblInd w:w="0" w:type="dxa"/>
        <w:tblLayout w:type="fixed"/>
        <w:tblCellMar>
          <w:top w:w="0" w:type="dxa"/>
          <w:left w:w="0" w:type="dxa"/>
          <w:bottom w:w="28" w:type="dxa"/>
          <w:right w:w="0" w:type="dxa"/>
        </w:tblCellMar>
      </w:tblPr>
      <w:tblGrid>
        <w:gridCol w:w="1940"/>
        <w:gridCol w:w="60"/>
        <w:gridCol w:w="140"/>
        <w:gridCol w:w="2060"/>
        <w:gridCol w:w="60"/>
        <w:gridCol w:w="60"/>
        <w:gridCol w:w="140"/>
        <w:gridCol w:w="1160"/>
        <w:gridCol w:w="60"/>
        <w:gridCol w:w="60"/>
        <w:gridCol w:w="140"/>
        <w:gridCol w:w="1325"/>
        <w:gridCol w:w="60"/>
        <w:gridCol w:w="60"/>
        <w:gridCol w:w="140"/>
        <w:gridCol w:w="1160"/>
        <w:gridCol w:w="75"/>
      </w:tblGrid>
      <w:tr>
        <w:trPr/>
        <w:tc>
          <w:tcPr>
            <w:tcW w:w="1940" w:type="dxa"/>
            <w:tcBorders>
              <w:bottom w:val="single" w:sz="12" w:space="0" w:color="000000"/>
            </w:tcBorders>
            <w:vAlign w:val="center"/>
          </w:tcPr>
          <w:p>
            <w:pPr>
              <w:pStyle w:val="TableContents"/>
              <w:bidi w:val="0"/>
              <w:spacing w:before="0" w:after="283"/>
              <w:jc w:val="left"/>
              <w:rPr>
                <w:b/>
              </w:rPr>
            </w:pPr>
            <w:r>
              <w:rPr>
                <w:b/>
              </w:rPr>
              <w:t>(1)</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2060" w:type="dxa"/>
            <w:tcBorders>
              <w:bottom w:val="single" w:sz="12" w:space="0" w:color="000000"/>
            </w:tcBorders>
            <w:vAlign w:val="center"/>
          </w:tcPr>
          <w:p>
            <w:pPr>
              <w:pStyle w:val="TableContents"/>
              <w:bidi w:val="0"/>
              <w:spacing w:before="0" w:after="283"/>
              <w:jc w:val="center"/>
              <w:rPr>
                <w:b/>
              </w:rPr>
            </w:pPr>
            <w:r>
              <w:rPr>
                <w:b/>
              </w:rP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 w:type="dxa"/>
            <w:tcBorders>
              <w:bottom w:val="single" w:sz="12" w:space="0" w:color="000000"/>
            </w:tcBorders>
            <w:vAlign w:val="center"/>
          </w:tcPr>
          <w:p>
            <w:pPr>
              <w:pStyle w:val="TableContents"/>
              <w:bidi w:val="0"/>
              <w:spacing w:before="0" w:after="283"/>
              <w:jc w:val="center"/>
              <w:rPr/>
            </w:pPr>
            <w:r>
              <w:rPr/>
              <w:t> </w:t>
            </w:r>
          </w:p>
        </w:tc>
        <w:tc>
          <w:tcPr>
            <w:tcW w:w="1160" w:type="dxa"/>
            <w:tcBorders>
              <w:bottom w:val="single" w:sz="12" w:space="0" w:color="000000"/>
            </w:tcBorders>
            <w:vAlign w:val="center"/>
          </w:tcPr>
          <w:p>
            <w:pPr>
              <w:pStyle w:val="TableContents"/>
              <w:bidi w:val="0"/>
              <w:spacing w:before="0" w:after="283"/>
              <w:jc w:val="center"/>
              <w:rPr>
                <w:b/>
              </w:rPr>
            </w:pPr>
            <w:r>
              <w:rPr>
                <w:b/>
              </w:rPr>
              <w:t>(3)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 w:type="dxa"/>
            <w:tcBorders>
              <w:bottom w:val="single" w:sz="12" w:space="0" w:color="000000"/>
            </w:tcBorders>
            <w:vAlign w:val="center"/>
          </w:tcPr>
          <w:p>
            <w:pPr>
              <w:pStyle w:val="TableContents"/>
              <w:bidi w:val="0"/>
              <w:spacing w:before="0" w:after="283"/>
              <w:jc w:val="center"/>
              <w:rPr/>
            </w:pPr>
            <w:r>
              <w:rPr/>
              <w:t> </w:t>
            </w:r>
          </w:p>
        </w:tc>
        <w:tc>
          <w:tcPr>
            <w:tcW w:w="1325" w:type="dxa"/>
            <w:tcBorders>
              <w:bottom w:val="single" w:sz="12" w:space="0" w:color="000000"/>
            </w:tcBorders>
            <w:vAlign w:val="center"/>
          </w:tcPr>
          <w:p>
            <w:pPr>
              <w:pStyle w:val="TableContents"/>
              <w:bidi w:val="0"/>
              <w:spacing w:before="0" w:after="283"/>
              <w:jc w:val="center"/>
              <w:rPr>
                <w:b/>
              </w:rPr>
            </w:pPr>
            <w:r>
              <w:rPr>
                <w:b/>
              </w:rPr>
              <w:t>(4)</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 w:type="dxa"/>
            <w:tcBorders>
              <w:bottom w:val="single" w:sz="12" w:space="0" w:color="000000"/>
            </w:tcBorders>
            <w:vAlign w:val="center"/>
          </w:tcPr>
          <w:p>
            <w:pPr>
              <w:pStyle w:val="TableContents"/>
              <w:bidi w:val="0"/>
              <w:spacing w:before="0" w:after="283"/>
              <w:jc w:val="center"/>
              <w:rPr/>
            </w:pPr>
            <w:r>
              <w:rPr/>
              <w:t> </w:t>
            </w:r>
          </w:p>
        </w:tc>
        <w:tc>
          <w:tcPr>
            <w:tcW w:w="1160" w:type="dxa"/>
            <w:tcBorders>
              <w:bottom w:val="single" w:sz="12" w:space="0" w:color="000000"/>
            </w:tcBorders>
            <w:vAlign w:val="center"/>
          </w:tcPr>
          <w:p>
            <w:pPr>
              <w:pStyle w:val="TableContents"/>
              <w:bidi w:val="0"/>
              <w:spacing w:before="0" w:after="283"/>
              <w:jc w:val="center"/>
              <w:rPr>
                <w:b/>
              </w:rPr>
            </w:pPr>
            <w:r>
              <w:rPr>
                <w:b/>
              </w:rPr>
              <w:t>(5)</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bottom w:val="single" w:sz="12" w:space="0" w:color="000000"/>
            </w:tcBorders>
            <w:shd w:fill="FFFFFF" w:val="clear"/>
            <w:vAlign w:val="center"/>
          </w:tcPr>
          <w:p>
            <w:pPr>
              <w:pStyle w:val="TableContents"/>
              <w:bidi w:val="0"/>
              <w:spacing w:before="0" w:after="283"/>
              <w:jc w:val="left"/>
              <w:rPr>
                <w:b/>
              </w:rPr>
            </w:pPr>
            <w:r>
              <w:rPr>
                <w:b/>
              </w:rPr>
              <w:t>Installment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2060" w:type="dxa"/>
            <w:tcBorders>
              <w:bottom w:val="single" w:sz="12" w:space="0" w:color="000000"/>
            </w:tcBorders>
            <w:shd w:fill="FFFFFF" w:val="clear"/>
            <w:vAlign w:val="center"/>
          </w:tcPr>
          <w:p>
            <w:pPr>
              <w:pStyle w:val="TableContents"/>
              <w:bidi w:val="0"/>
              <w:spacing w:before="0" w:after="283"/>
              <w:jc w:val="center"/>
              <w:rPr>
                <w:b/>
              </w:rPr>
            </w:pPr>
            <w:r>
              <w:rPr>
                <w:b/>
              </w:rPr>
              <w:t>Note</w:t>
              <w:br/>
              <w:t>Installment Amount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 w:type="dxa"/>
            <w:tcBorders>
              <w:bottom w:val="single" w:sz="12" w:space="0" w:color="000000"/>
            </w:tcBorders>
            <w:shd w:fill="FFFFFF" w:val="clear"/>
            <w:vAlign w:val="center"/>
          </w:tcPr>
          <w:p>
            <w:pPr>
              <w:pStyle w:val="TableContents"/>
              <w:bidi w:val="0"/>
              <w:spacing w:before="0" w:after="283"/>
              <w:jc w:val="center"/>
              <w:rPr/>
            </w:pPr>
            <w:r>
              <w:rPr/>
              <w:t> </w:t>
            </w:r>
          </w:p>
        </w:tc>
        <w:tc>
          <w:tcPr>
            <w:tcW w:w="1160" w:type="dxa"/>
            <w:tcBorders>
              <w:bottom w:val="single" w:sz="12" w:space="0" w:color="000000"/>
            </w:tcBorders>
            <w:shd w:fill="FFFFFF" w:val="clear"/>
            <w:vAlign w:val="center"/>
          </w:tcPr>
          <w:p>
            <w:pPr>
              <w:pStyle w:val="TableContents"/>
              <w:bidi w:val="0"/>
              <w:spacing w:before="0" w:after="283"/>
              <w:jc w:val="center"/>
              <w:rPr>
                <w:b/>
              </w:rPr>
            </w:pPr>
            <w:r>
              <w:rPr>
                <w:b/>
              </w:rPr>
              <w:t>Warrant</w:t>
              <w:br/>
              <w:t>Installment</w:t>
              <w:br/>
              <w:t>Amount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 w:type="dxa"/>
            <w:tcBorders>
              <w:bottom w:val="single" w:sz="12" w:space="0" w:color="000000"/>
            </w:tcBorders>
            <w:shd w:fill="FFFFFF" w:val="clear"/>
            <w:vAlign w:val="center"/>
          </w:tcPr>
          <w:p>
            <w:pPr>
              <w:pStyle w:val="TableContents"/>
              <w:bidi w:val="0"/>
              <w:spacing w:before="0" w:after="283"/>
              <w:jc w:val="center"/>
              <w:rPr/>
            </w:pPr>
            <w:r>
              <w:rPr/>
              <w:t> </w:t>
            </w:r>
          </w:p>
        </w:tc>
        <w:tc>
          <w:tcPr>
            <w:tcW w:w="1325" w:type="dxa"/>
            <w:tcBorders>
              <w:bottom w:val="single" w:sz="12" w:space="0" w:color="000000"/>
            </w:tcBorders>
            <w:shd w:fill="FFFFFF" w:val="clear"/>
            <w:vAlign w:val="center"/>
          </w:tcPr>
          <w:p>
            <w:pPr>
              <w:pStyle w:val="TableContents"/>
              <w:bidi w:val="0"/>
              <w:spacing w:before="0" w:after="283"/>
              <w:jc w:val="center"/>
              <w:rPr>
                <w:b/>
              </w:rPr>
            </w:pPr>
            <w:r>
              <w:rPr>
                <w:b/>
              </w:rPr>
              <w:t>Forbearance</w:t>
              <w:br/>
              <w:t>Installment</w:t>
              <w:br/>
              <w:t>Amount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 w:type="dxa"/>
            <w:tcBorders>
              <w:bottom w:val="single" w:sz="12" w:space="0" w:color="000000"/>
            </w:tcBorders>
            <w:shd w:fill="FFFFFF" w:val="clear"/>
            <w:vAlign w:val="center"/>
          </w:tcPr>
          <w:p>
            <w:pPr>
              <w:pStyle w:val="TableContents"/>
              <w:bidi w:val="0"/>
              <w:spacing w:before="0" w:after="283"/>
              <w:jc w:val="center"/>
              <w:rPr/>
            </w:pPr>
            <w:r>
              <w:rPr/>
              <w:t> </w:t>
            </w:r>
          </w:p>
        </w:tc>
        <w:tc>
          <w:tcPr>
            <w:tcW w:w="1160" w:type="dxa"/>
            <w:tcBorders>
              <w:bottom w:val="single" w:sz="12" w:space="0" w:color="000000"/>
            </w:tcBorders>
            <w:shd w:fill="FFFFFF" w:val="clear"/>
            <w:vAlign w:val="center"/>
          </w:tcPr>
          <w:p>
            <w:pPr>
              <w:pStyle w:val="TableContents"/>
              <w:bidi w:val="0"/>
              <w:spacing w:before="0" w:after="283"/>
              <w:jc w:val="center"/>
              <w:rPr>
                <w:b/>
              </w:rPr>
            </w:pPr>
            <w:r>
              <w:rPr>
                <w:b/>
              </w:rPr>
              <w:t>Aggregate</w:t>
              <w:br/>
              <w:t>Installment</w:t>
              <w:br/>
              <w:t>Amount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June 15, 2026</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July 15,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July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August 14,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August 29,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September 13,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500,000</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September 28,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October 13,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October 28,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December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515,625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515,625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December 15,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515,625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187,500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753,125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January 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February 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187,500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237,500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March 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April 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187,500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237,500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May 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June 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187,500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237,500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July 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August 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187,500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237,500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September 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October 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187,500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237,500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November 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2060"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160" w:type="dxa"/>
            <w:tcBorders>
              <w:bottom w:val="single" w:sz="12" w:space="0" w:color="000000"/>
            </w:tcBorders>
            <w:shd w:fill="CCEEFF" w:val="cle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325" w:type="dxa"/>
            <w:tcBorders>
              <w:bottom w:val="single" w:sz="12" w:space="0" w:color="000000"/>
            </w:tcBorders>
            <w:shd w:fill="CCEEFF" w:val="cle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160" w:type="dxa"/>
            <w:tcBorders>
              <w:bottom w:val="single" w:sz="12" w:space="0" w:color="000000"/>
            </w:tcBorders>
            <w:shd w:fill="CCEEFF" w:val="clear"/>
            <w:vAlign w:val="center"/>
          </w:tcPr>
          <w:p>
            <w:pPr>
              <w:pStyle w:val="TableContents"/>
              <w:bidi w:val="0"/>
              <w:spacing w:before="0" w:after="283"/>
              <w:jc w:val="right"/>
              <w:rPr/>
            </w:pPr>
            <w:r>
              <w:rPr/>
              <w:t>237,500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b/>
              </w:rPr>
            </w:pPr>
            <w:r>
              <w:rPr>
                <w:b/>
              </w:rPr>
              <w:t>Totals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2060" w:type="dxa"/>
            <w:tcBorders>
              <w:bottom w:val="double" w:sz="10" w:space="0" w:color="000000"/>
            </w:tcBorders>
            <w:shd w:fill="FFFFFF" w:val="clear"/>
            <w:vAlign w:val="center"/>
          </w:tcPr>
          <w:p>
            <w:pPr>
              <w:pStyle w:val="TableContents"/>
              <w:bidi w:val="0"/>
              <w:spacing w:before="0" w:after="283"/>
              <w:jc w:val="right"/>
              <w:rPr/>
            </w:pPr>
            <w:r>
              <w:rPr/>
              <w:t>4,531,250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160" w:type="dxa"/>
            <w:tcBorders>
              <w:bottom w:val="double" w:sz="10" w:space="0" w:color="000000"/>
            </w:tcBorders>
            <w:shd w:fill="FFFFFF" w:val="clear"/>
            <w:vAlign w:val="center"/>
          </w:tcPr>
          <w:p>
            <w:pPr>
              <w:pStyle w:val="TableContents"/>
              <w:bidi w:val="0"/>
              <w:spacing w:before="0" w:after="283"/>
              <w:jc w:val="right"/>
              <w:rPr/>
            </w:pPr>
            <w:r>
              <w:rPr/>
              <w:t>600,000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325" w:type="dxa"/>
            <w:tcBorders>
              <w:bottom w:val="double" w:sz="10" w:space="0" w:color="000000"/>
            </w:tcBorders>
            <w:shd w:fill="FFFFFF" w:val="clear"/>
            <w:vAlign w:val="center"/>
          </w:tcPr>
          <w:p>
            <w:pPr>
              <w:pStyle w:val="TableContents"/>
              <w:bidi w:val="0"/>
              <w:spacing w:before="0" w:after="283"/>
              <w:jc w:val="right"/>
              <w:rPr/>
            </w:pPr>
            <w:r>
              <w:rPr/>
              <w:t>2,250,000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160" w:type="dxa"/>
            <w:tcBorders>
              <w:bottom w:val="double" w:sz="10" w:space="0" w:color="000000"/>
            </w:tcBorders>
            <w:shd w:fill="FFFFFF" w:val="clear"/>
            <w:vAlign w:val="center"/>
          </w:tcPr>
          <w:p>
            <w:pPr>
              <w:pStyle w:val="TableContents"/>
              <w:bidi w:val="0"/>
              <w:spacing w:before="0" w:after="283"/>
              <w:jc w:val="right"/>
              <w:rPr/>
            </w:pPr>
            <w:r>
              <w:rPr/>
              <w:t>7,381,250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5185" w:type="dxa"/>
        <w:jc w:val="left"/>
        <w:tblInd w:w="0" w:type="dxa"/>
        <w:tblLayout w:type="fixed"/>
        <w:tblCellMar>
          <w:top w:w="0" w:type="dxa"/>
          <w:left w:w="0" w:type="dxa"/>
          <w:bottom w:w="0" w:type="dxa"/>
          <w:right w:w="0" w:type="dxa"/>
        </w:tblCellMar>
      </w:tblPr>
      <w:tblGrid>
        <w:gridCol w:w="125"/>
        <w:gridCol w:w="506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5060" w:type="dxa"/>
            <w:tcBorders/>
            <w:vAlign w:val="center"/>
          </w:tcPr>
          <w:p>
            <w:pPr>
              <w:pStyle w:val="TableContents"/>
              <w:bidi w:val="0"/>
              <w:spacing w:before="0" w:after="283"/>
              <w:jc w:val="both"/>
              <w:rPr/>
            </w:pPr>
            <w:r>
              <w:rPr/>
              <w:t>Or, if later, at such time that the Agreement is signed.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71" w:name="ea030132501ex10-58.htm"/>
      <w:bookmarkStart w:id="72" w:name="ksea030132501ex1058"/>
      <w:bookmarkEnd w:id="71"/>
      <w:bookmarkEnd w:id="72"/>
      <w:r>
        <w:rPr>
          <w:rFonts w:ascii="Times New Roman;Times;Serif" w:hAnsi="Times New Roman;Times;Serif"/>
          <w:b/>
          <w:i w:val="false"/>
          <w:caps w:val="false"/>
          <w:smallCaps w:val="false"/>
          <w:sz w:val="20"/>
        </w:rPr>
        <w:t>Exhibit 10.58</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(the “Agreement”), dated as of May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with headquarters located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with its address at 21031 Ventura Blvd. Suite 920 Woodland Hills, CA 91364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Section 4(a)(2) of the Securities Act of 1933, as amended (the “1933 Act”) and Rule 506(b) promulgated by the United States Securities and Exchange Commission (the “SEC”)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desires to purchase from the Company, and the Company desires to issue and sell to the Buyer, upon the terms and conditions set forth in this Agreement, a promissory note of the Company, in the aggregate principal amount of $166,667 (as the principal amount thereof may be increased pursuant to the terms thereof, and together with any note(s) issued in replacement thereof or as a dividend thereon or otherwise with respect thereto in accordance with the terms thereof,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“Note”), convertible into Class A ordinary shares of the Company, no par value per share (the “Common Stock”), upon the terms and subject to the limitations and conditions set forth in such Note;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the Note as is set forth in this Agreement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agreements and covenants herein contained, and for other good and valuable consideration, the receipt and sufficiency of which is hereby acknowledged, the Company and the Buyer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of Note.</w:t>
      </w:r>
      <w:r>
        <w:rPr>
          <w:rFonts w:ascii="Times New Roman;Times;Serif" w:hAnsi="Times New Roman;Times;Serif"/>
          <w:b w:val="false"/>
          <w:i w:val="false"/>
          <w:caps w:val="false"/>
          <w:smallCaps w:val="false"/>
          <w:sz w:val="20"/>
        </w:rPr>
        <w:t xml:space="preserve"> On the Closing Date (as defined below), the Company shall issue and sell to the Buyer, and the Buyer agrees to purchase from the Company, the Note, as further provided herein. As used in this Agreement, the term “business day” shall mean any day other than a Saturday, Sunday, or a day on which commercial banks in the city of New York, New York are authorized or required by law or executive order to remain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On the Closing Date: (i) the Buyer shall pay the purchase price of $150,000.00 (the “Purchase Price”) for the Note, to be issued and sold to it at the Closing (as defined below), by wire transfer of immediately available funds to the Company, in accordance with the Company’s written wiring instructions, against delivery of the Note, and (ii) the Company shall deliver such duly executed Note on behalf of the Company, to the Buyer, against delivery of such Purchase Price. On the Closing Date, the Buyer shall withhold $5,000.00 from the Purchase Price to cover the Buyer’s legal fees in connection with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satisfaction (or written waiver) of the conditions thereto set forth in Section 6 and Section 7 below, the date and time of the issuance and sale of the Note pursuant to this Agreement (the “Closing Date”) shall be on the date that the Purchase Price for the Note is paid by Buyer pursuant to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(the “Closing”) shall occur on the Closing Date at such location as may be agreed to by the parties (including via exchange of electronic signatures).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Closing Date, the Buyer is purchasing the Note (the Note, , and shares of Common Stock issuable upon conversion of or otherwise pursuant to the Note (the “Conversion Shares”) shall collectively be referred to herein as the “Securities”) for its own account and not with a present view towards the public sale or distribution thereof, except pursuant to sales registered or exempted from registration under the 1933 Act; provided, however, that by making the representations herein, the Buyer does not agree to hold any of the Securities for any minimum or other specific term and reserves the right to dispose of the Securities at any time in accordance with or pursuant to a registration statement or an exemption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The Buyer is an “accredited investor” as that term is defined in Rule 501(a) of Regulation D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xml:space="preserve">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Buyer and its advisors, if any, have been, and for so long as the Note remains outstanding will continue to be, furnished with all materials relating to the business, finances and operations of the Company and materials relating to the offer and sale of the Securities which have been requested by the Buyer or its advisors. The Buyer and its advisors, if any, have been, and for so long as the Note remains outstanding will continue to be, afforded the opportunity to ask questions of the Company regarding its business and affairs. Notwithstanding the foregoing, the Company has not disclosed to the Buyer any material nonpublic information regarding the Company or otherwise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xml:space="preserve"> The Buyer understands that no United States federal or state agency or any other government or governmental agency has passed upon or made any recommendation or endorsement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Company, an opinion of counsel (which may be the Legal Counsel Opinion (as defined below)) that shall be in form, substance and scope customary for opinions of counsel in comparable transactions to the effect that the Securities to be sold or transferred may be sold or transferred pursuant to an exemption from such registration, which opinion shall be accepted by the Company,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(d) the Securities are sold pursuant to Rule 144 or other applicable exemption, or (e) the Securities are sold pursuant to Regulation S under the 1933 Act (or a successor rule) (“Regulation S”), and the Buyer shall have delivered to the Company, at the cost of the Company, an opinion of counsel that shall be in form, substance and scope customary for opinions of counsel in corporate transactions, which opinion shall be accepted by the Company; (ii) any sale of such Securities made in reliance on Rule 144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 Notwithstanding the foregoing or anything else contained herein to the contrary, the Securities may be pledged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secured by the Securities, and such pledge of Securities shall not be deemed to be a transfer, sale or assignment of the Securities hereunder, and the Buyer in effecting such pledge of Securities shall not be required to provide the Company with any notice thereof or otherwise make any delivery to the Company pursuant to this Agreement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Buyer understands that until such time as the Note and/or Conversion Shares have been registered under the 1933 Act or may be sold pursuant to Rule 144, Rule 144A under the 1933 Act, Regulation S, or other applicable exemption without any restriction as to the number of securities as of a particular date that can then be immediately sold, the Securities may bear a restrictive legend in substantially the following form (and a stop-transfer order may be placed against transfer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RULE 144A, REGULATION S, OR OTHER APPLICABLE EXEMPTION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or book entry statement for the applicable shares of Common Stock without such legend to the holder of any Security upon which it is stamped or (as requested by such holder) issue the applicable shares of Common Stock to such holder by electronic delivery by crediting the account of such holder’s broker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if, unless otherwise required by applicable state securities laws, (a) such Security is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Buyer provides the Legal Counsel Opinion (as contemplated by and in accordance with Section 4(l) hereof) to the effect that a public sale or transfer of such Security may be made without registration under the 1933 Act, which opinion shall be accepted by the Company so that the sale or transfer is effected. The Company shall be responsible for the fees of its transfer agent and all DTC fees associated with any such issuance. The Buyer agrees to sell all Securities, including those represented by a certificate(s) from which the legend has been removed, in compliance with applicable prospectus delivery requirements, if any. In the event that the Company does not accept the opinion of counsel provided by the Buyer with respect to the transfer of Securities pursuant to an exemption from registration, such as Rule 144, Rule 144A, Regulation S, or other applicable exemption at the Deadline (as defined in the Note),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This Agreement has been duly and validly authorized by the Buyer and has been duly executed and delivered on behalf of the Buyer, and this Agreement constitutes a valid and binding agreement of the Buyer enforceable in accordance with its terms, except as enforcement may be limited by bankruptcy, insolvency, reorganization, moratorium or other similar laws affecting creditors’ rights generally and except as may be limited by the exercise of judicial discretion in applying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represents and warrants to the Buyer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(as defined below), if any, is a corporation duly organized, validly existing and in good standing under the laws of the jurisdiction in which it is incorporated or formed, with full power and authority (corporate and other) to own, lease, use and operate its properties and to carry on its business as and where now owned, leased, used, operated and conducted. The SEC Documents set forth a list of all of the Subsidiaries of the Company and the jurisdiction in which each is incorporated. The Company and each of its Subsidiaries is duly qualified to do business and is in good standing in every jurisdiction in which its ownership or use of property or the nature of the business conducted by it makes such qualification necessary except where the failure to be so qualified or in good standing would not have a Material Adverse Effect.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The Company and Subsidiaries have all requisite corporate power and authority to enter into and perform the Transaction Documents and to consummate the transactions contemplated hereby and thereby and to issue the Securities, in accordance with the terms hereof and thereof. The Company represents and warrants that (i) the execution and delivery of the Transaction Documents, the Note, and Conversion Shares by the Company and the consummation by it of the transactions contemplated hereby and thereby (including without limitation, the issuance of the Note as well as the issuance and reservation for issuance of the Conversion Shares issuable upon conversion of the Note) have been duly authorized by the Company’s Board of Directors and no further consent or authorization of the Company, its Board of Directors, its shareholders, or its debt holders is required, (i) the Transaction Documents (together with any other instruments executed in connection herewith or therewith) have been duly executed and delivered by the Company and Subsidiaries by its authorized representatives, and such authorized representatives are the true and official representative with authority to sign the Transaction Documents and the other instruments documents executed in connection herewith or therewith and bind the Company and Subsidiaries accordingly, and (iii) the Transaction Documents constitute, and upon execution and delivery by the Company and Subsidiaries as applicable, each of such instruments will constitute, a legal, valid and binding obligation of the Company and Subsidiaries, enforceable against the Company and Subsidiaries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Capitalization; Governing Documents.</w:t>
      </w:r>
      <w:r>
        <w:rPr>
          <w:rFonts w:ascii="Times New Roman;Times;Serif" w:hAnsi="Times New Roman;Times;Serif"/>
          <w:b w:val="false"/>
          <w:i w:val="false"/>
          <w:caps w:val="false"/>
          <w:smallCaps w:val="false"/>
          <w:sz w:val="20"/>
        </w:rPr>
        <w:t xml:space="preserve"> As of April 14, 2026, the authorized capital stock of the Company consists of: (i) unlimited authorized shares of Common Stock, of which 568,473 shares were issued and outstanding, (ii) unlimited authorized shares of Class B ordinary shares, of which 69 shares were issued and outstanding, and (iii) unlimited authorized shares of preferred stock, of which 0 shares were issued and outstanding. All of such outstanding shares of capital stock of the Company and the Conversion Shares are, or upon issuance will be, duly authorized, validly issued, fully paid and non-assessable. No shares of capital stock of the Company are subject to preemptive rights or any other similar rights of the shareholders of the Company or any liens or encumbrances imposed through the actions or failure to act of the Company. As of the effective date of this Agreement, other than as publicly announced prior to such date and reflected in the SEC Documents of the Company, (i) there are no outstanding options, warrants, scrip, rights to subscribe for, puts, calls, rights of first refusal, agreements, understandings, claims or other commitments or rights of any character whatsoever relating to, or securities or rights convertible into or exchangeable for any shares of capital stock of the Company or any of its Subsidiaries, or arrangements by which the Company or any of its Subsidiaries is or may become bound to issue additional shares of capital stock of the Company or any of its Subsidiaries, (ii) there are no agreements or arrangements under which the Company or any of its Subsidiaries is obligated to register the sale of any of its or their securities under the 1933 Act and (iii) there are no anti-dilution or price adjustment provisions contained in any security issued by the Company (or in any agreement providing rights to security holders) that will be triggered by the issuance of any of the Securities. The Company has furnished to the Buyer true and correct copies of the Company’s Certificate of Incorporation as in effect on the date hereof (“Certificate of Incorporation”), the Company’s By-laws, as in effect on the date hereof (the “By-laws”), and the terms of all securities convertible into or exercisable for Common Stock of the Company and the material rights of the holders thereof in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Conversion Shares.</w:t>
      </w:r>
      <w:r>
        <w:rPr>
          <w:rFonts w:ascii="Times New Roman;Times;Serif" w:hAnsi="Times New Roman;Times;Serif"/>
          <w:b w:val="false"/>
          <w:i w:val="false"/>
          <w:caps w:val="false"/>
          <w:smallCaps w:val="false"/>
          <w:sz w:val="20"/>
        </w:rPr>
        <w:t xml:space="preserve"> The Conversion Shares are duly authorized and reserved for issuance and, upon conversion of the Note in accordance with its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xml:space="preserve"> The Company understands and acknowledges the potentially dilutive effect of the Conversion Shares upon the conversion of the Note to the Common Stock. The Company further acknowledges that its obligation to issue, upon conversion of the Note, the Conversion Shares, are absolute and unconditional regardless of the dilutive effect that such issuance may have on the ownership interests of other shareholders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Documents by the Company and Subsidiaries, and the consummation by the Company and Subsidiaries of the transactions contemplated hereby and thereby (including, without limitation, the issuance and reservation for issuance of the Conversion Shares)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note, evidence of indebtedness,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is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or (iv) trigger any anti-dilution and/or ratchet provision contained in any other contract in which the Company is a party thereto or any security issued by the Company. Neither the Company nor any of its Subsidiaries is in violation of its Certificate of Incorporation, By-laws or other organizational documents and neither the Company nor any of its Subsidiaries is in default (and no event has occurred which with notice or lapse of time or both could put the Company or any of its Subsidiaries in default) under, and neither the Company nor any of its Subsidiaries has taken any action or failed to take any action that would give to others any rights of termination, amendment, acceleration or cancellation of, any agreement, indenture or instrument to which the Company or any of its Subsidiaries is a party or by which any property or assets of the Company or any of its Subsidiaries is bound or affected, except for possible defaults as would not, individually or in the aggregate, have a Material Adverse Effect. The businesses of the Company and its Subsidiaries, if any, are not being conducted, and shall not be conducted so long as the Buyer owns any of the Securities, in violation of any law, ordinance or regulation of any governmental entity. Except as specifically contemplated by this Agreement and as required under the 1933 Act and any applicable state securities laws, the Company is not required to obtain any consent, authorization or order of, or make any filing or registration with, any court, governmental agency, regulatory agency, self-regulatory organization or stock market or any third party in order for it to execute, deliver or perform any of its obligations under this Agreement and the Note in accordance with the terms hereof or thereof or to issue and sell the Note in accordance with the terms hereof and, upon conversion of the Note, issue Conversion Shares. All consents, authorizations, orders, filings and registrations which the Company is required to obtain pursuant to the preceding sentence have been obtained or effected on or prior to the date hereof. The Company is not in violation of the listing requirements of the Principal Market (as defined herein) and does not reasonably anticipate that the Common Stock will be delisted by the Principal Market in the foreseeable future. The Company and its Subsidiaries are unaware of any facts or circumstances which might give rise to any of the foregoing. The “Principal Market” shall mean the principal securities exchange or trading market where such Common Stock is listed or traded, including but not limited to any tier of the OTC Markets, any tier of the NASDAQ Stock Market (including NASDAQ Capital Market), or the NYSE American, or any successor to such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financial statements of the Company included in the SEC Documents, the Company has no liabilities, contingent or otherwise, other than (i) liabilities incurred in the ordinary course of business subsequent to December 31, 2025,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The Company is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2025, there has been no material adverse change and no material adverse development in the assets, liabilities, business, properties, operations, financial condition, results of operations, prospects or 1934 Act reporting status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SEC Documents contain a complete list and summary description of any pending or, to the knowledge of the Company, threatened proceeding against or affecting the Company or any of its Subsidiaries, without regard to whether it would have a Material Adverse Effect. The Company and its Subsidiaries are unaware of any facts or circumstances which might give rise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each of its Subsidiaries owns or possesses the requisite licenses or rights to use all patents, patent applications, patent rights, inventions, know-how, trade secrets, trademarks, trademark applications, service marks, service names, trade names and copyrights (“Intellectual Property”) necessary to enable it to conduct its business as now operated (and, as presently contemplated to be operated in the future); there is no claim or action by any person pertaining to, or proceeding pending, or to the Company’s knowledge threatened, which challenges the right of the Company or of a Subsidiary with respect to any Intellectual Property necessary to enable it to conduct its business as now operated (and, as presently contemplated to be operated in the future); to the best of the Company’s knowledge, the Company’s or its Subsidiaries’ current and intended products, services and processes do not infringe on any Intellectual Property or other rights held by any person; and the Company is unaware of any facts or circumstances which might give rise to any of the foregoing. The Company and each of its Subsidiaries have taken reasonable security measures to protect the secrecy, confidentiality and value of their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 Materially Adverse Contracts, Etc.</w:t>
      </w:r>
      <w:r>
        <w:rPr>
          <w:rFonts w:ascii="Times New Roman;Times;Serif" w:hAnsi="Times New Roman;Times;Serif"/>
          <w:b w:val="false"/>
          <w:i w:val="false"/>
          <w:caps w:val="false"/>
          <w:smallCaps w:val="false"/>
          <w:sz w:val="20"/>
        </w:rPr>
        <w:t xml:space="preserve"> Neither the Company nor any of its Subsidiaries is subject to any charter, corporate or other legal restriction, or any judgment, decree, order, rule or regulation which in the judgment of the Company’s officers has or is expected in the future to have a Material Adverse Effect. Neither the Company nor any of its Subsidiaries is a party to any contract or agreement which in the judgment of the Company’s officers has or is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and each of its Subsidiaries has made or filed all federal, state and foreign income and all other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for arm’s length transactions pursuant to which the Company or any of its Subsidiaries makes payments in the ordinary course of business upon terms no less favorable than the Company or any of its Subsidiaries could obtain from third parties and other than the grant of stock options described in the SEC Documents, none of the officers, directors, or employees of the Company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pursuant to Section 2(d) hereof and otherwise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1934 Act are being incorporated into an effective registration statement filed by the Company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xml:space="preserve"> The Company acknowledges and agrees that the Buyer is acting solely in the capacity of arm’s length purchaser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Buyer’s purchase of the Securities. The Company further represents to the Buyer that the Company’s decision to enter into this Agreement has been based solely on the independent evaluation of the Company and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 The issuance of the Securities to the Buyer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Brokers; No Solicitation.</w:t>
      </w:r>
      <w:r>
        <w:rPr>
          <w:rFonts w:ascii="Times New Roman;Times;Serif" w:hAnsi="Times New Roman;Times;Serif"/>
          <w:b w:val="false"/>
          <w:i w:val="false"/>
          <w:caps w:val="false"/>
          <w:smallCaps w:val="false"/>
          <w:sz w:val="20"/>
        </w:rPr>
        <w:t xml:space="preserve"> Except in the ordinary course of business, the Company has taken no action which would give rise to any claim by any person for brokerage commissions, transaction fees or similar payments relating to this Agreement or the transactions contemplated hereby. The Company represents and warrants that neither the Buyer nor its employee(s), member(s), beneficial owner(s), or partner(s) solicited the Company to enter into this Agreement and consummate the transactions described in this Agreement. The Company represents and warrants that neither the Buyer nor its employee(s), member(s), beneficial owner(s), or partner(s) is required to be registered as a broker-dealer under the Securities Exchange Act of 1934 in order to (i) enter into or consummate the transactions encompassed by this Agreement, the Note, and the related transaction documents entered into in connection herewith (the “Transaction Documents”), (ii) fulfill the Buyer’s obligations under the Transaction Documents, or (iii) exercise any of the Buyer’s rights under the Transaction Documents (including but not limited to the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xml:space="preserve">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“Company Permits”),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Since December 31, 2025,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to the Company’s knowledge, with respect to the Company or any of its Subsidiaries or any predecessor of the Company, no past or present violations of Environmental Laws (as defined below), releases of any material into the environment, actions, activities, circumstances, conditions, events, incidents, or contractual obligations which may give rise to any common law environmental liability or any liability under the Comprehensive Environmental Response, Compensation and Liability Act of 1980 or similar federal, state, local or foreign laws and neither the Company nor any of its Subsidiaries has received any notice with respect to any of the foregoing, nor is any action pending or, to the Company’s knowledge, threatened in connection with any of the foregoing.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those that are or were stored, used or disposed of in compliance with applicable law, no Hazardous Materials are contained on or about any real property currently owned, leased or used by the Company or any of its Subsidiaries, and no Hazardous Materials were released on or about any real property previously owned, leased or used by the Company or any of its Subsidiaries during the period the property was owned, leased or used by the Company or any of its Subsidiaries, except in the normal course of the Company’s or any of its Subsidiaries’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underground storage tanks on or under any real property owned, leased or used by the Company or any of its Subsidiaries that are not in compliance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xml:space="preserv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Upon written request the Company will provide to the Buyer true and correct copies of all policies relating to directors’ and officers’ liability coverage, errors and omissions coverage, and commercial general liability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of its Subsidiaries, nor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The Company (after giving effect to the transactions contemplated by this Agreement) is solvent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its assets have a fair market value in excess of the amount required to pay its probable liabilities on its existing debts as they become absolute and matured) and currently the Company has no information that would lead it to reasonably conclude that the Company would not, after giving effect to the transaction contemplated by this Agreement, have the ability to, nor does it intend to take any action that would impair its ability to, pay its debts from time to time incurred in connection therewith as such debts mature. The Company’s financial statements for its most recent fiscal year end and interim financial statements have been prepared assuming the Company will continue as a going concern, which contemplates the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xml:space="preserve">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or that could reasonably be expected to cause or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Illegal or Unauthorized Payments; Political Contributions</w:t>
      </w:r>
      <w:r>
        <w:rPr>
          <w:rFonts w:ascii="Times New Roman;Times;Serif" w:hAnsi="Times New Roman;Times;Serif"/>
          <w:b w:val="false"/>
          <w:i w:val="false"/>
          <w:caps w:val="false"/>
          <w:smallCaps w:val="false"/>
          <w:sz w:val="20"/>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The Company agrees that if the Company breaches any of the representations or warranties set forth in this Section 3 and in addition to any other remedies available to the Buyer pursuant to this Agreement, it will be considered an Event of Default under Section 3.4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COVENANTS, AGREEMENTS AND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xml:space="preserve"> The parties shall use their best efforts to satisfy timely each of the conditions described in Section 6 and 7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The Company agrees to file a Form D with respect to the Securities if required under Regulation D and to provide a copy thereof to the Buyer promptly after such filing. The Company shall, on or before the Closing Date, take such action as the Company shall reasonably determine is necessary to qualify the Securities for sale to the Buyer at the applicable closing pursuant to this Agreement under applicable securities or “blue sky” laws of the states of the United States (or to obtain an exemption from such qualification), and shall provide evidence of any such action so taken to the Buyer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Purchase Price for business development and general working capital, and not in violation or contravention of any applicable law, rule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Buyer in order to enforce any right or remedy under this Agreement, the Note and any document, agreement or instrument contemplated thereby. Notwithstanding any provision to the contrary contained in this Agreement, the Note and any document, agreement or instrument contemplated thereby, it is expressly agreed and provided that the total liability of the Company under this Agreement, the Note or any document, agreement or instrument contemplated thereby for payments which under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applicable law in the nature of interest that the Company may be obligated to pay under this Agreement, the Note and any document, agreement or instrument contemplated thereby exceed such Maximum Rate. It is agreed that if the maximum contract rate of interest allowed by law applicable to this Agreement, the Note and any document, agreement or instrument contemplated thereby is increased or decreased by statute or any official governmental action subsequent to the date hereof, the new maximum contract rate of interest allowed by law will be the Maximum Rate applicable to this Agreement, the Note and any document, agreement or instrument contemplated thereby from the effective date thereof forward, unless such application is precluded by applicable law. If under any circumstances whatsoever, interest in excess of the Maximum Rate is paid by the Company to the Buyer with respect to indebtedness evidenced by this Agreement, the Note and any document, agreement or instrument contemplated thereby, such excess shall be applied by the Buyer to the unpaid principal balance of any such indebtedness or be refunded to the Company, the manner of handling such excess to be at the Buyer’s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 on Activities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Buyer’s prior written consent, which consent shall not be unreasonably withheld or delayed, sell, divest, acquire, or dispose of all or substantially all of its assets other than in the ordinary course of business, or in the event of a Fundamental Transaction and subject to the conditions set out under Section 4(h)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will, so long as the Buyer owns any of the Securities, maintain the listing and trading of its Common Stock on the Principal Market or any equivalent replacement exchange or electronic quotation system (including but not limited to the Pink Sheets electronic quotation system)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from the Principal Market and any other exchanges or electronic quotation systems on which the Common Stock is then traded regarding the continued eligibility of the Common Stock for listing on such exchanges and quotation systems if requested in writing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The Company will, so long as the Buyer beneficially owns any of the Securities, maintain its corporate existence and shall not sell all or substantially all of the Company’s assets, except in the event of a Fundamental Transaction (as defined in the Note), where the surviving or successor entity in such transaction (i) assumes the Company’s obligations under the Transaction Documents and (ii) is a publicly traded corporation whose Common Stock is listed for trading or quotation on the Principal Market, any tier of the NASDAQ Stock Market, the New York Stock Exchange or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xml:space="preserve">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Compliance with 1934 Act; Public Information Failures.</w:t>
      </w:r>
      <w:r>
        <w:rPr>
          <w:rFonts w:ascii="Times New Roman;Times;Serif" w:hAnsi="Times New Roman;Times;Serif"/>
          <w:b w:val="false"/>
          <w:i w:val="false"/>
          <w:caps w:val="false"/>
          <w:smallCaps w:val="false"/>
          <w:sz w:val="20"/>
        </w:rPr>
        <w:t xml:space="preserve"> For so long as the Buyer beneficially owns the Note or any Conversion Shares, the Company shall comply with the reporting requirements of the 1934 Act; and the Company shall continue to be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Legal Counsel Opinions</w:t>
      </w:r>
      <w:r>
        <w:rPr>
          <w:rFonts w:ascii="Times New Roman;Times;Serif" w:hAnsi="Times New Roman;Times;Serif"/>
          <w:b w:val="false"/>
          <w:i w:val="false"/>
          <w:caps w:val="false"/>
          <w:smallCaps w:val="false"/>
          <w:sz w:val="20"/>
        </w:rPr>
        <w:t>. Upon the request of the Buyer from to time to time, the Company shall be responsible (at its cost) for promptly supplying to the Company’s transfer agent and the Buyer a customary legal opinion letter of its counsel (the “Legal Counsel Opinion”) to the effect that the resale of the Conversion Shares by the Buyer or its affiliates, successors and assigns is exempt from the registration requirements of the 1933 Act pursuant to Rule 144 (provided the requirements of Rule 144 are satisfied and provided the Conversion Shares are not then registered under the 1933 Act for resale pursuant to an effective registration statement) or other applicable exemption (provided the requirements of such other applicable exemption are satisfied). In addition, the Buyer may (at the Company’s cost) at any time secure its own legal counsel to issue the Legal Counsel Opinion, and the Company will instruct its transfer agent to accept such opinion.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Piggy-Back Registration Rights</w:t>
      </w:r>
      <w:r>
        <w:rPr>
          <w:rFonts w:ascii="Times New Roman;Times;Serif" w:hAnsi="Times New Roman;Times;Serif"/>
          <w:b w:val="false"/>
          <w:i w:val="false"/>
          <w:caps w:val="false"/>
          <w:smallCaps w:val="false"/>
          <w:sz w:val="20"/>
        </w:rPr>
        <w:t>. If the Company proposes to file any registration statement covering any of its securities (for sale by the Company, for resale by the holder(s) of such securities, or otherwise) (each a “Registration Statement”), the Company shall at each such time give written notice to Holder of its intention to do so (each a “Registration Notice”) at least five (5) calendar days prior to the filing of such Registration Statement and of the registration rights granted under this Agreement. Upon the written request of Holder made to the Company within three (3) calendar days after the receipt of any such Registration Notice, the Company shall, at its sole cost and expense, effect the registration of all Conversion Shares underlying the Note which the Company has been so requested to register by Holder in such Registration Statement, by inclusion of such Conversion Shares in the Registration Statement, to the extent required to permit the resale and disposition (in accordance with the intended methods of disposition, including but not limited to sales at prevailing market prices) of the Conversion Shares by 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neither it, nor any other person acting on its behalf will provide the Buyer or its agents or counsel with any information that constitutes, or the Company reasonably believes constitutes, material non-public information, unless prior thereto the Buyer shall have consented to the receipt of such information and agreed with the Company to keep such information confidential. The Company understands and confirms that the Buyer shall be relying on the foregoing covenant in effecting transactions in securities of the Company. To the extent that the Company delivers any material, non-public information to the Buyer without such Buyer’s consent, the Company hereby covenants and agrees that such Buyer shall not have any duty of confidentiality to the Company, any of its Subsidiaries, or any of their respective officers, directors, agents, employees or affiliates, not to trade on the basis of, such material, non- public information, provided that the Buyer shall remain subject to applicable law. To the extent that any notice provided, information provided, or any other communications made by the Company, to the Buyer, constitutes or contains material non-public information regarding the Company or any Subsidiaries, the Company shall simultaneously file such notice or other material information with the SEC pursuant to a Current Report on Form 8-K. In addition to any other remedies provided by this Agreement or the related transaction documents, if the Company provides any material non-public information to the Buyer without their prior written consent, and it fails to immediately (no later than that business day) file a Form 8-K disclosing this material non-public information, it shall pay the Buyer as partial liquidated damages and not as a penalty a sum equal to $3,000 per day beginning with the day the information is disclosed to the Buyer and ending and including the day the Form 8-K disclosing this information is filed.</w:t>
      </w:r>
    </w:p>
    <w:p>
      <w:pPr>
        <w:pStyle w:val="TextBody"/>
        <w:bidi w:val="0"/>
        <w:spacing w:before="0" w:after="0"/>
        <w:ind w:left="371" w:right="0" w:firstLine="2088"/>
        <w:jc w:val="both"/>
        <w:rPr>
          <w:caps w:val="false"/>
          <w:smallCaps w:val="false"/>
        </w:rPr>
      </w:pPr>
      <w:r>
        <w:rPr>
          <w:caps w:val="false"/>
          <w:smallCaps w:val="false"/>
        </w:rPr>
        <w:t> </w:t>
      </w:r>
    </w:p>
    <w:p>
      <w:pPr>
        <w:pStyle w:val="TextBody"/>
        <w:bidi w:val="0"/>
        <w:spacing w:before="0" w:after="0"/>
        <w:ind w:left="371" w:right="0" w:firstLine="208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371"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Buyer is currently, or ever has been, a broker-dealer under the Securities Exchange Act of 1934.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xml:space="preserve"> The Company acknowledges and agrees that if the Company breaches any of the covenants set forth in this Section 4, in addition to any other remedies available to the Buyer pursuant to this Agreement, it will be considered an Event of Default under Section 3.3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issue irrevocable instructions to the Company’s transfer agent to issue certificates and/or issue shares electronically at the Buyer’s option, registered in the name of the Buyer or its nominee, upon conversion of the Note, the Conversion Shares, in such amounts as specified from time to time by the Buyer to the Company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reserved shares of Common Stock in the Reserved Amount (as defined in the Note)) signed by the successor transfer agent to the Company and the Company. Prior to registration of the Conversion Shares under the 1933 Act or the date on which the Conversion Shares may be sold pursuant to Rule 144, Rule 144A, Regulation S, or other applicable exemption without any restriction as to the number of Securities as of a particular date that can then be immediately sold, all such certificates or book entry shares shall bear the restrictive legend specified in Section 2(g)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Securities to be issued to the Buyer upon conversion of or otherwise pursuant to the Note as and when required by the Note and this Agreement; (iii) it will not fail to remove (or directs its transfer agent not to remove or impairs, delays, and/or hinders its transfer agent from removing) any restrictive legend (or to withdraw any stop transfer instructions in respect thereof) on any certificate for any Securities issued to the Buyer upon conversion of or otherwise pursuant to the Note as and when required by the Note and/or this Agreement and (iv) it will provide any required corporate resolutions and issuance approvals to its transfer agent within 6 hours of each conversion of the Note. Nothing in this Section shall affect in any way the Buyer’s obligations and agreement set forth in Section 2(g) hereof to comply with all applicable prospectus delivery requirements, if any, upon re-sale of the Securities. If the Buyer provides the Company, at the cost of the Company, with (i) an opinion of counsel in form, substance and scope customary for opinions in comparable transactions, to the effect that a public sale or transfer of such Securities may be made without registration under the 1933 Act and such sale or transfer is effected or (ii) the Buyer provides reasonable assurances that the Securities can be sold pursuant to 144, Rule 144A, Regulation S, or other applicable exemption, the Company shall permit the transfer, and, in the case of the Securities, promptly instruct its transfer agent to issue one or more certificates, free from restrictive legend, in such name and in such denominations as specified by the Buyer.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xml:space="preserve"> The obligation of the Company hereunder to issue and sell the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have executed the Transaction Documents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Buyer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Buyer shall have delivered to the Company all information reasonably necessary and requested by the Company to comply with applicable federal and state securities laws in connection with the Agreement, which shall include, but not be limited to, the Buyer’s principal place of business or domicile for tax and securities law purposes and sufficient information to verify the Buyer’s status as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Conditions to The Buyer’s Obligation to Purchase.</w:t>
      </w:r>
      <w:r>
        <w:rPr>
          <w:rFonts w:ascii="Times New Roman;Times;Serif" w:hAnsi="Times New Roman;Times;Serif"/>
          <w:b w:val="false"/>
          <w:i w:val="false"/>
          <w:caps w:val="false"/>
          <w:smallCaps w:val="false"/>
          <w:sz w:val="20"/>
        </w:rPr>
        <w:t xml:space="preserve"> The obligation of the Buyer hereunder to purchase the Note, on the Closing Date, is subject to the satisfaction, at or before the Closing Date, of each of the following conditions, provided that these conditions are for the Buyer’s sole benefit and may be waived by the Buyer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Subsidiaries, as applicable, shall have executed the Transaction Documents and delivered the same to the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Buyer the duly executed Note in such denominations as the Buyer shall request and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Buyer, shall have been delivered to and acknowledged in writing by the Company’s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Trading in the Common Stock on the Principal Market shall not have been suspended by the SEC, FINRA or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Buyer (i) a certificate evidencing the formation and good standing of the Company in such entity’s jurisdiction of formation issued by the Secretary of State (or comparable office) of such jurisdiction, as of a date within ten (10) days of the Closing Date and (ii) resolutions adopted by the Company’s Board of Directors at a duly called meeting or by unanimous written consent authorizing this Agreement and all other documents, instruments and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Arbitration of Claims; Governing Law; Venue</w:t>
      </w:r>
      <w:r>
        <w:rPr>
          <w:rFonts w:ascii="Times New Roman;Times;Serif" w:hAnsi="Times New Roman;Times;Serif"/>
          <w:b w:val="false"/>
          <w:i w:val="false"/>
          <w:caps w:val="false"/>
          <w:smallCaps w:val="false"/>
          <w:sz w:val="20"/>
        </w:rPr>
        <w:t xml:space="preserve">. The Company and Buyer shall submit all Claims (as defined in Exhibit B of this Purchase Agreement) (the “Claims”) arising under this Agreement or any other agreement between the Company and Buyer or their respective affiliates (including but not limited to the Transaction Documents) or any Claim relating to the relationship of the Company and Buyer or their respective affiliates to binding arbitration pursuant to the arbitration provisions set forth in Exhibit B of the Purchase Agreement (the “Arbitration Provisions”). The Company and Buyer hereby acknowledge and agree that the Arbitration Provisions are unconditionally binding on the Company and Buyer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Buyer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Buyer consent to and expressly agree that the exclusive venue for arbitration of any Claims arising under this Agreement or any other agreement between the Company and Buyer or their respective affiliates (including but not limited to the Transaction Documents) or any Claim relating to the relationship of the Company and Buyer or their respective affiliates shall be in Orange County, California. Without modifying the Company’s and Buyer’s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or otherwise related to Buyer in any way (specifically including, without limitation, any action where Company seeks to obtain an injunction, temporary restraining order, or otherwise prohibit the Company’s transfer agent from issuing shares of Common Stock to Buyer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Buyer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Buyer to realize on any collateral or any other security, or to enforce a judgment or other court ruling in favor of the Buyer,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but all of which shall constitute one and the same agreement and shall become effective when counterparts have been signed by each party and delivered to the other party. A facsimile or .pdf signature shall be considered due execution and shall be binding upon the signatory thereto with the same force and effect as if the signature were an original, not a facsimile or .pdf signature. Delivery of a counterpart signature hereto by facsimile or email/.pdf transmission shall be deemed validly delivery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xml:space="preserve"> This Agreement shall be deemed to be jointly drafted by the Company and the Buyer and shall not be construed against any person as the drafter hereof.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Agreement, the Note, or any other agreement or instrument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Agreement, the Note, or any other agreement, certificate, instrument or document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the Note,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or any agreement or instrument contemplated hereby may be waived or amended other than by an instrument in writing signed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1308"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assigns. The Company shall not assign this Agreement or any rights or obligations hereunder without the prior written consent of the Buyer. The Buyer may assign its rights hereunder to any “accredited investor” (as defined in Rule 501(a) of the 1933 Act) in a private transaction from the Buyer or to any of its “affiliates,” as that term is defined under the 1934 Act, without the consent of the Company but shall provide prior notice to the Company of such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The Company, and the Buyer shall have the right to review a reasonable period of time before issuance of any press releases, SEC, Principal Market or FINRA filings, or any other public statements with respect to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without the prior approval of the Buyer, to make any press release or SEC, Principal Market (or other applicable trading market) or FINRA filings with respect to such transactions as is required by applicable law and regulations (although the Buyer shall be consulted by the Company in connection with any such press release prior to its release and shall be provided with a copy thereof and be given an opportunity to comment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xml:space="preserve">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Buyer’s execution and delivery of this Agreement and acquiring the Securities hereunder, and in addition to all of the Company’s other obligations under this Agreement or the Note, the Company shall defend, protect, indemnify and hold harmless the Buyer and its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the Note or any other agreement, certificate, instrument or document contemplated hereby or thereby, (b) any breach of any covenant, agreement or obligation of the Company contained in this Agreement, the Note or any other agreement,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this Agreement, the Note or any other agreement, certificate, instrument or document contemplated hereby or thereby, (ii) any transaction financed or to be financed in whole or in part, directly or indirectly, with the proceeds of the issuance of the Securities, or (iii) the status of the Buyer or holder of the Securities as an investor in the Company pursuant to the transactions contemplated by this Agreement. To the extent that the foregoing undertaking by the Company may be unenforceable for any reason, the Company shall make the maximum contribution to the payment and satisfaction of each of the Indemnified Liabilities that is permissible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the Note, or any other agreement, certificate, instrument or document contemplated hereby or thereby will be inadequate and agrees, in the event of a breach or threatened breach by the Company of the provisions of this Agreement, the Note, or any other agreement, certificate, instrument or document contemplated hereby or thereby, that the Buyer shall be entitled, in addition to all other available remedies at law or in equity, and in addition to the penalties assessable herein, to an injunction or injunctions restraining, preventing or curing any breach of this Agreement, the Note, or any other agreement, certificate, instrument or document contemplated hereby or thereby, and to enforce specifically the terms and provisions hereof and thereof,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(i) Company makes a payment or payments to the Buyer hereunder, pursuant to the Note or pursuant to any other agreement, certificate, instrument or document contemplated hereby or thereby, or (ii) the Buyer enforces or exercises its rights hereunder or pursuant to the Note, or pursuant to any other agreement, certificate, instrument or document contemplated hereby or thereby,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Buyer,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Buyer a dollar amount equal to the amount that was for any reason (i) subsequently invalidated, declared to be fraudulent or preferential, set aside, recovered from, or disgorged by the Buyer,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Buyer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Buyer existing hereunder are cumulative to, and not exclusive of, any rights or remedies otherwise available.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ind w:left="0" w:right="0" w:hanging="0"/>
        <w:jc w:val="left"/>
        <w:rPr/>
      </w:pPr>
      <w:r>
        <w:rPr>
          <w:caps w:val="false"/>
          <w:smallCaps w:val="false"/>
        </w:rPr>
        <w:t> </w:t>
      </w:r>
      <w:r>
        <w:rPr/>
        <w:t xml:space="preserve"> </w:t>
      </w:r>
    </w:p>
    <w:tbl>
      <w:tblPr>
        <w:tblW w:w="4335" w:type="dxa"/>
        <w:jc w:val="left"/>
        <w:tblInd w:w="0" w:type="dxa"/>
        <w:tblLayout w:type="fixed"/>
        <w:tblCellMar>
          <w:top w:w="0" w:type="dxa"/>
          <w:left w:w="0" w:type="dxa"/>
          <w:bottom w:w="0" w:type="dxa"/>
          <w:right w:w="0" w:type="dxa"/>
        </w:tblCellMar>
      </w:tblPr>
      <w:tblGrid>
        <w:gridCol w:w="380"/>
        <w:gridCol w:w="650"/>
        <w:gridCol w:w="3230"/>
        <w:gridCol w:w="75"/>
      </w:tblGrid>
      <w:tr>
        <w:trPr/>
        <w:tc>
          <w:tcPr>
            <w:tcW w:w="4260"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NEWGENIVF GROUP LIMITED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88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caps w:val="false"/>
          <w:smallCaps w:val="false"/>
        </w:rPr>
        <w:t> </w:t>
      </w:r>
      <w:r>
        <w:rPr/>
        <w:t xml:space="preserve"> </w:t>
      </w:r>
    </w:p>
    <w:tbl>
      <w:tblPr>
        <w:tblW w:w="3600" w:type="dxa"/>
        <w:jc w:val="left"/>
        <w:tblInd w:w="0" w:type="dxa"/>
        <w:tblLayout w:type="fixed"/>
        <w:tblCellMar>
          <w:top w:w="0" w:type="dxa"/>
          <w:left w:w="0" w:type="dxa"/>
          <w:bottom w:w="0" w:type="dxa"/>
          <w:right w:w="0" w:type="dxa"/>
        </w:tblCellMar>
      </w:tblPr>
      <w:tblGrid>
        <w:gridCol w:w="380"/>
        <w:gridCol w:w="650"/>
        <w:gridCol w:w="2495"/>
        <w:gridCol w:w="75"/>
      </w:tblGrid>
      <w:tr>
        <w:trPr/>
        <w:tc>
          <w:tcPr>
            <w:tcW w:w="3525" w:type="dxa"/>
            <w:gridSpan w:val="3"/>
            <w:tcBorders/>
            <w:vAlign w:val="center"/>
          </w:tcPr>
          <w:p>
            <w:pPr>
              <w:pStyle w:val="TableContents"/>
              <w:bidi w:val="0"/>
              <w:spacing w:before="0" w:after="283"/>
              <w:jc w:val="left"/>
              <w:rPr>
                <w:b/>
              </w:rPr>
            </w:pPr>
            <w:r>
              <w:rPr>
                <w:b/>
              </w:rPr>
              <w:t>WHITE LION CAPITAL LLC</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145" w:type="dxa"/>
            <w:gridSpan w:val="2"/>
            <w:tcBorders>
              <w:bottom w:val="single" w:sz="12" w:space="0" w:color="000000"/>
            </w:tcBorders>
            <w:tcMar>
              <w:bottom w:w="28" w:type="dxa"/>
            </w:tcMar>
            <w:vAlign w:val="center"/>
          </w:tcPr>
          <w:p>
            <w:pPr>
              <w:pStyle w:val="TableContents"/>
              <w:bidi w:val="0"/>
              <w:spacing w:before="0" w:after="283"/>
              <w:jc w:val="left"/>
              <w:rPr/>
            </w:pPr>
            <w:r>
              <w:rPr/>
              <w:t>/s/ Nathan Yee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495" w:type="dxa"/>
            <w:tcBorders/>
            <w:vAlign w:val="center"/>
          </w:tcPr>
          <w:p>
            <w:pPr>
              <w:pStyle w:val="TableContents"/>
              <w:bidi w:val="0"/>
              <w:spacing w:before="0" w:after="283"/>
              <w:jc w:val="left"/>
              <w:rPr/>
            </w:pPr>
            <w:r>
              <w:rPr/>
              <w:t>NATHAN YEE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495" w:type="dxa"/>
            <w:tcBorders/>
            <w:vAlign w:val="center"/>
          </w:tcPr>
          <w:p>
            <w:pPr>
              <w:pStyle w:val="TableContents"/>
              <w:bidi w:val="0"/>
              <w:spacing w:before="0" w:after="283"/>
              <w:jc w:val="left"/>
              <w:rPr/>
            </w:pPr>
            <w:r>
              <w:rPr/>
              <w:t>MANAGING MEMBER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4202" w:right="0" w:hanging="1"/>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FORM OF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[attached hereto]</w:t>
      </w:r>
    </w:p>
    <w:p>
      <w:pPr>
        <w:pStyle w:val="TextBody"/>
        <w:bidi w:val="0"/>
        <w:spacing w:before="0" w:after="0"/>
        <w:ind w:left="309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Each party consents to and expressly agrees that the exclusive venue for arbitration of any dispute arising out of or relating to any of the Transaction Documents or the relationship of the parties or their affiliates shall be in Orange County, California. For purposes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means any disputes, claims, demands, causes of action, requests for injunctive relief, requests for specific performance, questions regarding severability of any provisions of the Transaction Documents,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The parties to this Agreement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hereby agree that the Claims may be arbitrated in one or more Arbitrations pursuant to these Arbitration Provisions (one for an injunction or injunctions and a separate one for all other Claims). The parties hereby agree that the arbitration provisions set forth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Arbitration Provisions</w:t>
      </w:r>
      <w:r>
        <w:rPr>
          <w:rFonts w:ascii="Times New Roman;Times;Serif" w:hAnsi="Times New Roman;Times;Serif"/>
          <w:b w:val="false"/>
          <w:i w:val="false"/>
          <w:caps w:val="false"/>
          <w:smallCaps w:val="false"/>
          <w:sz w:val="20"/>
        </w:rPr>
        <w:t>”)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These Arbitration Provisions shall also survive any termination or expiration of the Agreement. Any capitalized term not defined in these Arbitration Provisions shall have the meaning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Except as otherwise provided herein, all Claims must be submitted to arbitration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 to be conducted exclusively in Orange County, California and pursuant to the terms set forth in these Arbitration Provisions. Subject to the arbitration appeal right provided for in Paragraph 5 below (the “</w:t>
      </w:r>
      <w:r>
        <w:rPr>
          <w:rFonts w:ascii="Times New Roman;Times;Serif" w:hAnsi="Times New Roman;Times;Serif"/>
          <w:b/>
          <w:i w:val="false"/>
          <w:caps w:val="false"/>
          <w:smallCaps w:val="false"/>
          <w:sz w:val="20"/>
        </w:rPr>
        <w:t>Appeal Right</w:t>
      </w:r>
      <w:r>
        <w:rPr>
          <w:rFonts w:ascii="Times New Roman;Times;Serif" w:hAnsi="Times New Roman;Times;Serif"/>
          <w:b w:val="false"/>
          <w:i w:val="false"/>
          <w:caps w:val="false"/>
          <w:smallCaps w:val="false"/>
          <w:sz w:val="20"/>
        </w:rPr>
        <w:t>”), the parties agree that the award of the arbitrator rendered pursuant to Paragraph 4 below (the “</w:t>
      </w:r>
      <w:r>
        <w:rPr>
          <w:rFonts w:ascii="Times New Roman;Times;Serif" w:hAnsi="Times New Roman;Times;Serif"/>
          <w:b/>
          <w:i w:val="false"/>
          <w:caps w:val="false"/>
          <w:smallCaps w:val="false"/>
          <w:sz w:val="20"/>
        </w:rPr>
        <w:t>Arbitration Award</w:t>
      </w:r>
      <w:r>
        <w:rPr>
          <w:rFonts w:ascii="Times New Roman;Times;Serif" w:hAnsi="Times New Roman;Times;Serif"/>
          <w:b w:val="false"/>
          <w:i w:val="false"/>
          <w:caps w:val="false"/>
          <w:smallCaps w:val="false"/>
          <w:sz w:val="20"/>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(with respect to monetary awards) at the rate specified in the Note for Default Interest both before and after the Arbitration Award. Judgment upon the Arbitration Award will be entered and enforced by any state or federal court sitting in Orange County,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The Arbitration Act</w:t>
      </w:r>
      <w:r>
        <w:rPr>
          <w:rFonts w:ascii="Times New Roman;Times;Serif" w:hAnsi="Times New Roman;Times;Serif"/>
          <w:b w:val="false"/>
          <w:i w:val="false"/>
          <w:caps w:val="false"/>
          <w:smallCaps w:val="false"/>
          <w:sz w:val="20"/>
        </w:rPr>
        <w:t>. The parties hereby incorporate herein the provisions and procedures set forth in the California Arbitration Act, Title 9 §§ 1280-1294.4 (as amended or superseded from time to time, the “</w:t>
      </w:r>
      <w:r>
        <w:rPr>
          <w:rFonts w:ascii="Times New Roman;Times;Serif" w:hAnsi="Times New Roman;Times;Serif"/>
          <w:b/>
          <w:i w:val="false"/>
          <w:caps w:val="false"/>
          <w:smallCaps w:val="false"/>
          <w:sz w:val="20"/>
        </w:rPr>
        <w:t>Arbitration Act</w:t>
      </w:r>
      <w:r>
        <w:rPr>
          <w:rFonts w:ascii="Times New Roman;Times;Serif" w:hAnsi="Times New Roman;Times;Serif"/>
          <w:b w:val="false"/>
          <w:i w:val="false"/>
          <w:caps w:val="false"/>
          <w:smallCaps w:val="false"/>
          <w:sz w:val="20"/>
        </w:rPr>
        <w:t>”). Notwithstanding the foregoing, pursuant to, and to the maximum extent permitted by,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Arbitration Proceedings</w:t>
      </w:r>
      <w:r>
        <w:rPr>
          <w:rFonts w:ascii="Times New Roman;Times;Serif" w:hAnsi="Times New Roman;Times;Serif"/>
          <w:b w:val="false"/>
          <w:i w:val="false"/>
          <w:caps w:val="false"/>
          <w:smallCaps w:val="false"/>
          <w:sz w:val="20"/>
        </w:rPr>
        <w:t>. Arbitration between the parties will be subject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caps w:val="false"/>
          <w:smallCaps w:val="false"/>
          <w:sz w:val="20"/>
        </w:rPr>
        <w:t>Initiation of Arbitration</w:t>
      </w:r>
      <w:r>
        <w:rPr>
          <w:rFonts w:ascii="Times New Roman;Times;Serif" w:hAnsi="Times New Roman;Times;Serif"/>
          <w:b w:val="false"/>
          <w:i w:val="false"/>
          <w:caps w:val="false"/>
          <w:smallCaps w:val="false"/>
          <w:sz w:val="20"/>
        </w:rPr>
        <w:t>. The parties agree that a party may initiate Arbitration by giving written notice to the other party (“</w:t>
      </w:r>
      <w:r>
        <w:rPr>
          <w:rFonts w:ascii="Times New Roman;Times;Serif" w:hAnsi="Times New Roman;Times;Serif"/>
          <w:b/>
          <w:i w:val="false"/>
          <w:caps w:val="false"/>
          <w:smallCaps w:val="false"/>
          <w:sz w:val="20"/>
        </w:rPr>
        <w:t>Arbitration Notice</w:t>
      </w:r>
      <w:r>
        <w:rPr>
          <w:rFonts w:ascii="Times New Roman;Times;Serif" w:hAnsi="Times New Roman;Times;Serif"/>
          <w:b w:val="false"/>
          <w:i w:val="false"/>
          <w:caps w:val="false"/>
          <w:smallCaps w:val="false"/>
          <w:sz w:val="20"/>
        </w:rPr>
        <w:t xml:space="preserve">”) in the same manner that notice is permitted under Section 8(f) of the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Arbitration Notice may not be given by email or fax. Arbitration will be deemed initiated as of the date that the Arbitration Notice is deemed physically delivered to such other party under Section 8(f) of the Agreement (the “</w:t>
      </w:r>
      <w:r>
        <w:rPr>
          <w:rFonts w:ascii="Times New Roman;Times;Serif" w:hAnsi="Times New Roman;Times;Serif"/>
          <w:b/>
          <w:i w:val="false"/>
          <w:caps w:val="false"/>
          <w:smallCaps w:val="false"/>
          <w:sz w:val="20"/>
        </w:rPr>
        <w:t>Service Date</w:t>
      </w:r>
      <w:r>
        <w:rPr>
          <w:rFonts w:ascii="Times New Roman;Times;Serif" w:hAnsi="Times New Roman;Times;Serif"/>
          <w:b w:val="false"/>
          <w:i w:val="false"/>
          <w:caps w:val="false"/>
          <w:smallCaps w:val="false"/>
          <w:sz w:val="20"/>
        </w:rPr>
        <w:t>”). After the Service Date, information may be delivered, and notices may be given, by email or fax pursuant to Section 8(f) of the Agreement or any other method permitted thereunder. The Arbitration Notice must describe the nature of the controversy, the remedies sought, and the election to commence Arbitration proceedings. All Claims in the Arbitration Notice must be pleaded consistent with the California Code of Civil Procedure.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caps w:val="false"/>
          <w:smallCaps w:val="false"/>
          <w:sz w:val="20"/>
        </w:rPr>
        <w:t>Selection and Payment of Arbitrator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Service Date, Buyer shall select and submit to Company the names of four (4) arbitrators that are designated as “neutrals” or qualified arbitrators by American Arbitration Association (“AAA”) (https://www.adr.org/) or other arbitration service provider agreed upon by the parties (such four (4) designated persons hereunder are referred to herein as the “</w:t>
      </w:r>
      <w:r>
        <w:rPr>
          <w:rFonts w:ascii="Times New Roman;Times;Serif" w:hAnsi="Times New Roman;Times;Serif"/>
          <w:b/>
          <w:i w:val="false"/>
          <w:caps w:val="false"/>
          <w:smallCaps w:val="false"/>
          <w:sz w:val="20"/>
        </w:rPr>
        <w:t>Proposed Arbitrators</w:t>
      </w:r>
      <w:r>
        <w:rPr>
          <w:rFonts w:ascii="Times New Roman;Times;Serif" w:hAnsi="Times New Roman;Times;Serif"/>
          <w:b w:val="false"/>
          <w:i w:val="false"/>
          <w:caps w:val="false"/>
          <w:smallCaps w:val="false"/>
          <w:sz w:val="20"/>
        </w:rPr>
        <w:t>”). Within five (5) calendar days after Buyer has submitted to Company the names of the Proposed Arbitrators, Company must select, by written notice to Buyer, one (1) of the Proposed Arbitrators to act as the arbitrator for the parties under these Arbitration Provisions. If Company fails to select one of the Proposed Arbitrators in writing within such 5-day period, then Buyer may select the arbitrator from the Proposed Arbitrators by providing written notice of such selection to Company. The date that the Proposed Arbitrator selected pursuant to this Paragraph 4.2 agrees in writing (including via email) delivered to both parties to serve as the arbitrator hereunder is referred to herein as the “</w:t>
      </w:r>
      <w:r>
        <w:rPr>
          <w:rFonts w:ascii="Times New Roman;Times;Serif" w:hAnsi="Times New Roman;Times;Serif"/>
          <w:b/>
          <w:i w:val="false"/>
          <w:caps w:val="false"/>
          <w:smallCaps w:val="false"/>
          <w:sz w:val="20"/>
        </w:rPr>
        <w:t>Arbitration Commencement Date</w:t>
      </w:r>
      <w:r>
        <w:rPr>
          <w:rFonts w:ascii="Times New Roman;Times;Serif" w:hAnsi="Times New Roman;Times;Serif"/>
          <w:b w:val="false"/>
          <w:i w:val="false"/>
          <w:caps w:val="false"/>
          <w:smallCaps w:val="false"/>
          <w:sz w:val="20"/>
        </w:rPr>
        <w:t>”. If an arbitrator resigns or is unable to act during the Arbitration, a replacement arbitrator shall be chosen by Buyer in accordance with this Paragraph 4.2 to continue the Arbitration. If AAA or other arbitration service provider agreed upon by the parties ceases to exist or to provide a list of neutrals and there is no successor thereto, then the arbitrator shall be selected under the then prevailing rules of the American Arbitration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caps w:val="false"/>
          <w:smallCaps w:val="false"/>
          <w:sz w:val="20"/>
        </w:rPr>
        <w:t>Applicability of Certain California Rules</w:t>
      </w:r>
      <w:r>
        <w:rPr>
          <w:rFonts w:ascii="Times New Roman;Times;Serif" w:hAnsi="Times New Roman;Times;Serif"/>
          <w:b w:val="false"/>
          <w:i w:val="false"/>
          <w:caps w:val="false"/>
          <w:smallCaps w:val="false"/>
          <w:sz w:val="20"/>
        </w:rPr>
        <w:t>. The parties agree that the Arbitration shall be conducted generally in accordance with the California Code of Civil Procedure and the California Rules of Evidence. More specifically, the California Code of Civil Procedure shall apply, without limitation, to the filing of any pleadings, motions or memoranda, the conducting of discovery, and the taking of any depositions. The California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California Code of Civil Procedure or the California Rules of Evidence and these Arbitration Provisions, these Arbitration Provisions shall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caps w:val="false"/>
          <w:smallCaps w:val="false"/>
          <w:sz w:val="20"/>
        </w:rPr>
        <w:t>Answer and Default</w:t>
      </w:r>
      <w:r>
        <w:rPr>
          <w:rFonts w:ascii="Times New Roman;Times;Serif" w:hAnsi="Times New Roman;Times;Serif"/>
          <w:b w:val="false"/>
          <w:i w:val="false"/>
          <w:caps w:val="false"/>
          <w:smallCaps w:val="false"/>
          <w:sz w:val="20"/>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Discovery</w:t>
      </w:r>
      <w:r>
        <w:rPr>
          <w:rFonts w:ascii="Times New Roman;Times;Serif" w:hAnsi="Times New Roman;Times;Serif"/>
          <w:b w:val="false"/>
          <w:i w:val="false"/>
          <w:caps w:val="false"/>
          <w:smallCaps w:val="false"/>
          <w:sz w:val="20"/>
        </w:rPr>
        <w:t>. The parties agree that discovery shall be conducted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Dispositive Motions</w:t>
      </w:r>
      <w:r>
        <w:rPr>
          <w:rFonts w:ascii="Times New Roman;Times;Serif" w:hAnsi="Times New Roman;Times;Serif"/>
          <w:b w:val="false"/>
          <w:i w:val="false"/>
          <w:caps w:val="false"/>
          <w:smallCaps w:val="false"/>
          <w:sz w:val="20"/>
        </w:rPr>
        <w:t>. Each party shall have the right to submit dispositive motions pursuant to the California Code of Civil Procedure (a “</w:t>
      </w:r>
      <w:r>
        <w:rPr>
          <w:rFonts w:ascii="Times New Roman;Times;Serif" w:hAnsi="Times New Roman;Times;Serif"/>
          <w:b/>
          <w:i w:val="false"/>
          <w:caps w:val="false"/>
          <w:smallCaps w:val="false"/>
          <w:sz w:val="20"/>
        </w:rPr>
        <w:t>Dispositive Motion</w:t>
      </w:r>
      <w:r>
        <w:rPr>
          <w:rFonts w:ascii="Times New Roman;Times;Serif" w:hAnsi="Times New Roman;Times;Serif"/>
          <w:b w:val="false"/>
          <w:i w:val="false"/>
          <w:caps w:val="false"/>
          <w:smallCaps w:val="false"/>
          <w:sz w:val="20"/>
        </w:rPr>
        <w:t>”). The party submitting the Dispositive Motion may, but is not required to, deliver to the arbitrator and to the other party a memorandum in support (the “</w:t>
      </w:r>
      <w:r>
        <w:rPr>
          <w:rFonts w:ascii="Times New Roman;Times;Serif" w:hAnsi="Times New Roman;Times;Serif"/>
          <w:b/>
          <w:i w:val="false"/>
          <w:caps w:val="false"/>
          <w:smallCaps w:val="false"/>
          <w:sz w:val="20"/>
        </w:rPr>
        <w:t>Memorandum in Support</w:t>
      </w:r>
      <w:r>
        <w:rPr>
          <w:rFonts w:ascii="Times New Roman;Times;Serif" w:hAnsi="Times New Roman;Times;Serif"/>
          <w:b w:val="false"/>
          <w:i w:val="false"/>
          <w:caps w:val="false"/>
          <w:smallCaps w:val="false"/>
          <w:sz w:val="20"/>
        </w:rPr>
        <w:t>”) of the Dispositive Motion. Within seven (7) calendar days of delivery of the Memorandum in Support, the other party shall deliver to the arbitrator and to the other party a memorandum in opposition to the Memorandum in Support (the “</w:t>
      </w:r>
      <w:r>
        <w:rPr>
          <w:rFonts w:ascii="Times New Roman;Times;Serif" w:hAnsi="Times New Roman;Times;Serif"/>
          <w:b/>
          <w:i w:val="false"/>
          <w:caps w:val="false"/>
          <w:smallCaps w:val="false"/>
          <w:sz w:val="20"/>
        </w:rPr>
        <w:t>Memorandum in Opposition</w:t>
      </w:r>
      <w:r>
        <w:rPr>
          <w:rFonts w:ascii="Times New Roman;Times;Serif" w:hAnsi="Times New Roman;Times;Serif"/>
          <w:b w:val="false"/>
          <w:i w:val="false"/>
          <w:caps w:val="false"/>
          <w:smallCaps w:val="false"/>
          <w:sz w:val="20"/>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Times;Serif" w:hAnsi="Times New Roman;Times;Serif"/>
          <w:b/>
          <w:i w:val="false"/>
          <w:caps w:val="false"/>
          <w:smallCaps w:val="false"/>
          <w:sz w:val="20"/>
        </w:rPr>
        <w:t>Reply Memorandum</w:t>
      </w:r>
      <w:r>
        <w:rPr>
          <w:rFonts w:ascii="Times New Roman;Times;Serif" w:hAnsi="Times New Roman;Times;Serif"/>
          <w:b w:val="false"/>
          <w:i w:val="false"/>
          <w:caps w:val="false"/>
          <w:smallCaps w:val="false"/>
          <w:sz w:val="20"/>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caps w:val="false"/>
          <w:smallCaps w:val="false"/>
          <w:sz w:val="20"/>
        </w:rPr>
        <w:t>Authorization; Timing; Scheduling Order</w:t>
      </w:r>
      <w:r>
        <w:rPr>
          <w:rFonts w:ascii="Times New Roman;Times;Serif" w:hAnsi="Times New Roman;Times;Serif"/>
          <w:b w:val="false"/>
          <w:i w:val="false"/>
          <w:caps w:val="false"/>
          <w:smallCaps w:val="false"/>
          <w:sz w:val="20"/>
        </w:rPr>
        <w:t>. Subject to all other portions of these Arbitration Provisions, the parties hereby authorize and direct the arbitrator to take such actions and make such rulings as may be necessary to carry out the parties’ intent for the Arbitration proceedings to be efficient and expeditious. The parties hereby agree that an Arbitration Award must be made within one hundred twenty (120) calendar days after the Arbitration Commencement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caps w:val="false"/>
          <w:smallCaps w:val="false"/>
          <w:sz w:val="20"/>
        </w:rPr>
        <w:t>Relief</w:t>
      </w:r>
      <w:r>
        <w:rPr>
          <w:rFonts w:ascii="Times New Roman;Times;Serif" w:hAnsi="Times New Roman;Times;Serif"/>
          <w:b w:val="false"/>
          <w:i w:val="false"/>
          <w:caps w:val="false"/>
          <w:smallCaps w:val="false"/>
          <w:sz w:val="20"/>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Arbitration Appeal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caps w:val="false"/>
          <w:smallCaps w:val="false"/>
          <w:sz w:val="20"/>
        </w:rPr>
        <w:t xml:space="preserve">Initiation of Appeal. </w:t>
      </w:r>
      <w:r>
        <w:rPr>
          <w:rFonts w:ascii="Times New Roman;Times;Serif" w:hAnsi="Times New Roman;Times;Serif"/>
          <w:b w:val="false"/>
          <w:i w:val="false"/>
          <w:caps w:val="false"/>
          <w:smallCaps w:val="false"/>
          <w:sz w:val="20"/>
        </w:rPr>
        <w:t>Following the entry of the Arbitration Award, either party (the “</w:t>
      </w:r>
      <w:r>
        <w:rPr>
          <w:rFonts w:ascii="Times New Roman;Times;Serif" w:hAnsi="Times New Roman;Times;Serif"/>
          <w:b/>
          <w:i w:val="false"/>
          <w:caps w:val="false"/>
          <w:smallCaps w:val="false"/>
          <w:sz w:val="20"/>
        </w:rPr>
        <w:t>Appellant</w:t>
      </w:r>
      <w:r>
        <w:rPr>
          <w:rFonts w:ascii="Times New Roman;Times;Serif" w:hAnsi="Times New Roman;Times;Serif"/>
          <w:b w:val="false"/>
          <w:i w:val="false"/>
          <w:caps w:val="false"/>
          <w:smallCaps w:val="false"/>
          <w:sz w:val="20"/>
        </w:rPr>
        <w:t>”) shall have a period of thirty (30) calendar days in which to notify the other party (the “</w:t>
      </w:r>
      <w:r>
        <w:rPr>
          <w:rFonts w:ascii="Times New Roman;Times;Serif" w:hAnsi="Times New Roman;Times;Serif"/>
          <w:b/>
          <w:i w:val="false"/>
          <w:caps w:val="false"/>
          <w:smallCaps w:val="false"/>
          <w:sz w:val="20"/>
        </w:rPr>
        <w:t>Appellee</w:t>
      </w:r>
      <w:r>
        <w:rPr>
          <w:rFonts w:ascii="Times New Roman;Times;Serif" w:hAnsi="Times New Roman;Times;Serif"/>
          <w:b w:val="false"/>
          <w:i w:val="false"/>
          <w:caps w:val="false"/>
          <w:smallCaps w:val="false"/>
          <w:sz w:val="20"/>
        </w:rPr>
        <w:t>”), in writing, that the Appellant elects to appeal (the “</w:t>
      </w:r>
      <w:r>
        <w:rPr>
          <w:rFonts w:ascii="Times New Roman;Times;Serif" w:hAnsi="Times New Roman;Times;Serif"/>
          <w:b/>
          <w:i w:val="false"/>
          <w:caps w:val="false"/>
          <w:smallCaps w:val="false"/>
          <w:sz w:val="20"/>
        </w:rPr>
        <w:t>Appeal</w:t>
      </w:r>
      <w:r>
        <w:rPr>
          <w:rFonts w:ascii="Times New Roman;Times;Serif" w:hAnsi="Times New Roman;Times;Serif"/>
          <w:b w:val="false"/>
          <w:i w:val="false"/>
          <w:caps w:val="false"/>
          <w:smallCaps w:val="false"/>
          <w:sz w:val="20"/>
        </w:rPr>
        <w:t>”) the Arbitration Award (such notice, an “</w:t>
      </w:r>
      <w:r>
        <w:rPr>
          <w:rFonts w:ascii="Times New Roman;Times;Serif" w:hAnsi="Times New Roman;Times;Serif"/>
          <w:b/>
          <w:i w:val="false"/>
          <w:caps w:val="false"/>
          <w:smallCaps w:val="false"/>
          <w:sz w:val="20"/>
        </w:rPr>
        <w:t>Appeal Notice</w:t>
      </w:r>
      <w:r>
        <w:rPr>
          <w:rFonts w:ascii="Times New Roman;Times;Serif" w:hAnsi="Times New Roman;Times;Serif"/>
          <w:b w:val="false"/>
          <w:i w:val="false"/>
          <w:caps w:val="false"/>
          <w:smallCaps w:val="false"/>
          <w:sz w:val="20"/>
        </w:rPr>
        <w:t>”) to a panel of arbitrators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caps w:val="false"/>
          <w:smallCaps w:val="false"/>
          <w:sz w:val="20"/>
        </w:rPr>
        <w:t xml:space="preserve">Fees and Costs. </w:t>
      </w:r>
      <w:r>
        <w:rPr>
          <w:rFonts w:ascii="Times New Roman;Times;Serif" w:hAnsi="Times New Roman;Times;Serif"/>
          <w:b w:val="false"/>
          <w:i w:val="false"/>
          <w:caps w:val="false"/>
          <w:smallCaps w:val="false"/>
          <w:sz w:val="20"/>
        </w:rPr>
        <w:t>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Except as otherwise expressly provided for in these Arbitration Provisions, these Arbitration Provisions shall be governed by the laws of the State of Delaware without regard to the conflict of laws principles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headings of these Arbitration Provisions are for convenience of reference only and shall not form part of, or affect the interpretation of, these Arbitration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caps w:val="false"/>
          <w:smallCaps w:val="false"/>
          <w:sz w:val="20"/>
        </w:rPr>
        <w:t>Waiver</w:t>
      </w:r>
      <w:r>
        <w:rPr>
          <w:rFonts w:ascii="Times New Roman;Times;Serif" w:hAnsi="Times New Roman;Times;Serif"/>
          <w:b w:val="false"/>
          <w:i w:val="false"/>
          <w:caps w:val="false"/>
          <w:smallCaps w:val="false"/>
          <w:sz w:val="20"/>
        </w:rPr>
        <w:t>. No waiver of any provision of these Arbitration Provisions shall be effective unless it is in the form of a writing signed by the party granting the waiver.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caps w:val="false"/>
          <w:smallCaps w:val="false"/>
          <w:sz w:val="20"/>
        </w:rPr>
        <w:t>Time is of the Essence</w:t>
      </w:r>
      <w:r>
        <w:rPr>
          <w:rFonts w:ascii="Times New Roman;Times;Serif" w:hAnsi="Times New Roman;Times;Serif"/>
          <w:b w:val="false"/>
          <w:i w:val="false"/>
          <w:caps w:val="false"/>
          <w:smallCaps w:val="false"/>
          <w:sz w:val="20"/>
        </w:rPr>
        <w:t>. Time is expressly made of the essence with respect to each and every provision of these Arbitration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73" w:name="ea030132501ex10-59.htm"/>
      <w:bookmarkStart w:id="74" w:name="ksea030132501ex1059"/>
      <w:bookmarkEnd w:id="73"/>
      <w:bookmarkEnd w:id="74"/>
      <w:r>
        <w:rPr>
          <w:b/>
        </w:rPr>
        <w:t>Exhibit 10.59</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OR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3980"/>
        <w:gridCol w:w="2150"/>
      </w:tblGrid>
      <w:tr>
        <w:trPr/>
        <w:tc>
          <w:tcPr>
            <w:tcW w:w="3980" w:type="dxa"/>
            <w:tcBorders/>
            <w:vAlign w:val="center"/>
          </w:tcPr>
          <w:p>
            <w:pPr>
              <w:pStyle w:val="TableContents"/>
              <w:bidi w:val="0"/>
              <w:spacing w:before="0" w:after="283"/>
              <w:jc w:val="left"/>
              <w:rPr>
                <w:b/>
                <w:sz w:val="20"/>
              </w:rPr>
            </w:pPr>
            <w:r>
              <w:rPr>
                <w:b/>
                <w:sz w:val="20"/>
              </w:rPr>
              <w:t>Principal Amount: $166,667.00</w:t>
            </w:r>
          </w:p>
        </w:tc>
        <w:tc>
          <w:tcPr>
            <w:tcW w:w="2150" w:type="dxa"/>
            <w:tcBorders/>
            <w:vAlign w:val="center"/>
          </w:tcPr>
          <w:p>
            <w:pPr>
              <w:pStyle w:val="TableContents"/>
              <w:bidi w:val="0"/>
              <w:spacing w:before="0" w:after="283"/>
              <w:jc w:val="right"/>
              <w:rPr>
                <w:b/>
                <w:sz w:val="20"/>
              </w:rPr>
            </w:pPr>
            <w:r>
              <w:rPr>
                <w:b/>
                <w:sz w:val="20"/>
              </w:rPr>
              <w:t>Issue Date: May 26, 2026</w:t>
            </w:r>
          </w:p>
        </w:tc>
      </w:tr>
      <w:tr>
        <w:trPr/>
        <w:tc>
          <w:tcPr>
            <w:tcW w:w="3980" w:type="dxa"/>
            <w:tcBorders/>
            <w:vAlign w:val="center"/>
          </w:tcPr>
          <w:p>
            <w:pPr>
              <w:pStyle w:val="TableContents"/>
              <w:bidi w:val="0"/>
              <w:spacing w:before="0" w:after="283"/>
              <w:jc w:val="left"/>
              <w:rPr>
                <w:b/>
                <w:sz w:val="20"/>
              </w:rPr>
            </w:pPr>
            <w:r>
              <w:rPr>
                <w:b/>
                <w:sz w:val="20"/>
              </w:rPr>
              <w:t>Actual Amount of Purchase Price: $150,000.00</w:t>
            </w:r>
          </w:p>
        </w:tc>
        <w:tc>
          <w:tcPr>
            <w:tcW w:w="2150" w:type="dxa"/>
            <w:tcBorders/>
            <w:vAlign w:val="center"/>
          </w:tcPr>
          <w:p>
            <w:pPr>
              <w:pStyle w:val="TableContents"/>
              <w:bidi w:val="0"/>
              <w:spacing w:before="0" w:after="283"/>
              <w:jc w:val="left"/>
              <w:rPr/>
            </w:pPr>
            <w:r>
              <w:rPr/>
              <w:t> </w:t>
            </w:r>
          </w:p>
        </w:tc>
      </w:tr>
    </w:tbl>
    <w:p>
      <w:pPr>
        <w:pStyle w:val="TextBody"/>
        <w:bidi w:val="0"/>
        <w:spacing w:before="0" w:after="0"/>
        <w:ind w:left="248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(hereinafter called the “Borrower” or the “Company”), hereby promises to pay to the order of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(the “Holder”), in the form of lawful money of the United States of America, the principal sum of $166,667.00 (the “Principal Amount”) (subject to adjustment herein), which includes the purchase price of $150,000.00 plus an original issue discount in the amount of $16,667.00 (the “OID”), and to pay a one-time interest charge on the Principal Amount hereof at the rate of ten percent (10%) (the “Interest Rate”) (which is equal to $16,667.00 and shall be guaranteed and earned in full as of the date hereof (the “Issue Date”)), when such amounts become due and payable, whether at maturity or upon acceleration or by prepayment or otherwise, as further provided herein. The maturity date shall be twelve (12) months from the Issue Date (the “Maturity Date”), and is the date upon which the Principal Amount (which includes the OID) and any accrued and unpaid interest and other fees, shall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prepaid or repaid in whole or in part except as otherwise explicitly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Principal Amount or interest on this Note which is not paid when due shall bear interest at the rate of the lesser of (i) sixteen percent (16%) per annum and (ii) the maximum amount permitted by law from the due date thereof until the same is paid (“Default Interest”). Interest and Default Interest shall be computed on the basis of a 365-day year and the actual number of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(to the extent not converted into Class A ordinary shares of the Borrower, no par value per share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herein, and not otherwise defined, shall have the meaning ascribed thereto in that certain Securities Purchase Agreement, dated as of the Issue Date, pursuant to which this Note was originally issued (the “Purchase Agreement”). As used in this Note, the term “business day” shall mean any day other than a Saturday, Sunday or a day on which commercial banks in the city of New York, New York are authorized or required by law or executive order to remain closed. As used herein, the term “Trading Day” means any day that shares of Common Stock are listed for trading or quotation on the Principal Market (as defined in the Purchase Agreement), provided, however, that if the Common Stock is not then listed or quoted on any Principal Market, then any calendar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also apply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1.1 </w:t>
      </w:r>
      <w:r>
        <w:rPr>
          <w:u w:val="single"/>
        </w:rPr>
        <w:t>Conversion Right.</w:t>
      </w:r>
      <w:r>
        <w:rPr/>
        <w:t xml:space="preserve"> The Holder shall have the right, on any calendar day, at any time on or following the date that is one hundred eighty (180) calendar days after the Issue Date, to convert all or any portion of the then outstanding and unpaid Principal Amount and interest (including any Default Interest)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determined as provided herein (a “Conversion”), by submitting to the Borrower a Notice of Conversion (as defined in this Note) by facsimile, e-mail or other reasonable means of communication dispatched on the Conversion Date (as defined in this Note) prior to 11:59 p.m., New York, New York time; </w:t>
      </w:r>
      <w:r>
        <w:rPr>
          <w:i/>
        </w:rPr>
        <w:t>provided, however</w:t>
      </w:r>
      <w:r>
        <w:rPr/>
        <w:t xml:space="preserve">, that notwithstanding anything to the contrary contained herein, the Holder shall not have the right to convert any portion of this Note, pursuant to Section 1 or otherwise, to the extent that after giving effect to such issuance after conversion as set forth on the applicable Notice of Conversion, the Holder (together with the Holder’s affiliates (the “Affiliates”), and any other Persons (as defined below)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nonconverted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Securities Exchange Act of 1934, as amended (the “1934 Act”) and the rules and regulations promulgated thereunder, it being acknowledged by the Holder that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Section 1.1,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“Beneficial Ownership Limitation” shall be 4.99% of the number of shares of the Common Stock outstanding at the time of the respective calculation hereunder, provided, however, that the Holder may from time to time increase or decrease the Beneficial Ownership Limitation to any other percentage not in excess of 9.99% by delivering written notice of such to the Company, with such increase or decrease not effective until the sixty-first (61st) day after delivery of such written notice. “Person” and “Persons” means an individual, a limited liability company, a partnership, a joint venture, a corporation, a trust, an unincorporated organization, any other entity and any governmental entity or any department or agency thereof. The limitations contained in this paragraph shall apply to a successor holder of this Note. The number of Conversion Shares to be issued upon each conversion of this Note shall be determined by dividing the Conversion Amount (as defined below) by the applicable Conversion Price then in effect on the date specified in the notice of conversion, in the form attached hereto as </w:t>
      </w:r>
      <w:r>
        <w:rPr>
          <w:u w:val="single"/>
        </w:rPr>
        <w:t>Exhibit A</w:t>
      </w:r>
      <w:r>
        <w:rPr/>
        <w:t xml:space="preserve"> (the “Notice of Conversion”), delivered to the Borrower by the Holder in accordance with the terms of this Note; provided that the Notice of Conversion is submitted by facsimile or e-mail (or by other means resulting in, or reasonably expected to result in, notice) to the Borrower before 11:59 p.m., New York, New York time on such conversion date (the “Conversion Date”). The term “Conversion Amount” means, with respect to any conversion of this Note, the sum of (1) the Principal Amount of this Note to be converted in such conversion </w:t>
      </w:r>
      <w:r>
        <w:rPr>
          <w:u w:val="single"/>
        </w:rPr>
        <w:t>plus</w:t>
      </w:r>
      <w:r>
        <w:rPr/>
        <w:t xml:space="preserve"> (2) at the Holder’s option, accrued and unpaid interest, if any, on such Principal Amount at the Interest Rate to the Conversion Date, </w:t>
      </w:r>
      <w:r>
        <w:rPr>
          <w:u w:val="single"/>
        </w:rPr>
        <w:t>plus</w:t>
      </w:r>
      <w:r>
        <w:rPr/>
        <w:t xml:space="preserve"> (3) at the Holder’s option, Default Interest, if any, on the amounts referred to in the immediately preceding clauses (1) and/or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1.2 </w:t>
      </w:r>
      <w:r>
        <w:rPr>
          <w:u w:val="single"/>
        </w:rPr>
        <w:t>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(a) </w:t>
      </w:r>
      <w:r>
        <w:rPr>
          <w:u w:val="single"/>
        </w:rPr>
        <w:t>Calculation of Conversion Price.</w:t>
      </w:r>
      <w:r>
        <w:rPr/>
        <w:t xml:space="preserve"> The per share conversion price into which Principal Amount and interest (including any Default Interest) under this Note shall be convertible into shares of Common Stock hereunder as further described in this Note (the “Conversion Price”) shall equal the Market Price (as defined in this Note), subject to adjustment as provided in this Note. “Market Price” shall mean 75% of the lowest traded price of the Common Stock on the Principal Market during the ten (10) Trading Day period immediately preceding the respective Conversion Date, provided, however, that at all times on and after the date that an Event of Default (as defined in this Note) occurs under this Note, Market Price shall instead mean 70% of the lowest traded price of the Common Stock on the Principal Market on any Trading Day during the fifteen (15) Trading Days prior to the respective Conversion Date.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“Additional Principal”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Holder shall be entitled to deduct $1,200.00 from the conversion amount of not less than $50,000 in each Notice of Conversion to cover Holder’s fees associated with each Notice of Conversion. All such Conversion Price determinations are to be appropriately adjusted for any stock dividend, stock split, stock combination, rights offerings, reclassification or similar transaction that proportionately decreases or increases the Common Stock. If the Company, at any time while this Note is outstanding: (i) pays a stock dividend or otherwise makes a distribution or distributions payable in shares of Common Stock on shares of Common Stock or any Common Stock Equivalents,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Price shall be multiplied by a fraction of which the numerator shall be the number of shares of Common Stock (excluding any treasury shares of the Company) outstanding immediately before such event, and of which the denominator shall be the number of shares of Common Stock outstanding immediately after such event. Any adjustment made pursuant to the immediately preceding sentence shall become effective immediately after the record date for the determination of shareholders entitled to receive such dividend or distribution and shall become effective immediately after the effective date in the case of a subdivision, combination or re-classification. “Common Stock Equivalents” means any securities of the Company or the Company’s Subsidiaries (as defined in the Purchase Agreement)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1080"/>
        <w:jc w:val="both"/>
        <w:rPr/>
      </w:pPr>
      <w:r>
        <w:rPr/>
        <w:t> </w:t>
      </w:r>
    </w:p>
    <w:p>
      <w:pPr>
        <w:pStyle w:val="TextBody"/>
        <w:bidi w:val="0"/>
        <w:spacing w:before="0" w:after="0"/>
        <w:ind w:left="0" w:right="0" w:firstLine="1080"/>
        <w:jc w:val="both"/>
        <w:rPr/>
      </w:pPr>
      <w:r>
        <w:rPr/>
        <w:t>(b) </w:t>
      </w:r>
      <w:r>
        <w:rPr>
          <w:u w:val="single"/>
        </w:rPr>
        <w:t>Voluntary Adjustment By Company</w:t>
      </w:r>
      <w:r>
        <w:rPr/>
        <w:t>. Subject to the rules and regulations of the Principal Market, the Company may at any time while this Note is outstanding, with the prior written consent of the Holder, reduce the then applicable Conversion Price to any amount and for any period of time deemed appropriate by the Board of Directors of the Company. For the avoidance of doubt, the Holder shall not be required to effectuate such conversion in the event of any reduction in Conversion Price by the Company.</w:t>
      </w:r>
    </w:p>
    <w:p>
      <w:pPr>
        <w:pStyle w:val="TextBody"/>
        <w:bidi w:val="0"/>
        <w:spacing w:before="0" w:after="0"/>
        <w:ind w:left="0" w:right="0" w:firstLine="1080"/>
        <w:jc w:val="both"/>
        <w:rPr/>
      </w:pPr>
      <w:r>
        <w:rPr/>
        <w:t> </w:t>
      </w:r>
    </w:p>
    <w:p>
      <w:pPr>
        <w:pStyle w:val="TextBody"/>
        <w:bidi w:val="0"/>
        <w:spacing w:before="0" w:after="0"/>
        <w:ind w:left="0" w:right="0" w:firstLine="720"/>
        <w:jc w:val="both"/>
        <w:rPr/>
      </w:pPr>
      <w:r>
        <w:rPr/>
        <w:t>1.3 </w:t>
      </w:r>
      <w:r>
        <w:rPr>
          <w:u w:val="single"/>
        </w:rPr>
        <w:t>Authorized and Reserved Shares.</w:t>
      </w:r>
      <w:r>
        <w:rPr/>
        <w:t xml:space="preserve"> The Borrower shall use commercially reasonable endeavors to ensure that at all times beginning on the Issue Date and continuing until the Note is extinguished in the entirety, the Borrower will reserve from its authorized and unissued Common Stock a sufficient number of shares, free from preemptive rights, to provide for the issuance of a number of Conversion Shares equal to the greater of: (a) 1,000,000 shares of Common Stock or (b) the sum of (i) the number of Conversion Shares issuable upon the full conversion of this Note at a conversion price equal to the Conversion Price (assuming no payment of Principal Amount or interest) </w:t>
      </w:r>
      <w:r>
        <w:rPr>
          <w:u w:val="single"/>
        </w:rPr>
        <w:t>multiplied by</w:t>
      </w:r>
      <w:r>
        <w:rPr/>
        <w:t xml:space="preserve"> (ii) three (3) (the “Reserved Amount”). For the avoidance of doubt, the Reserved Amount shall be required to be reserved by the Borrower pursuant to this Section even if the Note is not yet convertible into Common Stock by the Holder under Section 1.1 of this Note. The Borrower represents that upon issuance, the Conversion Shares will be duly and validly issued, fully paid, as applicable, and non-assessable. The Borrower (i) acknowledges that it has irrevocably instructed its transfer agent to issue certificates for the Conversion Shares or instructions to have the Conversion Shares issued as contemplated by Section 1.4(e) hereof, and (ii) agrees that its issuance of this Note shall constitute full authority to its officers and agents who are charged with the duty of executing stock certificates or cause the Company to electronically issue shares of Common Stock to execute and issue the necessary certificates for the Conversion Shares or cause the Conversion Shares to be issued as contemplated by Section 1.4(e) hereof in accordance with the terms and conditions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1.4 </w:t>
      </w:r>
      <w:r>
        <w:rPr>
          <w:u w:val="single"/>
        </w:rPr>
        <w:t>Method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(a) </w:t>
      </w:r>
      <w:r>
        <w:rPr>
          <w:u w:val="single"/>
        </w:rPr>
        <w:t>Surrender of Note Upon Conversion.</w:t>
      </w:r>
      <w:r>
        <w:rPr/>
        <w:t xml:space="preserve"> Notwithstanding anything to the contrary set forth herein, upon conversion of this Note in accordance with the terms hereof, the Holder shall not be required to physically surrender this Note to the Borrower unless the entire unpaid Principal Amount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i/>
        </w:rPr>
        <w:t xml:space="preserve">prima facie, </w:t>
      </w:r>
      <w:r>
        <w:rPr/>
        <w:t>be controlling and determinative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(b) </w:t>
      </w:r>
      <w:r>
        <w:rPr>
          <w:u w:val="single"/>
        </w:rPr>
        <w:t>Payment of Taxes</w:t>
      </w:r>
      <w:r>
        <w:rPr/>
        <w:t>. The Borrower shall not be required to pay any tax which may be payable in respect of any transfer involved in the issue and delivery of shares of Common Stock or other securities or property on conversion of this Note in a name other than that of the Holder (or in street name), and the Borrower shall not be required to issue or deliver any such shares or other securities or property unless and until the person or persons (other than the Holder or the custodian in whose street name such shares are to be held for the Holder’s account) requesting the issuance thereof shall have paid to the Borrower the amount of any such tax or shall have established to the satisfaction of the Borrower that such tax has been paid.</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1080"/>
        <w:jc w:val="both"/>
        <w:rPr/>
      </w:pPr>
      <w:r>
        <w:rPr/>
        <w:t>(c) </w:t>
      </w:r>
      <w:r>
        <w:rPr>
          <w:u w:val="single"/>
        </w:rPr>
        <w:t>Delivery of Common Stock Upon Conversion</w:t>
      </w:r>
      <w:r>
        <w:rPr/>
        <w:t>. Upon receipt by the Borrower from the Holder of an e-mail (or other reasonable means of communication) of a Notice of Conversion meeting the requirements for conversion as provided in this Section 1.4, the Borrower shall issue and deliver or cause to be issued and delivered to or upon the order of the Holder certificates for the Conversion Shares (or cause the electronic delivery of the Conversion Shares as contemplated by Section 1.4(e) hereof) within one (1) Trading Day after such receipt (the “Deadline”) (and, solely in the case of conversion of the entire unpaid Principal Amount and interest (including any Default Interest) under this Note, surrender of this Note). If the Company shall fail for any reason or for no reason to issue to the Holder on or prior to the Deadline a certificate for the number of Conversion Shares or to which the Holder is entitled hereunder and register such Conversion Shares on the Company’s share register or to credit the Holder’s balance account with DTC (as defined below) for such number of Conversion Shares to which the Holder is entitled upon the Holder’s conversion of this Note (a “Conversion Failure”), then, in addition to all other remedies available to the Holder, (i) the Company shall pay in cash to the Holder on each day after the Deadline and during such Conversion Failure an amount equal to 2.0% of the product of (A) the sum of the number of Conversion Shares not issued to the Holder on or prior to the Deadline and to which the Holder is entitled and (B) the closing sale price of the Common Stock on the Trading Day immediately preceding the last possible date which the Company could have issued such Conversion Shares to the Holder without violating this Section 1.4(c); and (ii) the Holder, upon written notice to the Company, may void all or any portion of such Notice of Conversion; provided that the voiding of all or any portion of a Notice of Conversion shall not affect the Company’s obligations to make any payments which have accrued prior to the date of such notice. In addition to the foregoing, if on or prior to the Deadline the Company shall fail to issue and deliver a certificate to the Holder and register such Conversion Shares on the Company’s share register or credit the Holder’s balance account with DTC for the number of Conversion Shares to which the Holder is entitled upon the Holder’s exercise hereunder or pursuant to the Company’s obligation pursuant to clause (ii) below, and if on or after such Trading Day the Holder purchases (in an open market transaction or otherwise) shares of Common Stock to deliver in satisfaction of a sale by the Holder of shares of Common Stock issuable upon such exercise that the Holder anticipated receiving from the Company, then the Company shall, within two (2) Trading Days after the Holder’s request and in the Holder’s discretion, either (i) pay cash to the Holder in an amount equal to the Holder’s total purchase price (including brokerage commissions and other reasonable and customary out-of-pocket expenses, if any) for the shares of Common Stock so purchased (the “Buy-In Price”), at which point the Company’s obligation to deliver such certificate (and to issue such Conversion Shares) or credit such Holder’s balance account with DTC for such Conversion Shares shall terminate, or (ii) promptly honor its obligation to deliver to the Holder a certificate or certificates representing such Conversion Shares or credit such Holder’s balance account with DTC and pay cash to the Holder in an amount equal to the excess (if any) of the Buy-In Price over the product of (A) such number of shares of Common Stock, times (B) the closing sales price of the Common Stock on the date of exercise.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Conversion Shares (or to electronically deliver such Conversion Shares) upon the conversion of this Note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(d) </w:t>
      </w:r>
      <w:r>
        <w:rPr>
          <w:u w:val="single"/>
        </w:rPr>
        <w:t>Obligation of Borrower to Deliver Common Stock.</w:t>
      </w:r>
      <w:r>
        <w:rPr/>
        <w:t xml:space="preserve"> At the time that the Holder submits the Notice of Conversion to the Borrower, the Holder shall be deemed to be the holder of record of the Conversion Shares issuable upon such conversion, the outstanding Principal Amount and the amount of accrued and unpaid interest (including any Default Interest) under this Note shall be reduced to reflect such conversion, and, unless the Borrower defaults on its obligations under this Article I,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the Conversion Shares (or cause the electronic delivery of the Conversion Shares as contemplated by Section 1.4(e) hereof)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sent to the Borrower before 11:59 p.m., New York, New York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(e) </w:t>
      </w:r>
      <w:r>
        <w:rPr>
          <w:u w:val="single"/>
        </w:rPr>
        <w:t>Delivery of Conversion Shares by Electronic Transfer</w:t>
      </w:r>
      <w:r>
        <w:rPr/>
        <w:t>. In lieu of delivering physical certificates representing the Conversion Shares issuable upon conversion hereof, provided the Borrower is participating in the Depository Trust Company (“DTC”) Fast Automated Securities Transfer or Deposit/Withdrawal at Custodian programs, upon request of the Holder and its compliance with the provisions contained in Section 1.1 and in this Section 1.4, the Borrower shall use its best efforts to cause its transfer agent to electronically transmit the Conversion Shares issuable upon conversion hereof to the Holder by crediting the account of Holder’s Prime Broker with DTC through its Deposit Withdrawal Agent Commission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1.5 </w:t>
      </w:r>
      <w:r>
        <w:rPr>
          <w:u w:val="single"/>
        </w:rPr>
        <w:t>Concerning the Shares</w:t>
      </w:r>
      <w:r>
        <w:rPr/>
        <w:t>. The Conversion Shares issuable upon conversion of this Note may not be sold or transferred unless (i) such shares are sold pursuant to an effective registration statement under the 1933 Act or (ii) the Borrower or its transfer agent shall have been furnished with an opinion of counsel (which opinion shall be the Legal Counsel Opinion (as defined in the Purchase Agreement)) to the effect that the shares to be sold or transferred may be sold or transferred pursuant to an exemption from such registration or (iii) such shares are sold or transferred pursuant to Rule 144, Rule 144A, Regulation S, or other applicable exemption, or (iv) such shares are transferred to an “affiliate” (as defined in Rule 144) of the Borrower who agrees to sell or otherwise transfer the shares only in accordance with this Section 1.5 and who is an Accredited Investor (as defined in the Purchase Agreement). Except as otherwise provided in the Purchase Agreement (and subject to the removal provisions set forth below), until such time as the Conversion Shares have been registered under the 1933 Act or otherwise may be sold pursuant to Rule 144, Rule 144A, Regulation S, or other applicable exemption without any restriction as to the number of securities as of a particular date that can then be immediately sold, each certificate for the Conversion Shares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to the Holder a certificate for the applicable Conversion Shares without such legend upon which it is stamped or (as requested by the Holder) issue the applicable Conversion Shares by electronic delivery by crediting the account of such holder’s broker with DTC, if, unless otherwise required by applicable state securities laws: (a) such Conversion Shares are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Holder provides the Legal Counsel Opinion (as contemplated by and in accordance with Section 4(l) of the Purchase Agreement) to the effect that a public sale or transfer of such Conversion Shares may be made without registration under the 1933 Act, which opinion shall be accepted by the Company so that the sale or transfer is effected. The Company shall be responsible for the fees of its transfer agent and all DTC fees associated with any such issuance. The Holder agrees to sell all Conversion Shares, including those represented by a certificate(s) from which the legend has been removed, in compliance with applicable prospectus delivery requirements, if any. In the event that the Company does not accept the opinion of counsel provided by the Holder with respect to the transfer of Conversion Shares pursuant to an exemption from registration, such as Rule 144, Rule 144A, Regulation S, or other applicable exemption, at the Deadline, notwithstanding that the conditions of Rule 144, Rule 144A, Regulation S, or other applicable exemption, as applicable, have been met, it will be considered an Event of Default under this Note.</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29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At the option of the Holder, the sale, conveyance or disposition of all or substantially all of the assets of the Borrower, or the consolidation, merger or other business combination of the Borrower with or into any other Person (as defined below) or Persons when the Borrower is not the survivor shall be treated pursuant to Section 1.6(b) hereof. “Person” shall mean any individual, corporation, limited liability company, partnership, association, trust or other entity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this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(each a “Fundamental Transaction”),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effectuate any transaction described in this Section 1.6(b) unless (a) it first gives, to the extent practicable, at least twenty (20) days prior written notice (but in any event at least ten (10)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(b) the resulting successor or acquiring entity (if not the Borrower) assumes by written instrument the obligations of this Section 1.6(b), and (c) the resulting successor or acquiring entity (if not the Borrower) is a publicly traded corporation whose common stock is listed for trading or quotation on any tier of the NASDAQ Stock Market, the New York Stock Exchange or the NYSE American. The above provisions shall similarly apply to successive consolidations, mergers, sales, transfers or share exchanges.</w:t>
      </w:r>
    </w:p>
    <w:p>
      <w:pPr>
        <w:pStyle w:val="TextBody"/>
        <w:bidi w:val="0"/>
        <w:spacing w:before="0" w:after="0"/>
        <w:ind w:left="246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xml:space="preserve"> If the Borrower shall declare or make any distribution of its assets (or rights to acquire its assets) to holders of Common Stock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shareholders entitled to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If, at any time when all or any portion of this Note is issued and outstanding, the Borrower issues any convertible securities or rights to purchase stock, warrants, securities or other property (the “Purchase Rights”)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Section 1.6 of this Note, the Borrower shall, at its expense and within one (1) calendar day after the occurrence of each respective adjustment or readjustment of the Conversion Price, compute such adjustment or readjustment and prepare and furnish to the Holder a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In addition, the Borrower shall, within one (1) calendar day after each written request from the Holder, furnish to such Holder a like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For the avoidance of doubt, each adjustment or readjustment of the Conversion Price as a result of the events described in Section 1.6 of this Note shall occur without any action by the Holder and regardless of whether the Borrower complied with the notification provisions in Section 1.6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the Holder, (i) the Conversion Shares covered thereby shall be deemed converted into shares of Common Stock and (ii) the Holder’s rights as the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the Holder has not received certificates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the Note has not been surrendered, adjust its records to reflect that such portion of this Note has not been converted. In all cases, the Holder shall retain all of its rights and remedies for the Borrower’s failure to convert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At any time prior to the date that an Event of Default occurs under this Note, the Borrower shall have the right, exercisable on three (3) Trading Days prior written notice to the Holder of the Note, to prepay the outstanding Principal Amount and interest then due under this Note in accordance with this Section 1.8. Any notice of prepayment hereunder (an “Optional Prepayment Notice”) shall be delivered to the Holder of the Note at its registered addresses and shall state: (1) that the Borrower is exercising its right to prepay the Note, and (2) the date of prepayment which shall be three (3) Trading Days from the date of the Optional Prepayment Notice (the “Optional Prepayment Date”). The Holder shall have the right, during the period beginning on the date of Holder’s receipt of the Optional Prepayment Notice and until the Holder’s actual receipt of the full prepayment amount on the Optional Prepayment Date, to instead convert all or any portion of the Note pursuant to the terms of this Note, including the amount of this Note to be prepaid by the Borrower in accordance with this Section 1.8, even if the Note is not yet convertible into Common Stock by the Holder under Section 1.1 of this Note. On the Optional Prepayment Date, the Borrower shall make payment of the amounts designated below to or upon the order of the Holder as specified by the Holder in writing to the Borrower. If the Borrower exercises its right to prepay the Note in accordance with this Section 1.8, the Borrower shall make payment to the Holder of an amount in cash equal to the sum of: (w) the prepayment percentage set forth in the table immediately following this paragraph for the applicable prepayment period set forth in the table immediately following this paragraph (“Prepayment Percentage”) multiplied by the Principal Amount then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the Prepayment Percentage multiplied by the accrued and unpaid interest on the Principal Amount to the Optional Prepayment Date.</w:t>
      </w:r>
    </w:p>
    <w:p>
      <w:pPr>
        <w:pStyle w:val="TextBody"/>
        <w:bidi w:val="0"/>
        <w:spacing w:before="0" w:after="0"/>
        <w:ind w:left="1739" w:right="0" w:hanging="0"/>
        <w:jc w:val="both"/>
        <w:rPr>
          <w:caps w:val="false"/>
          <w:smallCaps w:val="false"/>
        </w:rPr>
      </w:pPr>
      <w:r>
        <w:rPr>
          <w:caps w:val="false"/>
          <w:smallCaps w:val="false"/>
        </w:rPr>
        <w:t> </w:t>
      </w:r>
    </w:p>
    <w:tbl>
      <w:tblPr>
        <w:tblW w:w="10205" w:type="dxa"/>
        <w:jc w:val="left"/>
        <w:tblInd w:w="-10" w:type="dxa"/>
        <w:tblLayout w:type="fixed"/>
        <w:tblCellMar>
          <w:top w:w="60" w:type="dxa"/>
          <w:left w:w="60" w:type="dxa"/>
          <w:bottom w:w="0" w:type="dxa"/>
          <w:right w:w="60" w:type="dxa"/>
        </w:tblCellMar>
      </w:tblPr>
      <w:tblGrid>
        <w:gridCol w:w="192"/>
        <w:gridCol w:w="8269"/>
        <w:gridCol w:w="1744"/>
      </w:tblGrid>
      <w:tr>
        <w:trPr/>
        <w:tc>
          <w:tcPr>
            <w:tcW w:w="192"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firstLine="60"/>
              <w:jc w:val="left"/>
              <w:rPr/>
            </w:pPr>
            <w:r>
              <w:rPr/>
              <w:t> </w:t>
            </w:r>
          </w:p>
        </w:tc>
        <w:tc>
          <w:tcPr>
            <w:tcW w:w="8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b/>
              </w:rPr>
            </w:pPr>
            <w:r>
              <w:rPr>
                <w:b/>
              </w:rPr>
              <w:t>Prepayment Period</w:t>
            </w:r>
          </w:p>
        </w:tc>
        <w:tc>
          <w:tcPr>
            <w:tcW w:w="1744"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firstLine="60"/>
              <w:jc w:val="center"/>
              <w:rPr>
                <w:b/>
                <w:sz w:val="20"/>
              </w:rPr>
            </w:pPr>
            <w:r>
              <w:rPr>
                <w:b/>
                <w:sz w:val="20"/>
              </w:rPr>
              <w:t>Prepayment Percentage</w:t>
            </w:r>
          </w:p>
        </w:tc>
      </w:tr>
      <w:tr>
        <w:trPr/>
        <w:tc>
          <w:tcPr>
            <w:tcW w:w="192"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b/>
              </w:rPr>
            </w:pPr>
            <w:r>
              <w:rPr>
                <w:b/>
              </w:rPr>
              <w:t>1.</w:t>
            </w:r>
          </w:p>
        </w:tc>
        <w:tc>
          <w:tcPr>
            <w:tcW w:w="826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ind w:left="0" w:right="0" w:firstLine="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Issue Date and continuing through the date that is 90 calendar days after the Issue Date</w:t>
            </w:r>
          </w:p>
        </w:tc>
        <w:tc>
          <w:tcPr>
            <w:tcW w:w="1744"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ind w:left="0" w:right="0" w:firstLine="60"/>
              <w:jc w:val="center"/>
              <w:rPr>
                <w:b w:val="false"/>
                <w:i w:val="false"/>
                <w:caps w:val="false"/>
                <w:smallCaps w:val="false"/>
                <w:sz w:val="20"/>
              </w:rPr>
            </w:pPr>
            <w:r>
              <w:rPr>
                <w:b w:val="false"/>
                <w:i w:val="false"/>
                <w:caps w:val="false"/>
                <w:smallCaps w:val="false"/>
                <w:sz w:val="20"/>
              </w:rPr>
              <w:t>120%</w:t>
            </w:r>
          </w:p>
        </w:tc>
      </w:tr>
      <w:tr>
        <w:trPr/>
        <w:tc>
          <w:tcPr>
            <w:tcW w:w="192"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b/>
                <w:sz w:val="20"/>
              </w:rPr>
            </w:pPr>
            <w:r>
              <w:rPr>
                <w:b/>
                <w:sz w:val="20"/>
              </w:rPr>
              <w:t>2.</w:t>
            </w:r>
          </w:p>
        </w:tc>
        <w:tc>
          <w:tcPr>
            <w:tcW w:w="826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ind w:left="0" w:right="0" w:firstLine="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date that is 91 calendar days after the Issue Date and continuing until the date that an Event of Default occurs under this Note</w:t>
            </w:r>
          </w:p>
        </w:tc>
        <w:tc>
          <w:tcPr>
            <w:tcW w:w="1744"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bl>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RANKING AND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This Note shall be an unsecured obligation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Distributions on Capital Stock.</w:t>
      </w:r>
      <w:r>
        <w:rPr>
          <w:rFonts w:ascii="Times New Roman;Times;Serif" w:hAnsi="Times New Roman;Times;Serif"/>
          <w:b w:val="false"/>
          <w:i w:val="false"/>
          <w:caps w:val="false"/>
          <w:smallCaps w:val="false"/>
          <w:sz w:val="20"/>
        </w:rPr>
        <w:t xml:space="preserve"> So long as the Borrower shall have any obligation under this Note, the Borrower shall not without the Holder’s written consent (a) pay, declare or set apart for such payment, any dividend or other distribution (whether in cash, property or other securities) on shares of capital stock other than dividends on shares of Common Stock solely in the form of additional shares of Common Stock or (b) directly or indirectly or through any subsidiary make any other payment or distribution in respect of its capital stock except for distributions pursuant to any shareholders’ rights plan which is approved by a majority of the Borrower’s disinterested directors.</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Holder’s prior written consent, which consent shall not be unreasonably withheld or delayed, sell, divest, acquire, or dispose of all or substantially all of its assets other than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considered an event of default if any of the following events listed in this Article III (each, an “Event of Default”) shall occur on or after the Issue Date, subject, in each case (except Section 3.2 under this Note), to a five (5) business day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xml:space="preserve"> The Borrower fails to pay the Principal Amount hereof or interest thereon when due on this Note, whether at maturity, upon acceleration or otherwise, or fails to fully comply with Section 1.10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xml:space="preserve"> The Borrower (i) fails to issue Conversion Shares to the Holder (or announces or threatens in writing that it will not honor its obligation to do so) upon exercise by the Holder of the conversion rights of the Holder in accordance with the terms of this Note, (ii) fails to transfer or cause its transfer agent to transfer (issue) (electronically or in certificated form) any certificate for the Conversion Shares issuable to the Holder upon conversion of or otherwise pursuant to this Note as and when required by this Note, (iii) fails to reserve the Reserved Amount at all times, (iv) the Borrower directs its transfer agent not to transfer or delays, impairs, and/or hinders its transfer agent in transferring (or issuing) (electronically or in certificated form) any certificate for the Conversion Shares issuable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Conversion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Trading Days after the Holder shall have delivered a Notice of Conversion, and/or (v) fails to remain current in its obligations to its transfer agent (including but not limited to payment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added to the principal balance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Breach of Agreements and Covenants.</w:t>
      </w:r>
      <w:r>
        <w:rPr>
          <w:rFonts w:ascii="Times New Roman;Times;Serif" w:hAnsi="Times New Roman;Times;Serif"/>
          <w:b w:val="false"/>
          <w:i w:val="false"/>
          <w:caps w:val="false"/>
          <w:smallCaps w:val="false"/>
          <w:sz w:val="20"/>
        </w:rPr>
        <w:t xml:space="preserve"> The Borrower breaches any covenant, agreement, or other term or condition contained in the Purchase Agreement, this Note, Irrevocable Transfer Agent Instructions, or in any agreement, statement or certificate given in writing pursuant hereto or in connection herewith or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xml:space="preserve"> Any representation or warranty of the Borrower made in the Purchase Agreement, this Note, Irrevocable Transfer Agent Instructions, or in any agreement, statement or certificate given in writing pursuant hereto or in connection herewith or therewith shall be false or misleading in any material respect when made.</w:t>
      </w:r>
    </w:p>
    <w:p>
      <w:pPr>
        <w:pStyle w:val="TextBody"/>
        <w:bidi w:val="0"/>
        <w:spacing w:before="0" w:after="0"/>
        <w:ind w:left="0" w:right="0" w:firstLine="206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xml:space="preserv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xml:space="preserve"> Any money judgment, writ or similar process shall be entered or filed against the Borrower or any subsidiary of the Borrower or any of its property or other assets for more than $100,000, and shall remain unvacated, unbonded or unstayed for a period of twenty (20) days unless otherwise consented to by the Holder, which consent will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Failure to Comply with the 1934 Act.</w:t>
      </w:r>
      <w:r>
        <w:rPr>
          <w:rFonts w:ascii="Times New Roman;Times;Serif" w:hAnsi="Times New Roman;Times;Serif"/>
          <w:b w:val="false"/>
          <w:i w:val="false"/>
          <w:caps w:val="false"/>
          <w:smallCaps w:val="false"/>
          <w:sz w:val="20"/>
        </w:rPr>
        <w:t xml:space="preserve"> At any time after the Issue Date, the Borrower shall fail to comply with the reporting requirements of the 1934 Act and/or the Borrower shall cease to be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xml:space="preserve"> Any dissolution, liquidation, or winding up of Borrower or any substantial portion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xml:space="preserve">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xml:space="preserve"> The failure by Borrower to maintain any material intellectual property rights, personal, real property or other assets which are necessary to conduct its business (whether now or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xml:space="preserve">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actual transmittal, conveyance, or disclosure by the Borrower or its officers, directors, and/or affiliates of, material non-public information concerning the Borrower, to the Holder or its successors and assigns, which is not cured by Borrower’s filing of a Form 6-K pursuant to Regulation FD.</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Unavailability of Rule 144</w:t>
      </w:r>
      <w:r>
        <w:rPr>
          <w:rFonts w:ascii="Times New Roman;Times;Serif" w:hAnsi="Times New Roman;Times;Serif"/>
          <w:b w:val="false"/>
          <w:i w:val="false"/>
          <w:caps w:val="false"/>
          <w:smallCaps w:val="false"/>
          <w:sz w:val="20"/>
        </w:rPr>
        <w:t>. If, at any time on or after the date that is six (6) calendar months after the Issue Date, the Holder is unable to (i) obtain a standard “144 legal opinion letter” from an attorney reasonably acceptable to the Borrower’s transfer agent in order to facilitate the Holder’s conversion of any portion of the Note into free trading shares of the Borrower’s Common Stock pursuant to Rule 144, and/or (ii) thereupon deposit such shares into the Holder’s brokerage account.</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Delisting, Suspension, or Quotation of Trading of Common Stock</w:t>
      </w:r>
      <w:r>
        <w:rPr>
          <w:rFonts w:ascii="Times New Roman;Times;Serif" w:hAnsi="Times New Roman;Times;Serif"/>
          <w:b w:val="false"/>
          <w:i w:val="false"/>
          <w:caps w:val="false"/>
          <w:smallCaps w:val="false"/>
          <w:sz w:val="20"/>
        </w:rPr>
        <w:t>. If, at any time on or after the Issue Date, the Borrower’s Common Stock (i) is suspended from trading, (ii) halted from trading, and/or (iii) fails to be listed or quoted on a Principal Market.</w:t>
      </w:r>
    </w:p>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Rights and Remedies Upon an Event of Default</w:t>
      </w:r>
      <w:r>
        <w:rPr>
          <w:rFonts w:ascii="Times New Roman;Times;Serif" w:hAnsi="Times New Roman;Times;Serif"/>
          <w:b w:val="false"/>
          <w:i w:val="false"/>
          <w:caps w:val="false"/>
          <w:smallCaps w:val="false"/>
          <w:sz w:val="20"/>
        </w:rPr>
        <w:t>. Upon the occurrence of any Event of Default specified in this Article III, this Note shall become immediately due and payable, and the Borrower shall pay to the Holder, in full satisfaction of its obligations hereunder, an amount equal to the Principal Amount then outstanding plus accrued interest (including any Default Interest) through the date of full repayment multiplied by 150% (collectively the “Default Amount”), as well as all costs, including, without limitation, legal fees and expenses, of collection, all without demand, presentment or notice, all of which hereby are expressly waived by the Borrower. Holder may, in Holder’s sole discretion, convert all or any portion of this Note (including the Default Amount) into Common Stock pursuant to the terms of this Note (for the avoidance of doubt, this shall apply even if such conversion occurs after the Maturity Date). The Holder shall be entitled to exercise all other rights and remedies available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Holder existing hereunder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1307"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587"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Note and any provision hereof may only be amended by an instrument in writing signed by the Borrower and the Holder. The term “Note” and all reference thereto, as used throughout this instrument, shall mean this instrument as originally executed, or if later amended or supplemented, then as so amended or supplemented.</w:t>
      </w:r>
    </w:p>
    <w:p>
      <w:pPr>
        <w:pStyle w:val="TextBody"/>
        <w:bidi w:val="0"/>
        <w:spacing w:before="0" w:after="0"/>
        <w:ind w:left="360" w:right="0" w:firstLine="135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The Borrower shall not assign this Note or any rights or obligations hereunder without the prior written consent of the Holder. The Holder may assign its rights hereunder to any “accredited investor” (as defined in Rule 501(a) of the 1933 Act) in a private transaction from the Holder or to any of its “affiliates”, as that term is defined under the 1934 Act, without the consent of the Borrower.</w:t>
      </w:r>
    </w:p>
    <w:p>
      <w:pPr>
        <w:pStyle w:val="TextBody"/>
        <w:bidi w:val="0"/>
        <w:spacing w:before="0" w:after="0"/>
        <w:ind w:left="360" w:right="0" w:firstLine="135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xml:space="preserve">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Arbitration of Claims; Governing Law; Venue; Attorney’s Fees.</w:t>
      </w:r>
      <w:r>
        <w:rPr>
          <w:rFonts w:ascii="Times New Roman;Times;Serif" w:hAnsi="Times New Roman;Times;Serif"/>
          <w:b w:val="false"/>
          <w:i w:val="false"/>
          <w:caps w:val="false"/>
          <w:smallCaps w:val="false"/>
          <w:sz w:val="20"/>
        </w:rPr>
        <w:t xml:space="preserve"> The Company and Holder shall submit all Claims (as defined in Exhibit B of the Purchase Agreement) (the “Claims”) arising under this Note or any other agreement between the parties and their affiliates or any Claim relating to the relationship of the parties to binding arbitration pursuant to the arbitration provisions set forth in Exhibit B of the Purchase Agreement (the “Arbitration Provisions”). The Company and Holder hereby acknowledge and agree that the Arbitration Provisions are unconditionally binding on the Company and Holder hereto and are severable from all other provisions of this Note. By executing this Note,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The Company acknowledges and agrees that Holder may rely upon the foregoing representations and covenants of the Company regarding the Arbitration Provisions.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Holder consent to and expressly agree that the exclusive venue for arbitration of any Claims arising under this Note or any other agreement between the Company and Holder or their respective affiliates (including but not limited to the Transaction Documents) or any Claim relating to the relationship of the Company and Holder or their respective affiliates shall be in Orange County, California. Without modifying the Company’s and Holder’s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(as defined in the Purchase Agreement) or otherwise related to Holder in any way (specifically including, without limitation, any action where Company seeks to obtain an injunction, temporary restraining order, or otherwise prohibit the Company’s transfer agent from issuing shares of Common Stock to Holder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Holder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Holder to realize on any collateral or any other security, or to enforce a judgment or other court ruling in favor of the Holder,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NOTE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Note or any other agreement, certificate, instrument or document contemplated hereby or thereby by mailing a copy thereof via registered or certified mail or overnight delivery (with evidence of delivery) to Company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Note or any other agreement, certificate, instrument or document contemplated hereby or thereby shall be entitled to recover from the other party its reasonable attorney’s fees and costs. If any provision of this Note shall be invalid or unenforceable in any jurisdiction, such invalidity or unenforceability shall not affect the validity or enforceability of the remainder of this Note in that jurisdiction or the validity or enforceability of any provision of this Note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xml:space="preserve"> Whenever pursuant to this Note the Borrower is required to pay an amount in excess of the outstanding Principal Amount (or the portion thereof required to be paid at that time) plus accrued and unpaid interest plus Default Interest on such interest, the Borrower and the Holder agree that the actual damages to the Holder from the receipt of cash payment on this Note may be difficult to determine and the amount to be so paid by the Borrower represents stipulated damages and not a penalty and is intended to compensate the Holder in part for loss of the opportunity to convert this Note and to earn a return from the sale of shares of Common Stock acquired upon conversion of this Note at a price in excess of the price paid for such shares pursuant to this Note. The Borrower and the Holder hereby agree that such amount of stipulated damages is not plainly disproportionate to the possible loss to the Holder from the receipt of a cash payment without the opportunity to convert this Note into shares of Common Stock.</w:t>
      </w:r>
    </w:p>
    <w:p>
      <w:pPr>
        <w:pStyle w:val="TextBody"/>
        <w:bidi w:val="0"/>
        <w:spacing w:before="0" w:after="0"/>
        <w:ind w:left="36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xml:space="preserve"> The Company and the Holder shall be bound by the applicable terms of the Purchase Agreement, and the Transaction Documents entered into in connection herewith and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all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Holder in order to enforce any right or remedy under this Note. Notwithstanding any provision to the contrary contained in this Note, it is expressly agreed and provided that the total liability of the Company under this Note for payments which under the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the applicable law in the nature of interest that the Company may be obligated to pay under this Note exceed such Maximum Rate. It is agreed that if the maximum contract rate of interest allowed by applicable law and applicable to this Note is increased or decreased by statute or any official governmental action subsequent to the Issue Date, the new maximum contract rate of interest allowed by law will be the Maximum Rate applicable to this Note from the effective date thereof forward, unless such application is precluded by applicable law. If under any circumstances whatsoever, interest in excess of the Maximum Rate is paid by the Company to the Holder with respect to indebtedness evidenced by this the Note, such excess shall be applied by the Holder to the unpaid principal balance of any such indebtedness or be refunded to the Company, the manner of handling such excess to be at the Holder’s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Note is invalid or unenforceable under any applicable statute or rule of law (including any judicial ruling),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Terms of Future Financings.</w:t>
      </w:r>
      <w:r>
        <w:rPr>
          <w:rFonts w:ascii="Times New Roman;Times;Serif" w:hAnsi="Times New Roman;Times;Serif"/>
          <w:b w:val="false"/>
          <w:i w:val="false"/>
          <w:caps w:val="false"/>
          <w:smallCaps w:val="false"/>
          <w:sz w:val="20"/>
        </w:rPr>
        <w:t xml:space="preserve"> So long as this Note is outstanding, upon any issuance by the Borrower or any of its Subsidiaries of any Common Stock Equivalents, or amendment to any Common Stock Equivalents that was originally issued before the Issue Date, with any term that the Holder reasonably believes is more favorable to the holder of such security or with a term in favor of the holder of such security that the Holder reasonably believes was not similarly provided to the Holder in this Note (even if the holder of such other security does not receive the benefit of such more favorable term until a default occurs under such other security), then (i) the Borrower shall notify the Holder of such additional or more favorable term within one (1) business day of the issuance and/or amendment (as applicable) of the respective security, and (ii) such term, at Holder’s option, shall become a part of the transaction documents with the Holder (regardless of whether the Borrower complied with the notification provision of this Section 4.13). The types of terms contained in another security that may be more favorable to the holder of such security include, but are not limited to, terms addressing prepayment rate, interest rates, conversion rate, and original issue discount. Notwithstanding the foregoing, this Section 4.13 of this Note shall not apply to (i) the Borrower’s offering of equity securities pursuant to a registration statement of the Borrower; (ii) in connection with the Borrower’s acquisition of all or part of another entity by stock acquisition, merger, consolidation or other reorganization, or by the purchase of all or part of the assets of such other entity approved by the Board of Directors of the Borrower and provided that such transactions are not for the purpose of raising capital); (iii) pursuant to the issuance, vesting and/or exercise of options, warrants, restricted stock, restricted stock units or other common stock purchase rights issued (or to be issued) to employees, officers, directors, or employees of the Borrower for compensatory purposes pursuant to any stock purchase plan, stock option plan, equity incentive plan or other plan or arrangement approved by the Board of Directors of the Borrower at any time; and (iv) pursuant to the exercise or conversion of Common Stock Equivalents outstanding prior to the Issue Date so long as (a) such Common Stock Equivalents were disclosed in the SEC Documents prior to the Issue Date and (b) the terms or provisions of such Common Stock Equivalents were not altered, amended, or changed on or after the Issue Date.</w:t>
      </w:r>
    </w:p>
    <w:p>
      <w:pPr>
        <w:pStyle w:val="TextBody"/>
        <w:bidi w:val="0"/>
        <w:spacing w:before="0" w:after="0"/>
        <w:ind w:left="30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300" w:right="0" w:firstLine="71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Borrower has caused this Note to be signed in its name by its duly authorized officer on May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380"/>
        <w:gridCol w:w="2840"/>
        <w:gridCol w:w="75"/>
      </w:tblGrid>
      <w:tr>
        <w:trPr/>
        <w:tc>
          <w:tcPr>
            <w:tcW w:w="380" w:type="dxa"/>
            <w:tcBorders/>
            <w:vAlign w:val="center"/>
          </w:tcPr>
          <w:p>
            <w:pPr>
              <w:pStyle w:val="TableContents"/>
              <w:bidi w:val="0"/>
              <w:spacing w:before="0" w:after="283"/>
              <w:jc w:val="left"/>
              <w:rPr/>
            </w:pPr>
            <w:r>
              <w:rPr/>
              <w:t>By:</w:t>
            </w:r>
          </w:p>
        </w:tc>
        <w:tc>
          <w:tcPr>
            <w:tcW w:w="2840" w:type="dxa"/>
            <w:tcBorders>
              <w:bottom w:val="single" w:sz="12" w:space="0" w:color="000000"/>
            </w:tcBorders>
            <w:tcMar>
              <w:bottom w:w="28" w:type="dxa"/>
            </w:tcMar>
            <w:vAlign w:val="center"/>
          </w:tcPr>
          <w:p>
            <w:pPr>
              <w:pStyle w:val="TableContents"/>
              <w:bidi w:val="0"/>
              <w:spacing w:before="0" w:after="283"/>
              <w:jc w:val="left"/>
              <w:rPr>
                <w:caps w:val="false"/>
                <w:smallCaps w:val="false"/>
                <w:strike w:val="false"/>
                <w:dstrike w:val="false"/>
                <w:sz w:val="20"/>
                <w:u w:val="single"/>
                <w:effect w:val="none"/>
              </w:rPr>
            </w:pPr>
            <w:r>
              <w:rPr>
                <w:caps w:val="false"/>
                <w:smallCaps w:val="false"/>
                <w:strike w:val="false"/>
                <w:dstrike w:val="false"/>
                <w:sz w:val="20"/>
                <w:u w:val="single"/>
                <w:effect w:val="none"/>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sz w:val="20"/>
              </w:rPr>
            </w:pPr>
            <w:r>
              <w:rPr>
                <w:sz w:val="20"/>
              </w:rPr>
              <w:t>Name:Wing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elects to convert $_________ principal amount of the Note (defined below) into that number of shares of Common Stock to be issued pursuant to the conversion of the Note (“Common Stock”) as set forth below, of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a British Virgin Islands company (the “Borrower”), according to the conditions of the promissory note of the Borrower dated as of May 26, 2026 (the “Note”), as of the date written below. No fee will be charged to the Holder for any conversion, except for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Common Stock issuable pursuant to this Notice of Conversion to the account of the undersigned or its nominee with DTC through its Deposit Withdrawal Agent Commission system (“DWAC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p>
      <w:pPr>
        <w:pStyle w:val="TextBody"/>
        <w:bidi w:val="0"/>
        <w:spacing w:before="0" w:after="0"/>
        <w:ind w:left="0" w:right="0" w:hanging="0"/>
        <w:jc w:val="left"/>
        <w:rPr>
          <w:caps w:val="false"/>
          <w:smallCaps w:val="false"/>
        </w:rPr>
      </w:pPr>
      <w:r>
        <w:rPr>
          <w:caps w:val="false"/>
          <w:smallCaps w:val="false"/>
        </w:rPr>
        <w:t> </w:t>
      </w:r>
    </w:p>
    <w:tbl>
      <w:tblPr>
        <w:tblW w:w="8817" w:type="dxa"/>
        <w:jc w:val="left"/>
        <w:tblInd w:w="0" w:type="dxa"/>
        <w:tblLayout w:type="fixed"/>
        <w:tblCellMar>
          <w:top w:w="0" w:type="dxa"/>
          <w:left w:w="0" w:type="dxa"/>
          <w:bottom w:w="0" w:type="dxa"/>
          <w:right w:w="0" w:type="dxa"/>
        </w:tblCellMar>
      </w:tblPr>
      <w:tblGrid>
        <w:gridCol w:w="75"/>
        <w:gridCol w:w="6920"/>
        <w:gridCol w:w="1822"/>
      </w:tblGrid>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left"/>
              <w:rPr>
                <w:sz w:val="20"/>
              </w:rPr>
            </w:pPr>
            <w:r>
              <w:rPr>
                <w:sz w:val="20"/>
              </w:rPr>
              <w:t>Date of Conversion:</w:t>
            </w:r>
          </w:p>
        </w:tc>
        <w:tc>
          <w:tcPr>
            <w:tcW w:w="182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left"/>
              <w:rPr>
                <w:sz w:val="20"/>
              </w:rPr>
            </w:pPr>
            <w:r>
              <w:rPr>
                <w:sz w:val="20"/>
              </w:rPr>
              <w:t>Applicable Conversion Price:</w:t>
            </w:r>
          </w:p>
        </w:tc>
        <w:tc>
          <w:tcPr>
            <w:tcW w:w="1822" w:type="dxa"/>
            <w:tcBorders/>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pBdr/>
              <w:bidi w:val="0"/>
              <w:spacing w:before="0" w:after="283"/>
              <w:ind w:left="0" w:right="0" w:hanging="540"/>
              <w:jc w:val="both"/>
              <w:rPr>
                <w:sz w:val="20"/>
              </w:rPr>
            </w:pPr>
            <w:r>
              <w:rPr>
                <w:sz w:val="20"/>
              </w:rPr>
              <w:t>Number of Shares of Common Stock to be Issued Pursuant to Conversion of the Note:</w:t>
            </w:r>
          </w:p>
        </w:tc>
        <w:tc>
          <w:tcPr>
            <w:tcW w:w="1822" w:type="dxa"/>
            <w:tcBorders>
              <w:bottom w:val="single" w:sz="1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1747"/>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822" w:type="dxa"/>
            <w:tcBorders>
              <w:bottom w:val="single" w:sz="1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1747"/>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sz w:val="20"/>
              </w:rPr>
            </w:pPr>
            <w:r>
              <w:rPr>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5" w:name="ea030132501ex10-60.htm"/>
      <w:bookmarkStart w:id="76" w:name="ksea030132501ex1060"/>
      <w:bookmarkEnd w:id="75"/>
      <w:bookmarkEnd w:id="76"/>
      <w:r>
        <w:rPr>
          <w:rFonts w:ascii="Times New Roman;Times;Serif" w:hAnsi="Times New Roman;Times;Serif"/>
          <w:b/>
          <w:i w:val="false"/>
          <w:caps w:val="false"/>
          <w:smallCaps w:val="false"/>
          <w:sz w:val="20"/>
        </w:rPr>
        <w:t>Exhibit 10.60</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(the “Agreement”), dated as of June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with headquarters located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with its address at 21031 Ventura Blvd. Suite 920 Woodland Hills, CA 91364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Section 4(a)(2) of the Securities Act of 1933, as amended (the “1933 Act”) and Rule 506(b) promulgated by the United States Securities and Exchange Commission (the “SEC”)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desires to purchase from the Company, and the Company desires to issue and sell to the Buyer, upon the terms and conditions set forth in this Agreement, a promissory note of the Company, in the aggregate principal amount of $83,334 (as the principal amount thereof may be increased pursuant to the terms thereof, and together with any note(s) issued in replacement thereof or as a dividend thereon or otherwise with respect thereto in accordance with the terms thereof,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“Note”), convertible into Class A ordinary shares of the Company, no par value per share (the “Common Stock”), upon the terms and subject to the limitations and conditions set forth in such Note;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the Note as is set forth in this Agreement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agreements and covenants herein contained, and for other good and valuable consideration, the receipt and sufficiency of which is hereby acknowledged, the Company and the Buyer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of Note.</w:t>
      </w:r>
      <w:r>
        <w:rPr>
          <w:rFonts w:ascii="Times New Roman;Times;Serif" w:hAnsi="Times New Roman;Times;Serif"/>
          <w:b w:val="false"/>
          <w:i w:val="false"/>
          <w:caps w:val="false"/>
          <w:smallCaps w:val="false"/>
          <w:sz w:val="20"/>
        </w:rPr>
        <w:t xml:space="preserve"> On the Closing Date (as defined below), the Company shall issue and sell to the Buyer, and the Buyer agrees to purchase from the Company, the Note, as further provided herein. As used in this Agreement, the term “business day” shall mean any day other than a Saturday, Sunday, or a day on which commercial banks in the city of New York, New York are authorized or required by law or executive order to remain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On the Closing Date: (i) the Buyer shall pay the purchase price of $75,000.00 (the “Purchase Price”) for the Note, to be issued and sold to it at the Closing (as defined below), by wire transfer of immediately available funds to the Company, in accordance with the Company’s written wiring instructions, against delivery of the Note, and (ii) the Company shall deliver such duly executed Note on behalf of the Company, to the Buyer, against delivery of such Purchase Price. On the Closing Date, the Buyer shall withhold $5,000.00 from the Purchase Price to cover the Buyer’s legal fees in connection with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satisfaction (or written waiver) of the conditions thereto set forth in Section 6 and Section 7 below, the date and time of the issuance and sale of the Note pursuant to this Agreement (the “Closing Date”) shall be on the date that the Purchase Price for the Note is paid by Buyer pursuant to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(the “Closing”) shall occur on the Closing Date at such location as may be agreed to by the parties (including via exchange of electronic signatures).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Closing Date, the Buyer is purchasing the Note (the Note, , and shares of Common Stock issuable upon conversion of or otherwise pursuant to the Note (the “Conversion Shares”) shall collectively be referred to herein as the “Securities”) for its own account and not with a present view towards the public sale or distribution thereof, except pursuant to sales registered or exempted from registration under the 1933 Act; provided, however, that by making the representations herein, the Buyer does not agree to hold any of the Securities for any minimum or other specific term and reserves the right to dispose of the Securities at any time in accordance with or pursuant to a registration statement or an exemption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The Buyer is an “accredited investor” as that term is defined in Rule 501(a) of Regulation D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xml:space="preserve">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Buyer and its advisors, if any, have been, and for so long as the Note remains outstanding will continue to be, furnished with all materials relating to the business, finances and operations of the Company and materials relating to the offer and sale of the Securities which have been requested by the Buyer or its advisors. The Buyer and its advisors, if any, have been, and for so long as the Note remains outstanding will continue to be, afforded the opportunity to ask questions of the Company regarding its business and affairs. Notwithstanding the foregoing, the Company has not disclosed to the Buyer any material nonpublic information regarding the Company or otherwise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xml:space="preserve"> The Buyer understands that no United States federal or state agency or any other government or governmental agency has passed upon or made any recommendation or endorsement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Company, an opinion of counsel (which may be the Legal Counsel Opinion (as defined below)) that shall be in form, substance and scope customary for opinions of counsel in comparable transactions to the effect that the Securities to be sold or transferred may be sold or transferred pursuant to an exemption from such registration, which opinion shall be accepted by the Company,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(d) the Securities are sold pursuant to Rule 144 or other applicable exemption, or (e) the Securities are sold pursuant to Regulation S under the 1933 Act (or a successor rule) (“Regulation S”), and the Buyer shall have delivered to the Company, at the cost of the Company, an opinion of counsel that shall be in form, substance and scope customary for opinions of counsel in corporate transactions, which opinion shall be accepted by the Company; (ii) any sale of such Securities made in reliance on Rule 144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 Notwithstanding the foregoing or anything else contained herein to the contrary, the Securities may be pledged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secured by the Securities, and such pledge of Securities shall not be deemed to be a transfer, sale or assignment of the Securities hereunder, and the Buyer in effecting such pledge of Securities shall not be required to provide the Company with any notice thereof or otherwise make any delivery to the Company pursuant to this Agreement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Buyer understands that until such time as the Note and/or Conversion Shares have been registered under the 1933 Act or may be sold pursuant to Rule 144, Rule 144A under the 1933 Act, Regulation S, or other applicable exemption without any restriction as to the number of securities as of a particular date that can then be immediately sold, the Securities may bear a restrictive legend in substantially the following form (and a stop-transfer order may be placed against transfer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RULE 144A, REGULATION S, OR OTHER APPLICABLE EXEMPTION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or book entry statement for the applicable shares of Common Stock without such legend to the holder of any Security upon which it is stamped or (as requested by such holder) issue the applicable shares of Common Stock to such holder by electronic delivery by crediting the account of such holder’s broker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if, unless otherwise required by applicable state securities laws, (a) such Security is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Buyer provides the Legal Counsel Opinion (as contemplated by and in accordance with Section 4(l) hereof) to the effect that a public sale or transfer of such Security may be made without registration under the 1933 Act, which opinion shall be accepted by the Company so that the sale or transfer is effected. The Company shall be responsible for the fees of its transfer agent and all DTC fees associated with any such issuance. The Buyer agrees to sell all Securities, including those represented by a certificate(s) from which the legend has been removed, in compliance with applicable prospectus delivery requirements, if any. In the event that the Company does not accept the opinion of counsel provided by the Buyer with respect to the transfer of Securities pursuant to an exemption from registration, such as Rule 144, Rule 144A, Regulation S, or other applicable exemption at the Deadline (as defined in the Note),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This Agreement has been duly and validly authorized by the Buyer and has been duly executed and delivered on behalf of the Buyer, and this Agreement constitutes a valid and binding agreement of the Buyer enforceable in accordance with its terms, except as enforcement may be limited by bankruptcy, insolvency, reorganization, moratorium or other similar laws affecting creditors’ rights generally and except as may be limited by the exercise of judicial discretion in applying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represents and warrants to the Buyer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(as defined below), if any, is a corporation duly organized, validly existing and in good standing under the laws of the jurisdiction in which it is incorporated or formed, with full power and authority (corporate and other) to own, lease, use and operate its properties and to carry on its business as and where now owned, leased, used, operated and conducted. The SEC Documents set forth a list of all of the Subsidiaries of the Company and the jurisdiction in which each is incorporated. The Company and each of its Subsidiaries is duly qualified to do business and is in good standing in every jurisdiction in which its ownership or use of property or the nature of the business conducted by it makes such qualification necessary except where the failure to be so qualified or in good standing would not have a Material Adverse Effect.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The Company and Subsidiaries have all requisite corporate power and authority to enter into and perform the Transaction Documents and to consummate the transactions contemplated hereby and thereby and to issue the Securities, in accordance with the terms hereof and thereof. The Company represents and warrants that (i) the execution and delivery of the Transaction Documents, the Note, and Conversion Shares by the Company and the consummation by it of the transactions contemplated hereby and thereby (including without limitation, the issuance of the Note as well as the issuance and reservation for issuance of the Conversion Shares issuable upon conversion of the Note) have been duly authorized by the Company’s Board of Directors and no further consent or authorization of the Company, its Board of Directors, its shareholders, or its debt holders is required, (i) the Transaction Documents (together with any other instruments executed in connection herewith or therewith) have been duly executed and delivered by the Company and Subsidiaries by its authorized representatives, and such authorized representatives are the true and official representative with authority to sign the Transaction Documents and the other instruments documents executed in connection herewith or therewith and bind the Company and Subsidiaries accordingly, and (iii) the Transaction Documents constitute, and upon execution and delivery by the Company and Subsidiaries as applicable, each of such instruments will constitute, a legal, valid and binding obligation of the Company and Subsidiaries, enforceable against the Company and Subsidiaries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Capitalization; Governing Documents.</w:t>
      </w:r>
      <w:r>
        <w:rPr>
          <w:rFonts w:ascii="Times New Roman;Times;Serif" w:hAnsi="Times New Roman;Times;Serif"/>
          <w:b w:val="false"/>
          <w:i w:val="false"/>
          <w:caps w:val="false"/>
          <w:smallCaps w:val="false"/>
          <w:sz w:val="20"/>
        </w:rPr>
        <w:t xml:space="preserve"> As of April 14, 2026, the authorized capital stock of the Company consists of: (i) unlimited authorized shares of Common Stock, of which 568,473 shares were issued and outstanding, (ii) unlimited authorized shares of Class B ordinary shares, of which 69 shares were issued and outstanding, and (iii) unlimited authorized shares of preferred stock, of which 0 shares were issued and outstanding. All of such outstanding shares of capital stock of the Company and the Conversion Shares are, or upon issuance will be, duly authorized, validly issued, fully paid and non-assessable. No shares of capital stock of the Company are subject to preemptive rights or any other similar rights of the shareholders of the Company or any liens or encumbrances imposed through the actions or failure to act of the Company. As of the effective date of this Agreement, other than as publicly announced prior to such date and reflected in the SEC Documents of the Company, (i) there are no outstanding options, warrants, scrip, rights to subscribe for, puts, calls, rights of first refusal, agreements, understandings, claims or other commitments or rights of any character whatsoever relating to, or securities or rights convertible into or exchangeable for any shares of capital stock of the Company or any of its Subsidiaries, or arrangements by which the Company or any of its Subsidiaries is or may become bound to issue additional shares of capital stock of the Company or any of its Subsidiaries, (ii) there are no agreements or arrangements under which the Company or any of its Subsidiaries is obligated to register the sale of any of its or their securities under the 1933 Act and (iii) there are no anti-dilution or price adjustment provisions contained in any security issued by the Company (or in any agreement providing rights to security holders) that will be triggered by the issuance of any of the Securities. The Company has furnished to the Buyer true and correct copies of the Company’s Certificate of Incorporation as in effect on the date hereof (“Certificate of Incorporation”), the Company’s By-laws, as in effect on the date hereof (the “By-laws”), and the terms of all securities convertible into or exercisable for Common Stock of the Company and the material rights of the holders thereof in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Conversion Shares.</w:t>
      </w:r>
      <w:r>
        <w:rPr>
          <w:rFonts w:ascii="Times New Roman;Times;Serif" w:hAnsi="Times New Roman;Times;Serif"/>
          <w:b w:val="false"/>
          <w:i w:val="false"/>
          <w:caps w:val="false"/>
          <w:smallCaps w:val="false"/>
          <w:sz w:val="20"/>
        </w:rPr>
        <w:t xml:space="preserve"> The Conversion Shares are duly authorized and reserved for issuance and, upon conversion of the Note in accordance with its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xml:space="preserve"> The Company understands and acknowledges the potentially dilutive effect of the Conversion Shares upon the conversion of the Note to the Common Stock. The Company further acknowledges that its obligation to issue, upon conversion of the Note, the Conversion Shares, are absolute and unconditional regardless of the dilutive effect that such issuance may have on the ownership interests of other shareholders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Documents by the Company and Subsidiaries, and the consummation by the Company and Subsidiaries of the transactions contemplated hereby and thereby (including, without limitation, the issuance and reservation for issuance of the Conversion Shares)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note, evidence of indebtedness,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is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or (iv) trigger any anti-dilution and/or ratchet provision contained in any other contract in which the Company is a party thereto or any security issued by the Company. Neither the Company nor any of its Subsidiaries is in violation of its Certificate of Incorporation, By-laws or other organizational documents and neither the Company nor any of its Subsidiaries is in default (and no event has occurred which with notice or lapse of time or both could put the Company or any of its Subsidiaries in default) under, and neither the Company nor any of its Subsidiaries has taken any action or failed to take any action that would give to others any rights of termination, amendment, acceleration or cancellation of, any agreement, indenture or instrument to which the Company or any of its Subsidiaries is a party or by which any property or assets of the Company or any of its Subsidiaries is bound or affected, except for possible defaults as would not, individually or in the aggregate, have a Material Adverse Effect. The businesses of the Company and its Subsidiaries, if any, are not being conducted, and shall not be conducted so long as the Buyer owns any of the Securities, in violation of any law, ordinance or regulation of any governmental entity. Except as specifically contemplated by this Agreement and as required under the 1933 Act and any applicable state securities laws, the Company is not required to obtain any consent, authorization or order of, or make any filing or registration with, any court, governmental agency, regulatory agency, self-regulatory organization or stock market or any third party in order for it to execute, deliver or perform any of its obligations under this Agreement and the Note in accordance with the terms hereof or thereof or to issue and sell the Note in accordance with the terms hereof and, upon conversion of the Note, issue Conversion Shares. All consents, authorizations, orders, filings and registrations which the Company is required to obtain pursuant to the preceding sentence have been obtained or effected on or prior to the date hereof. The Company is not in violation of the listing requirements of the Principal Market (as defined herein) and does not reasonably anticipate that the Common Stock will be delisted by the Principal Market in the foreseeable future. The Company and its Subsidiaries are unaware of any facts or circumstances which might give rise to any of the foregoing. The “Principal Market” shall mean the principal securities exchange or trading market where such Common Stock is listed or traded, including but not limited to any tier of the OTC Markets, any tier of the NASDAQ Stock Market (including NASDAQ Capital Market), or the NYSE American, or any successor to such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financial statements of the Company included in the SEC Documents, the Company has no liabilities, contingent or otherwise, other than (i) liabilities incurred in the ordinary course of business subsequent to December 31, 2025,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The Company is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2025, there has been no material adverse change and no material adverse development in the assets, liabilities, business, properties, operations, financial condition, results of operations, prospects or 1934 Act reporting status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SEC Documents contain a complete list and summary description of any pending or, to the knowledge of the Company, threatened proceeding against or affecting the Company or any of its Subsidiaries, without regard to whether it would have a Material Adverse Effect. The Company and its Subsidiaries are unaware of any facts or circumstances which might give rise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each of its Subsidiaries owns or possesses the requisite licenses or rights to use all patents, patent applications, patent rights, inventions, know-how, trade secrets, trademarks, trademark applications, service marks, service names, trade names and copyrights (“Intellectual Property”) necessary to enable it to conduct its business as now operated (and, as presently contemplated to be operated in the future); there is no claim or action by any person pertaining to, or proceeding pending, or to the Company’s knowledge threatened, which challenges the right of the Company or of a Subsidiary with respect to any Intellectual Property necessary to enable it to conduct its business as now operated (and, as presently contemplated to be operated in the future); to the best of the Company’s knowledge, the Company’s or its Subsidiaries’ current and intended products, services and processes do not infringe on any Intellectual Property or other rights held by any person; and the Company is unaware of any facts or circumstances which might give rise to any of the foregoing. The Company and each of its Subsidiaries have taken reasonable security measures to protect the secrecy, confidentiality and value of their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 Materially Adverse Contracts, Etc.</w:t>
      </w:r>
      <w:r>
        <w:rPr>
          <w:rFonts w:ascii="Times New Roman;Times;Serif" w:hAnsi="Times New Roman;Times;Serif"/>
          <w:b w:val="false"/>
          <w:i w:val="false"/>
          <w:caps w:val="false"/>
          <w:smallCaps w:val="false"/>
          <w:sz w:val="20"/>
        </w:rPr>
        <w:t xml:space="preserve"> Neither the Company nor any of its Subsidiaries is subject to any charter, corporate or other legal restriction, or any judgment, decree, order, rule or regulation which in the judgment of the Company’s officers has or is expected in the future to have a Material Adverse Effect. Neither the Company nor any of its Subsidiaries is a party to any contract or agreement which in the judgment of the Company’s officers has or is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and each of its Subsidiaries has made or filed all federal, state and foreign income and all other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for arm’s length transactions pursuant to which the Company or any of its Subsidiaries makes payments in the ordinary course of business upon terms no less favorable than the Company or any of its Subsidiaries could obtain from third parties and other than the grant of stock options described in the SEC Documents, none of the officers, directors, or employees of the Company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pursuant to Section 2(d) hereof and otherwise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1934 Act are being incorporated into an effective registration statement filed by the Company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xml:space="preserve"> The Company acknowledges and agrees that the Buyer is acting solely in the capacity of arm’s length purchaser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Buyer’s purchase of the Securities. The Company further represents to the Buyer that the Company’s decision to enter into this Agreement has been based solely on the independent evaluation of the Company and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 The issuance of the Securities to the Buyer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Brokers; No Solicitation.</w:t>
      </w:r>
      <w:r>
        <w:rPr>
          <w:rFonts w:ascii="Times New Roman;Times;Serif" w:hAnsi="Times New Roman;Times;Serif"/>
          <w:b w:val="false"/>
          <w:i w:val="false"/>
          <w:caps w:val="false"/>
          <w:smallCaps w:val="false"/>
          <w:sz w:val="20"/>
        </w:rPr>
        <w:t xml:space="preserve"> Except in the ordinary course of business, the Company has taken no action which would give rise to any claim by any person for brokerage commissions, transaction fees or similar payments relating to this Agreement or the transactions contemplated hereby. The Company represents and warrants that neither the Buyer nor its employee(s), member(s), beneficial owner(s), or partner(s) solicited the Company to enter into this Agreement and consummate the transactions described in this Agreement. The Company represents and warrants that neither the Buyer nor its employee(s), member(s), beneficial owner(s), or partner(s) is required to be registered as a broker-dealer under the Securities Exchange Act of 1934 in order to (i) enter into or consummate the transactions encompassed by this Agreement, the Note, and the related transaction documents entered into in connection herewith (the “Transaction Documents”), (ii) fulfill the Buyer’s obligations under the Transaction Documents, or (iii) exercise any of the Buyer’s rights under the Transaction Documents (including but not limited to the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xml:space="preserve">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“Company Permits”),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Since December 31, 2025,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to the Company’s knowledge, with respect to the Company or any of its Subsidiaries or any predecessor of the Company, no past or present violations of Environmental Laws (as defined below), releases of any material into the environment, actions, activities, circumstances, conditions, events, incidents, or contractual obligations which may give rise to any common law environmental liability or any liability under the Comprehensive Environmental Response, Compensation and Liability Act of 1980 or similar federal, state, local or foreign laws and neither the Company nor any of its Subsidiaries has received any notice with respect to any of the foregoing, nor is any action pending or, to the Company’s knowledge, threatened in connection with any of the foregoing.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those that are or were stored, used or disposed of in compliance with applicable law, no Hazardous Materials are contained on or about any real property currently owned, leased or used by the Company or any of its Subsidiaries, and no Hazardous Materials were released on or about any real property previously owned, leased or used by the Company or any of its Subsidiaries during the period the property was owned, leased or used by the Company or any of its Subsidiaries, except in the normal course of the Company’s or any of its Subsidiaries’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underground storage tanks on or under any real property owned, leased or used by the Company or any of its Subsidiaries that are not in compliance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xml:space="preserv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Upon written request the Company will provide to the Buyer true and correct copies of all policies relating to directors’ and officers’ liability coverage, errors and omissions coverage, and commercial general liability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of its Subsidiaries, nor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The Company (after giving effect to the transactions contemplated by this Agreement) is solvent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its assets have a fair market value in excess of the amount required to pay its probable liabilities on its existing debts as they become absolute and matured) and currently the Company has no information that would lead it to reasonably conclude that the Company would not, after giving effect to the transaction contemplated by this Agreement, have the ability to, nor does it intend to take any action that would impair its ability to, pay its debts from time to time incurred in connection therewith as such debts mature. The Company’s financial statements for its most recent fiscal year end and interim financial statements have been prepared assuming the Company will continue as a going concern, which contemplates the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xml:space="preserve">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or that could reasonably be expected to cause or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Illegal or Unauthorized Payments; Political Contributions</w:t>
      </w:r>
      <w:r>
        <w:rPr>
          <w:rFonts w:ascii="Times New Roman;Times;Serif" w:hAnsi="Times New Roman;Times;Serif"/>
          <w:b w:val="false"/>
          <w:i w:val="false"/>
          <w:caps w:val="false"/>
          <w:smallCaps w:val="false"/>
          <w:sz w:val="20"/>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The Company agrees that if the Company breaches any of the representations or warranties set forth in this Section 3 and in addition to any other remedies available to the Buyer pursuant to this Agreement, it will be considered an Event of Default under Section 3.4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COVENANTS, AGREEMENTS AND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xml:space="preserve"> The parties shall use their best efforts to satisfy timely each of the conditions described in Section 6 and 7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The Company agrees to file a Form D with respect to the Securities if required under Regulation D and to provide a copy thereof to the Buyer promptly after such filing. The Company shall, on or before the Closing Date, take such action as the Company shall reasonably determine is necessary to qualify the Securities for sale to the Buyer at the applicable closing pursuant to this Agreement under applicable securities or “blue sky” laws of the states of the United States (or to obtain an exemption from such qualification), and shall provide evidence of any such action so taken to the Buyer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Purchase Price for business development and general working capital, and not in violation or contravention of any applicable law, rule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Buyer in order to enforce any right or remedy under this Agreement, the Note and any document, agreement or instrument contemplated thereby. Notwithstanding any provision to the contrary contained in this Agreement, the Note and any document, agreement or instrument contemplated thereby, it is expressly agreed and provided that the total liability of the Company under this Agreement, the Note or any document, agreement or instrument contemplated thereby for payments which under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applicable law in the nature of interest that the Company may be obligated to pay under this Agreement, the Note and any document, agreement or instrument contemplated thereby exceed such Maximum Rate. It is agreed that if the maximum contract rate of interest allowed by law applicable to this Agreement, the Note and any document, agreement or instrument contemplated thereby is increased or decreased by statute or any official governmental action subsequent to the date hereof, the new maximum contract rate of interest allowed by law will be the Maximum Rate applicable to this Agreement, the Note and any document, agreement or instrument contemplated thereby from the effective date thereof forward, unless such application is precluded by applicable law. If under any circumstances whatsoever, interest in excess of the Maximum Rate is paid by the Company to the Buyer with respect to indebtedness evidenced by this Agreement, the Note and any document, agreement or instrument contemplated thereby, such excess shall be applied by the Buyer to the unpaid principal balance of any such indebtedness or be refunded to the Company, the manner of handling such excess to be at the Buyer’s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 on Activities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Buyer’s prior written consent, which consent shall not be unreasonably withheld or delayed, sell, divest, acquire, or dispose of all or substantially all of its assets other than in the ordinary course of business, or in the event of a Fundamental Transaction and subject to the conditions set out under Section 4(h)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will, so long as the Buyer owns any of the Securities, maintain the listing and trading of its Common Stock on the Principal Market or any equivalent replacement exchange or electronic quotation system (including but not limited to the Pink Sheets electronic quotation system)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from the Principal Market and any other exchanges or electronic quotation systems on which the Common Stock is then traded regarding the continued eligibility of the Common Stock for listing on such exchanges and quotation systems if requested in writing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The Company will, so long as the Buyer beneficially owns any of the Securities, maintain its corporate existence and shall not sell all or substantially all of the Company’s assets, except in the event of a Fundamental Transaction (as defined in the Note), where the surviving or successor entity in such transaction (i) assumes the Company’s obligations under the Transaction Documents and (ii) is a publicly traded corporation whose Common Stock is listed for trading or quotation on the Principal Market, any tier of the NASDAQ Stock Market, the New York Stock Exchange or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xml:space="preserve">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Compliance with 1934 Act; Public Information Failures.</w:t>
      </w:r>
      <w:r>
        <w:rPr>
          <w:rFonts w:ascii="Times New Roman;Times;Serif" w:hAnsi="Times New Roman;Times;Serif"/>
          <w:b w:val="false"/>
          <w:i w:val="false"/>
          <w:caps w:val="false"/>
          <w:smallCaps w:val="false"/>
          <w:sz w:val="20"/>
        </w:rPr>
        <w:t xml:space="preserve"> For so long as the Buyer beneficially owns the Note or any Conversion Shares, the Company shall comply with the reporting requirements of the 1934 Act; and the Company shall continue to be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Legal Counsel Opinions</w:t>
      </w:r>
      <w:r>
        <w:rPr>
          <w:rFonts w:ascii="Times New Roman;Times;Serif" w:hAnsi="Times New Roman;Times;Serif"/>
          <w:b w:val="false"/>
          <w:i w:val="false"/>
          <w:caps w:val="false"/>
          <w:smallCaps w:val="false"/>
          <w:sz w:val="20"/>
        </w:rPr>
        <w:t>. Upon the request of the Buyer from to time to time, the Company shall be responsible (at its cost) for promptly supplying to the Company’s transfer agent and the Buyer a customary legal opinion letter of its counsel (the “Legal Counsel Opinion”) to the effect that the resale of the Conversion Shares by the Buyer or its affiliates, successors and assigns is exempt from the registration requirements of the 1933 Act pursuant to Rule 144 (provided the requirements of Rule 144 are satisfied and provided the Conversion Shares are not then registered under the 1933 Act for resale pursuant to an effective registration statement) or other applicable exemption (provided the requirements of such other applicable exemption are satisfied). In addition, the Buyer may (at the Company’s cost) at any time secure its own legal counsel to issue the Legal Counsel Opinion, and the Company will instruct its transfer agent to accept such opinion.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Piggy-Back Registration Rights</w:t>
      </w:r>
      <w:r>
        <w:rPr>
          <w:rFonts w:ascii="Times New Roman;Times;Serif" w:hAnsi="Times New Roman;Times;Serif"/>
          <w:b w:val="false"/>
          <w:i w:val="false"/>
          <w:caps w:val="false"/>
          <w:smallCaps w:val="false"/>
          <w:sz w:val="20"/>
        </w:rPr>
        <w:t>. If the Company proposes to file any registration statement covering any of its securities (for sale by the Company, for resale by the holder(s) of such securities, or otherwise) (each a “Registration Statement”), the Company shall at each such time give written notice to Holder of its intention to do so (each a “Registration Notice”) at least five (5) calendar days prior to the filing of such Registration Statement and of the registration rights granted under this Agreement. Upon the written request of Holder made to the Company within three (3) calendar days after the receipt of any such Registration Notice, the Company shall, at its sole cost and expense, effect the registration of all Conversion Shares underlying the Note which the Company has been so requested to register by Holder in such Registration Statement, by inclusion of such Conversion Shares in the Registration Statement, to the extent required to permit the resale and disposition (in accordance with the intended methods of disposition, including but not limited to sales at prevailing market prices) of the Conversion Shares by 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neither it, nor any other person acting on its behalf will provide the Buyer or its agents or counsel with any information that constitutes, or the Company reasonably believes constitutes, material non-public information, unless prior thereto the Buyer shall have consented to the receipt of such information and agreed with the Company to keep such information confidential. The Company understands and confirms that the Buyer shall be relying on the foregoing covenant in effecting transactions in securities of the Company. To the extent that the Company delivers any material, non-public information to the Buyer without such Buyer’s consent, the Company hereby covenants and agrees that such Buyer shall not have any duty of confidentiality to the Company, any of its Subsidiaries, or any of their respective officers, directors, agents, employees or affiliates, not to trade on the basis of, such material, non- public information, provided that the Buyer shall remain subject to applicable law. To the extent that any notice provided, information provided, or any other communications made by the Company, to the Buyer, constitutes or contains material non-public information regarding the Company or any Subsidiaries, the Company shall simultaneously file such notice or other material information with the SEC pursuant to a Current Report on Form 8-K. In addition to any other remedies provided by this Agreement or the related transaction documents, if the Company provides any material non-public information to the Buyer without their prior written consent, and it fails to immediately (no later than that business day) file a Form 8-K disclosing this material non-public information, it shall pay the Buyer as partial liquidated damages and not as a penalty a sum equal to $3,000 per day beginning with the day the information is disclosed to the Buyer and ending and including the day the Form 8-K disclosing this information is filed.</w:t>
      </w:r>
    </w:p>
    <w:p>
      <w:pPr>
        <w:pStyle w:val="TextBody"/>
        <w:bidi w:val="0"/>
        <w:spacing w:before="0" w:after="0"/>
        <w:ind w:left="371" w:right="0" w:firstLine="2088"/>
        <w:jc w:val="both"/>
        <w:rPr>
          <w:caps w:val="false"/>
          <w:smallCaps w:val="false"/>
        </w:rPr>
      </w:pPr>
      <w:r>
        <w:rPr>
          <w:caps w:val="false"/>
          <w:smallCaps w:val="false"/>
        </w:rPr>
        <w:t> </w:t>
      </w:r>
    </w:p>
    <w:p>
      <w:pPr>
        <w:pStyle w:val="TextBody"/>
        <w:bidi w:val="0"/>
        <w:spacing w:before="0" w:after="0"/>
        <w:ind w:left="371" w:right="0" w:firstLine="208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371"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Buyer is currently, or ever has been, a broker-dealer under the Securities Exchange Act of 1934.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xml:space="preserve"> The Company acknowledges and agrees that if the Company breaches any of the covenants set forth in this Section 4, in addition to any other remedies available to the Buyer pursuant to this Agreement, it will be considered an Event of Default under Section 3.3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issue irrevocable instructions to the Company’s transfer agent to issue certificates and/or issue shares electronically at the Buyer’s option, registered in the name of the Buyer or its nominee, upon conversion of the Note, the Conversion Shares, in such amounts as specified from time to time by the Buyer to the Company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reserved shares of Common Stock in the Reserved Amount (as defined in the Note)) signed by the successor transfer agent to the Company and the Company. Prior to registration of the Conversion Shares under the 1933 Act or the date on which the Conversion Shares may be sold pursuant to Rule 144, Rule 144A, Regulation S, or other applicable exemption without any restriction as to the number of Securities as of a particular date that can then be immediately sold, all such certificates or book entry shares shall bear the restrictive legend specified in Section 2(g)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Securities to be issued to the Buyer upon conversion of or otherwise pursuant to the Note as and when required by the Note and this Agreement; (iii) it will not fail to remove (or directs its transfer agent not to remove or impairs, delays, and/or hinders its transfer agent from removing) any restrictive legend (or to withdraw any stop transfer instructions in respect thereof) on any certificate for any Securities issued to the Buyer upon conversion of or otherwise pursuant to the Note as and when required by the Note and/or this Agreement and (iv) it will provide any required corporate resolutions and issuance approvals to its transfer agent within 6 hours of each conversion of the Note. Nothing in this Section shall affect in any way the Buyer’s obligations and agreement set forth in Section 2(g) hereof to comply with all applicable prospectus delivery requirements, if any, upon re-sale of the Securities. If the Buyer provides the Company, at the cost of the Company, with (i) an opinion of counsel in form, substance and scope customary for opinions in comparable transactions, to the effect that a public sale or transfer of such Securities may be made without registration under the 1933 Act and such sale or transfer is effected or (ii) the Buyer provides reasonable assurances that the Securities can be sold pursuant to 144, Rule 144A, Regulation S, or other applicable exemption, the Company shall permit the transfer, and, in the case of the Securities, promptly instruct its transfer agent to issue one or more certificates, free from restrictive legend, in such name and in such denominations as specified by the Buyer.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xml:space="preserve"> The obligation of the Company hereunder to issue and sell the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have executed the Transaction Documents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Buyer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Buyer shall have delivered to the Company all information reasonably necessary and requested by the Company to comply with applicable federal and state securities laws in connection with the Agreement, which shall include, but not be limited to, the Buyer’s principal place of business or domicile for tax and securities law purposes and sufficient information to verify the Buyer’s status as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Conditions to The Buyer’s Obligation to Purchase.</w:t>
      </w:r>
      <w:r>
        <w:rPr>
          <w:rFonts w:ascii="Times New Roman;Times;Serif" w:hAnsi="Times New Roman;Times;Serif"/>
          <w:b w:val="false"/>
          <w:i w:val="false"/>
          <w:caps w:val="false"/>
          <w:smallCaps w:val="false"/>
          <w:sz w:val="20"/>
        </w:rPr>
        <w:t xml:space="preserve"> The obligation of the Buyer hereunder to purchase the Note, on the Closing Date, is subject to the satisfaction, at or before the Closing Date, of each of the following conditions, provided that these conditions are for the Buyer’s sole benefit and may be waived by the Buyer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Subsidiaries, as applicable, shall have executed the Transaction Documents and delivered the same to the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Buyer the duly executed Note in such denominations as the Buyer shall request and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Buyer, shall have been delivered to and acknowledged in writing by the Company’s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Trading in the Common Stock on the Principal Market shall not have been suspended by the SEC, FINRA or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Buyer (i) a certificate evidencing the formation and good standing of the Company in such entity’s jurisdiction of formation issued by the Secretary of State (or comparable office) of such jurisdiction, as of a date within ten (10) days of the Closing Date and (ii) resolutions adopted by the Company’s Board of Directors at a duly called meeting or by unanimous written consent authorizing this Agreement and all other documents, instruments and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Arbitration of Claims; Governing Law; Venue</w:t>
      </w:r>
      <w:r>
        <w:rPr>
          <w:rFonts w:ascii="Times New Roman;Times;Serif" w:hAnsi="Times New Roman;Times;Serif"/>
          <w:b w:val="false"/>
          <w:i w:val="false"/>
          <w:caps w:val="false"/>
          <w:smallCaps w:val="false"/>
          <w:sz w:val="20"/>
        </w:rPr>
        <w:t xml:space="preserve">. The Company and Buyer shall submit all Claims (as defined in Exhibit B of this Purchase Agreement) (the “Claims”) arising under this Agreement or any other agreement between the Company and Buyer or their respective affiliates (including but not limited to the Transaction Documents) or any Claim relating to the relationship of the Company and Buyer or their respective affiliates to binding arbitration pursuant to the arbitration provisions set forth in Exhibit B of the Purchase Agreement (the “Arbitration Provisions”). The Company and Buyer hereby acknowledge and agree that the Arbitration Provisions are unconditionally binding on the Company and Buyer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Buyer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Buyer consent to and expressly agree that the exclusive venue for arbitration of any Claims arising under this Agreement or any other agreement between the Company and Buyer or their respective affiliates (including but not limited to the Transaction Documents) or any Claim relating to the relationship of the Company and Buyer or their respective affiliates shall be in Orange County, California. Without modifying the Company’s and Buyer’s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or otherwise related to Buyer in any way (specifically including, without limitation, any action where Company seeks to obtain an injunction, temporary restraining order, or otherwise prohibit the Company’s transfer agent from issuing shares of Common Stock to Buyer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Buyer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Buyer to realize on any collateral or any other security, or to enforce a judgment or other court ruling in favor of the Buyer,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but all of which shall constitute one and the same agreement and shall become effective when counterparts have been signed by each party and delivered to the other party. A facsimile or .pdf signature shall be considered due execution and shall be binding upon the signatory thereto with the same force and effect as if the signature were an original, not a facsimile or .pdf signature. Delivery of a counterpart signature hereto by facsimile or email/.pdf transmission shall be deemed validly delivery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xml:space="preserve"> This Agreement shall be deemed to be jointly drafted by the Company and the Buyer and shall not be construed against any person as the drafter hereof.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Agreement, the Note, or any other agreement or instrument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Agreement, the Note, or any other agreement, certificate, instrument or document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the Note,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or any agreement or instrument contemplated hereby may be waived or amended other than by an instrument in writing signed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1308"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assigns. The Company shall not assign this Agreement or any rights or obligations hereunder without the prior written consent of the Buyer. The Buyer may assign its rights hereunder to any “accredited investor” (as defined in Rule 501(a) of the 1933 Act) in a private transaction from the Buyer or to any of its “affiliates,” as that term is defined under the 1934 Act, without the consent of the Company but shall provide prior notice to the Company of such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The Company, and the Buyer shall have the right to review a reasonable period of time before issuance of any press releases, SEC, Principal Market or FINRA filings, or any other public statements with respect to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without the prior approval of the Buyer, to make any press release or SEC, Principal Market (or other applicable trading market) or FINRA filings with respect to such transactions as is required by applicable law and regulations (although the Buyer shall be consulted by the Company in connection with any such press release prior to its release and shall be provided with a copy thereof and be given an opportunity to comment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xml:space="preserve">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Buyer’s execution and delivery of this Agreement and acquiring the Securities hereunder, and in addition to all of the Company’s other obligations under this Agreement or the Note, the Company shall defend, protect, indemnify and hold harmless the Buyer and its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the Note or any other agreement, certificate, instrument or document contemplated hereby or thereby, (b) any breach of any covenant, agreement or obligation of the Company contained in this Agreement, the Note or any other agreement,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this Agreement, the Note or any other agreement, certificate, instrument or document contemplated hereby or thereby, (ii) any transaction financed or to be financed in whole or in part, directly or indirectly, with the proceeds of the issuance of the Securities, or (iii) the status of the Buyer or holder of the Securities as an investor in the Company pursuant to the transactions contemplated by this Agreement. To the extent that the foregoing undertaking by the Company may be unenforceable for any reason, the Company shall make the maximum contribution to the payment and satisfaction of each of the Indemnified Liabilities that is permissible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the Note, or any other agreement, certificate, instrument or document contemplated hereby or thereby will be inadequate and agrees, in the event of a breach or threatened breach by the Company of the provisions of this Agreement, the Note, or any other agreement, certificate, instrument or document contemplated hereby or thereby, that the Buyer shall be entitled, in addition to all other available remedies at law or in equity, and in addition to the penalties assessable herein, to an injunction or injunctions restraining, preventing or curing any breach of this Agreement, the Note, or any other agreement, certificate, instrument or document contemplated hereby or thereby, and to enforce specifically the terms and provisions hereof and thereof,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(i) Company makes a payment or payments to the Buyer hereunder, pursuant to the Note or pursuant to any other agreement, certificate, instrument or document contemplated hereby or thereby, or (ii) the Buyer enforces or exercises its rights hereunder or pursuant to the Note, or pursuant to any other agreement, certificate, instrument or document contemplated hereby or thereby,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Buyer,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Buyer a dollar amount equal to the amount that was for any reason (i) subsequently invalidated, declared to be fraudulent or preferential, set aside, recovered from, or disgorged by the Buyer,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Buyer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Buyer existing hereunder are cumulative to, and not exclusive of, any rights or remedies otherwise available.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ind w:left="0" w:right="0" w:hanging="0"/>
        <w:jc w:val="left"/>
        <w:rPr/>
      </w:pPr>
      <w:r>
        <w:rPr>
          <w:caps w:val="false"/>
          <w:smallCaps w:val="false"/>
        </w:rPr>
        <w:t> </w:t>
      </w:r>
      <w:r>
        <w:rPr/>
        <w:t xml:space="preserve"> </w:t>
      </w:r>
    </w:p>
    <w:tbl>
      <w:tblPr>
        <w:tblW w:w="4335" w:type="dxa"/>
        <w:jc w:val="left"/>
        <w:tblInd w:w="0" w:type="dxa"/>
        <w:tblLayout w:type="fixed"/>
        <w:tblCellMar>
          <w:top w:w="0" w:type="dxa"/>
          <w:left w:w="0" w:type="dxa"/>
          <w:bottom w:w="0" w:type="dxa"/>
          <w:right w:w="0" w:type="dxa"/>
        </w:tblCellMar>
      </w:tblPr>
      <w:tblGrid>
        <w:gridCol w:w="380"/>
        <w:gridCol w:w="650"/>
        <w:gridCol w:w="3230"/>
        <w:gridCol w:w="75"/>
      </w:tblGrid>
      <w:tr>
        <w:trPr/>
        <w:tc>
          <w:tcPr>
            <w:tcW w:w="4260"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NEWGENIVF GROUP LIMITED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88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caps w:val="false"/>
          <w:smallCaps w:val="false"/>
        </w:rPr>
        <w:t> </w:t>
      </w:r>
      <w:r>
        <w:rPr/>
        <w:t xml:space="preserve"> </w:t>
      </w:r>
    </w:p>
    <w:tbl>
      <w:tblPr>
        <w:tblW w:w="3600" w:type="dxa"/>
        <w:jc w:val="left"/>
        <w:tblInd w:w="0" w:type="dxa"/>
        <w:tblLayout w:type="fixed"/>
        <w:tblCellMar>
          <w:top w:w="0" w:type="dxa"/>
          <w:left w:w="0" w:type="dxa"/>
          <w:bottom w:w="0" w:type="dxa"/>
          <w:right w:w="0" w:type="dxa"/>
        </w:tblCellMar>
      </w:tblPr>
      <w:tblGrid>
        <w:gridCol w:w="380"/>
        <w:gridCol w:w="650"/>
        <w:gridCol w:w="2495"/>
        <w:gridCol w:w="75"/>
      </w:tblGrid>
      <w:tr>
        <w:trPr/>
        <w:tc>
          <w:tcPr>
            <w:tcW w:w="3525" w:type="dxa"/>
            <w:gridSpan w:val="3"/>
            <w:tcBorders/>
            <w:vAlign w:val="center"/>
          </w:tcPr>
          <w:p>
            <w:pPr>
              <w:pStyle w:val="TableContents"/>
              <w:bidi w:val="0"/>
              <w:spacing w:before="0" w:after="283"/>
              <w:jc w:val="left"/>
              <w:rPr>
                <w:b/>
              </w:rPr>
            </w:pPr>
            <w:r>
              <w:rPr>
                <w:b/>
              </w:rPr>
              <w:t>WHITE LION CAPITAL LLC</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145" w:type="dxa"/>
            <w:gridSpan w:val="2"/>
            <w:tcBorders>
              <w:bottom w:val="single" w:sz="12" w:space="0" w:color="000000"/>
            </w:tcBorders>
            <w:tcMar>
              <w:bottom w:w="28" w:type="dxa"/>
            </w:tcMar>
            <w:vAlign w:val="center"/>
          </w:tcPr>
          <w:p>
            <w:pPr>
              <w:pStyle w:val="TableContents"/>
              <w:bidi w:val="0"/>
              <w:spacing w:before="0" w:after="283"/>
              <w:jc w:val="left"/>
              <w:rPr/>
            </w:pPr>
            <w:r>
              <w:rPr/>
              <w:t>/s/ Nathan Yee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495" w:type="dxa"/>
            <w:tcBorders/>
            <w:vAlign w:val="center"/>
          </w:tcPr>
          <w:p>
            <w:pPr>
              <w:pStyle w:val="TableContents"/>
              <w:bidi w:val="0"/>
              <w:spacing w:before="0" w:after="283"/>
              <w:jc w:val="left"/>
              <w:rPr/>
            </w:pPr>
            <w:r>
              <w:rPr/>
              <w:t>NATHAN YEE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495" w:type="dxa"/>
            <w:tcBorders/>
            <w:vAlign w:val="center"/>
          </w:tcPr>
          <w:p>
            <w:pPr>
              <w:pStyle w:val="TableContents"/>
              <w:bidi w:val="0"/>
              <w:spacing w:before="0" w:after="283"/>
              <w:jc w:val="left"/>
              <w:rPr/>
            </w:pPr>
            <w:r>
              <w:rPr/>
              <w:t>MANAGING MEMBER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4202" w:right="0" w:hanging="1"/>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FORM OF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[attached hereto]</w:t>
      </w:r>
    </w:p>
    <w:p>
      <w:pPr>
        <w:pStyle w:val="TextBody"/>
        <w:bidi w:val="0"/>
        <w:spacing w:before="0" w:after="0"/>
        <w:ind w:left="309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Each party consents to and expressly agrees that the exclusive venue for arbitration of any dispute arising out of or relating to any of the Transaction Documents or the relationship of the parties or their affiliates shall be in Orange County, California. For purposes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means any disputes, claims, demands, causes of action, requests for injunctive relief, requests for specific performance, questions regarding severability of any provisions of the Transaction Documents,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The parties to this Agreement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hereby agree that the Claims may be arbitrated in one or more Arbitrations pursuant to these Arbitration Provisions (one for an injunction or injunctions and a separate one for all other Claims). The parties hereby agree that the arbitration provisions set forth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Arbitration Provisions</w:t>
      </w:r>
      <w:r>
        <w:rPr>
          <w:rFonts w:ascii="Times New Roman;Times;Serif" w:hAnsi="Times New Roman;Times;Serif"/>
          <w:b w:val="false"/>
          <w:i w:val="false"/>
          <w:caps w:val="false"/>
          <w:smallCaps w:val="false"/>
          <w:sz w:val="20"/>
        </w:rPr>
        <w:t>”)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These Arbitration Provisions shall also survive any termination or expiration of the Agreement. Any capitalized term not defined in these Arbitration Provisions shall have the meaning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Except as otherwise provided herein, all Claims must be submitted to arbitration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 to be conducted exclusively in Orange County, California and pursuant to the terms set forth in these Arbitration Provisions. Subject to the arbitration appeal right provided for in Paragraph 5 below (the “</w:t>
      </w:r>
      <w:r>
        <w:rPr>
          <w:rFonts w:ascii="Times New Roman;Times;Serif" w:hAnsi="Times New Roman;Times;Serif"/>
          <w:b/>
          <w:i w:val="false"/>
          <w:caps w:val="false"/>
          <w:smallCaps w:val="false"/>
          <w:sz w:val="20"/>
        </w:rPr>
        <w:t>Appeal Right</w:t>
      </w:r>
      <w:r>
        <w:rPr>
          <w:rFonts w:ascii="Times New Roman;Times;Serif" w:hAnsi="Times New Roman;Times;Serif"/>
          <w:b w:val="false"/>
          <w:i w:val="false"/>
          <w:caps w:val="false"/>
          <w:smallCaps w:val="false"/>
          <w:sz w:val="20"/>
        </w:rPr>
        <w:t>”), the parties agree that the award of the arbitrator rendered pursuant to Paragraph 4 below (the “</w:t>
      </w:r>
      <w:r>
        <w:rPr>
          <w:rFonts w:ascii="Times New Roman;Times;Serif" w:hAnsi="Times New Roman;Times;Serif"/>
          <w:b/>
          <w:i w:val="false"/>
          <w:caps w:val="false"/>
          <w:smallCaps w:val="false"/>
          <w:sz w:val="20"/>
        </w:rPr>
        <w:t>Arbitration Award</w:t>
      </w:r>
      <w:r>
        <w:rPr>
          <w:rFonts w:ascii="Times New Roman;Times;Serif" w:hAnsi="Times New Roman;Times;Serif"/>
          <w:b w:val="false"/>
          <w:i w:val="false"/>
          <w:caps w:val="false"/>
          <w:smallCaps w:val="false"/>
          <w:sz w:val="20"/>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(with respect to monetary awards) at the rate specified in the Note for Default Interest both before and after the Arbitration Award. Judgment upon the Arbitration Award will be entered and enforced by any state or federal court sitting in Orange County,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The Arbitration Act</w:t>
      </w:r>
      <w:r>
        <w:rPr>
          <w:rFonts w:ascii="Times New Roman;Times;Serif" w:hAnsi="Times New Roman;Times;Serif"/>
          <w:b w:val="false"/>
          <w:i w:val="false"/>
          <w:caps w:val="false"/>
          <w:smallCaps w:val="false"/>
          <w:sz w:val="20"/>
        </w:rPr>
        <w:t>. The parties hereby incorporate herein the provisions and procedures set forth in the California Arbitration Act, Title 9 §§ 1280-1294.4 (as amended or superseded from time to time, the “</w:t>
      </w:r>
      <w:r>
        <w:rPr>
          <w:rFonts w:ascii="Times New Roman;Times;Serif" w:hAnsi="Times New Roman;Times;Serif"/>
          <w:b/>
          <w:i w:val="false"/>
          <w:caps w:val="false"/>
          <w:smallCaps w:val="false"/>
          <w:sz w:val="20"/>
        </w:rPr>
        <w:t>Arbitration Act</w:t>
      </w:r>
      <w:r>
        <w:rPr>
          <w:rFonts w:ascii="Times New Roman;Times;Serif" w:hAnsi="Times New Roman;Times;Serif"/>
          <w:b w:val="false"/>
          <w:i w:val="false"/>
          <w:caps w:val="false"/>
          <w:smallCaps w:val="false"/>
          <w:sz w:val="20"/>
        </w:rPr>
        <w:t>”). Notwithstanding the foregoing, pursuant to, and to the maximum extent permitted by,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Arbitration Proceedings</w:t>
      </w:r>
      <w:r>
        <w:rPr>
          <w:rFonts w:ascii="Times New Roman;Times;Serif" w:hAnsi="Times New Roman;Times;Serif"/>
          <w:b w:val="false"/>
          <w:i w:val="false"/>
          <w:caps w:val="false"/>
          <w:smallCaps w:val="false"/>
          <w:sz w:val="20"/>
        </w:rPr>
        <w:t>. Arbitration between the parties will be subject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caps w:val="false"/>
          <w:smallCaps w:val="false"/>
          <w:sz w:val="20"/>
        </w:rPr>
        <w:t>Initiation of Arbitration</w:t>
      </w:r>
      <w:r>
        <w:rPr>
          <w:rFonts w:ascii="Times New Roman;Times;Serif" w:hAnsi="Times New Roman;Times;Serif"/>
          <w:b w:val="false"/>
          <w:i w:val="false"/>
          <w:caps w:val="false"/>
          <w:smallCaps w:val="false"/>
          <w:sz w:val="20"/>
        </w:rPr>
        <w:t>. The parties agree that a party may initiate Arbitration by giving written notice to the other party (“</w:t>
      </w:r>
      <w:r>
        <w:rPr>
          <w:rFonts w:ascii="Times New Roman;Times;Serif" w:hAnsi="Times New Roman;Times;Serif"/>
          <w:b/>
          <w:i w:val="false"/>
          <w:caps w:val="false"/>
          <w:smallCaps w:val="false"/>
          <w:sz w:val="20"/>
        </w:rPr>
        <w:t>Arbitration Notice</w:t>
      </w:r>
      <w:r>
        <w:rPr>
          <w:rFonts w:ascii="Times New Roman;Times;Serif" w:hAnsi="Times New Roman;Times;Serif"/>
          <w:b w:val="false"/>
          <w:i w:val="false"/>
          <w:caps w:val="false"/>
          <w:smallCaps w:val="false"/>
          <w:sz w:val="20"/>
        </w:rPr>
        <w:t xml:space="preserve">”) in the same manner that notice is permitted under Section 8(f) of the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Arbitration Notice may not be given by email or fax. Arbitration will be deemed initiated as of the date that the Arbitration Notice is deemed physically delivered to such other party under Section 8(f) of the Agreement (the “</w:t>
      </w:r>
      <w:r>
        <w:rPr>
          <w:rFonts w:ascii="Times New Roman;Times;Serif" w:hAnsi="Times New Roman;Times;Serif"/>
          <w:b/>
          <w:i w:val="false"/>
          <w:caps w:val="false"/>
          <w:smallCaps w:val="false"/>
          <w:sz w:val="20"/>
        </w:rPr>
        <w:t>Service Date</w:t>
      </w:r>
      <w:r>
        <w:rPr>
          <w:rFonts w:ascii="Times New Roman;Times;Serif" w:hAnsi="Times New Roman;Times;Serif"/>
          <w:b w:val="false"/>
          <w:i w:val="false"/>
          <w:caps w:val="false"/>
          <w:smallCaps w:val="false"/>
          <w:sz w:val="20"/>
        </w:rPr>
        <w:t>”). After the Service Date, information may be delivered, and notices may be given, by email or fax pursuant to Section 8(f) of the Agreement or any other method permitted thereunder. The Arbitration Notice must describe the nature of the controversy, the remedies sought, and the election to commence Arbitration proceedings. All Claims in the Arbitration Notice must be pleaded consistent with the California Code of Civil Procedure.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caps w:val="false"/>
          <w:smallCaps w:val="false"/>
          <w:sz w:val="20"/>
        </w:rPr>
        <w:t>Selection and Payment of Arbitrator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Service Date, Buyer shall select and submit to Company the names of four (4) arbitrators that are designated as “neutrals” or qualified arbitrators by American Arbitration Association (“AAA”) (https://www.adr.org/) or other arbitration service provider agreed upon by the parties (such four (4) designated persons hereunder are referred to herein as the “</w:t>
      </w:r>
      <w:r>
        <w:rPr>
          <w:rFonts w:ascii="Times New Roman;Times;Serif" w:hAnsi="Times New Roman;Times;Serif"/>
          <w:b/>
          <w:i w:val="false"/>
          <w:caps w:val="false"/>
          <w:smallCaps w:val="false"/>
          <w:sz w:val="20"/>
        </w:rPr>
        <w:t>Proposed Arbitrators</w:t>
      </w:r>
      <w:r>
        <w:rPr>
          <w:rFonts w:ascii="Times New Roman;Times;Serif" w:hAnsi="Times New Roman;Times;Serif"/>
          <w:b w:val="false"/>
          <w:i w:val="false"/>
          <w:caps w:val="false"/>
          <w:smallCaps w:val="false"/>
          <w:sz w:val="20"/>
        </w:rPr>
        <w:t>”). Within five (5) calendar days after Buyer has submitted to Company the names of the Proposed Arbitrators, Company must select, by written notice to Buyer, one (1) of the Proposed Arbitrators to act as the arbitrator for the parties under these Arbitration Provisions. If Company fails to select one of the Proposed Arbitrators in writing within such 5-day period, then Buyer may select the arbitrator from the Proposed Arbitrators by providing written notice of such selection to Company. The date that the Proposed Arbitrator selected pursuant to this Paragraph 4.2 agrees in writing (including via email) delivered to both parties to serve as the arbitrator hereunder is referred to herein as the “</w:t>
      </w:r>
      <w:r>
        <w:rPr>
          <w:rFonts w:ascii="Times New Roman;Times;Serif" w:hAnsi="Times New Roman;Times;Serif"/>
          <w:b/>
          <w:i w:val="false"/>
          <w:caps w:val="false"/>
          <w:smallCaps w:val="false"/>
          <w:sz w:val="20"/>
        </w:rPr>
        <w:t>Arbitration Commencement Date</w:t>
      </w:r>
      <w:r>
        <w:rPr>
          <w:rFonts w:ascii="Times New Roman;Times;Serif" w:hAnsi="Times New Roman;Times;Serif"/>
          <w:b w:val="false"/>
          <w:i w:val="false"/>
          <w:caps w:val="false"/>
          <w:smallCaps w:val="false"/>
          <w:sz w:val="20"/>
        </w:rPr>
        <w:t>”. If an arbitrator resigns or is unable to act during the Arbitration, a replacement arbitrator shall be chosen by Buyer in accordance with this Paragraph 4.2 to continue the Arbitration. If AAA or other arbitration service provider agreed upon by the parties ceases to exist or to provide a list of neutrals and there is no successor thereto, then the arbitrator shall be selected under the then prevailing rules of the American Arbitration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caps w:val="false"/>
          <w:smallCaps w:val="false"/>
          <w:sz w:val="20"/>
        </w:rPr>
        <w:t>Applicability of Certain California Rules</w:t>
      </w:r>
      <w:r>
        <w:rPr>
          <w:rFonts w:ascii="Times New Roman;Times;Serif" w:hAnsi="Times New Roman;Times;Serif"/>
          <w:b w:val="false"/>
          <w:i w:val="false"/>
          <w:caps w:val="false"/>
          <w:smallCaps w:val="false"/>
          <w:sz w:val="20"/>
        </w:rPr>
        <w:t>. The parties agree that the Arbitration shall be conducted generally in accordance with the California Code of Civil Procedure and the California Rules of Evidence. More specifically, the California Code of Civil Procedure shall apply, without limitation, to the filing of any pleadings, motions or memoranda, the conducting of discovery, and the taking of any depositions. The California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California Code of Civil Procedure or the California Rules of Evidence and these Arbitration Provisions, these Arbitration Provisions shall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caps w:val="false"/>
          <w:smallCaps w:val="false"/>
          <w:sz w:val="20"/>
        </w:rPr>
        <w:t>Answer and Default</w:t>
      </w:r>
      <w:r>
        <w:rPr>
          <w:rFonts w:ascii="Times New Roman;Times;Serif" w:hAnsi="Times New Roman;Times;Serif"/>
          <w:b w:val="false"/>
          <w:i w:val="false"/>
          <w:caps w:val="false"/>
          <w:smallCaps w:val="false"/>
          <w:sz w:val="20"/>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Discovery</w:t>
      </w:r>
      <w:r>
        <w:rPr>
          <w:rFonts w:ascii="Times New Roman;Times;Serif" w:hAnsi="Times New Roman;Times;Serif"/>
          <w:b w:val="false"/>
          <w:i w:val="false"/>
          <w:caps w:val="false"/>
          <w:smallCaps w:val="false"/>
          <w:sz w:val="20"/>
        </w:rPr>
        <w:t>. The parties agree that discovery shall be conducted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Dispositive Motions</w:t>
      </w:r>
      <w:r>
        <w:rPr>
          <w:rFonts w:ascii="Times New Roman;Times;Serif" w:hAnsi="Times New Roman;Times;Serif"/>
          <w:b w:val="false"/>
          <w:i w:val="false"/>
          <w:caps w:val="false"/>
          <w:smallCaps w:val="false"/>
          <w:sz w:val="20"/>
        </w:rPr>
        <w:t>. Each party shall have the right to submit dispositive motions pursuant to the California Code of Civil Procedure (a “</w:t>
      </w:r>
      <w:r>
        <w:rPr>
          <w:rFonts w:ascii="Times New Roman;Times;Serif" w:hAnsi="Times New Roman;Times;Serif"/>
          <w:b/>
          <w:i w:val="false"/>
          <w:caps w:val="false"/>
          <w:smallCaps w:val="false"/>
          <w:sz w:val="20"/>
        </w:rPr>
        <w:t>Dispositive Motion</w:t>
      </w:r>
      <w:r>
        <w:rPr>
          <w:rFonts w:ascii="Times New Roman;Times;Serif" w:hAnsi="Times New Roman;Times;Serif"/>
          <w:b w:val="false"/>
          <w:i w:val="false"/>
          <w:caps w:val="false"/>
          <w:smallCaps w:val="false"/>
          <w:sz w:val="20"/>
        </w:rPr>
        <w:t>”). The party submitting the Dispositive Motion may, but is not required to, deliver to the arbitrator and to the other party a memorandum in support (the “</w:t>
      </w:r>
      <w:r>
        <w:rPr>
          <w:rFonts w:ascii="Times New Roman;Times;Serif" w:hAnsi="Times New Roman;Times;Serif"/>
          <w:b/>
          <w:i w:val="false"/>
          <w:caps w:val="false"/>
          <w:smallCaps w:val="false"/>
          <w:sz w:val="20"/>
        </w:rPr>
        <w:t>Memorandum in Support</w:t>
      </w:r>
      <w:r>
        <w:rPr>
          <w:rFonts w:ascii="Times New Roman;Times;Serif" w:hAnsi="Times New Roman;Times;Serif"/>
          <w:b w:val="false"/>
          <w:i w:val="false"/>
          <w:caps w:val="false"/>
          <w:smallCaps w:val="false"/>
          <w:sz w:val="20"/>
        </w:rPr>
        <w:t>”) of the Dispositive Motion. Within seven (7) calendar days of delivery of the Memorandum in Support, the other party shall deliver to the arbitrator and to the other party a memorandum in opposition to the Memorandum in Support (the “</w:t>
      </w:r>
      <w:r>
        <w:rPr>
          <w:rFonts w:ascii="Times New Roman;Times;Serif" w:hAnsi="Times New Roman;Times;Serif"/>
          <w:b/>
          <w:i w:val="false"/>
          <w:caps w:val="false"/>
          <w:smallCaps w:val="false"/>
          <w:sz w:val="20"/>
        </w:rPr>
        <w:t>Memorandum in Opposition</w:t>
      </w:r>
      <w:r>
        <w:rPr>
          <w:rFonts w:ascii="Times New Roman;Times;Serif" w:hAnsi="Times New Roman;Times;Serif"/>
          <w:b w:val="false"/>
          <w:i w:val="false"/>
          <w:caps w:val="false"/>
          <w:smallCaps w:val="false"/>
          <w:sz w:val="20"/>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Times;Serif" w:hAnsi="Times New Roman;Times;Serif"/>
          <w:b/>
          <w:i w:val="false"/>
          <w:caps w:val="false"/>
          <w:smallCaps w:val="false"/>
          <w:sz w:val="20"/>
        </w:rPr>
        <w:t>Reply Memorandum</w:t>
      </w:r>
      <w:r>
        <w:rPr>
          <w:rFonts w:ascii="Times New Roman;Times;Serif" w:hAnsi="Times New Roman;Times;Serif"/>
          <w:b w:val="false"/>
          <w:i w:val="false"/>
          <w:caps w:val="false"/>
          <w:smallCaps w:val="false"/>
          <w:sz w:val="20"/>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caps w:val="false"/>
          <w:smallCaps w:val="false"/>
          <w:sz w:val="20"/>
        </w:rPr>
        <w:t>Authorization; Timing; Scheduling Order</w:t>
      </w:r>
      <w:r>
        <w:rPr>
          <w:rFonts w:ascii="Times New Roman;Times;Serif" w:hAnsi="Times New Roman;Times;Serif"/>
          <w:b w:val="false"/>
          <w:i w:val="false"/>
          <w:caps w:val="false"/>
          <w:smallCaps w:val="false"/>
          <w:sz w:val="20"/>
        </w:rPr>
        <w:t>. Subject to all other portions of these Arbitration Provisions, the parties hereby authorize and direct the arbitrator to take such actions and make such rulings as may be necessary to carry out the parties’ intent for the Arbitration proceedings to be efficient and expeditious. The parties hereby agree that an Arbitration Award must be made within one hundred twenty (120) calendar days after the Arbitration Commencement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caps w:val="false"/>
          <w:smallCaps w:val="false"/>
          <w:sz w:val="20"/>
        </w:rPr>
        <w:t>Relief</w:t>
      </w:r>
      <w:r>
        <w:rPr>
          <w:rFonts w:ascii="Times New Roman;Times;Serif" w:hAnsi="Times New Roman;Times;Serif"/>
          <w:b w:val="false"/>
          <w:i w:val="false"/>
          <w:caps w:val="false"/>
          <w:smallCaps w:val="false"/>
          <w:sz w:val="20"/>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Arbitration Appeal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caps w:val="false"/>
          <w:smallCaps w:val="false"/>
          <w:sz w:val="20"/>
        </w:rPr>
        <w:t xml:space="preserve">Initiation of Appeal. </w:t>
      </w:r>
      <w:r>
        <w:rPr>
          <w:rFonts w:ascii="Times New Roman;Times;Serif" w:hAnsi="Times New Roman;Times;Serif"/>
          <w:b w:val="false"/>
          <w:i w:val="false"/>
          <w:caps w:val="false"/>
          <w:smallCaps w:val="false"/>
          <w:sz w:val="20"/>
        </w:rPr>
        <w:t>Following the entry of the Arbitration Award, either party (the “</w:t>
      </w:r>
      <w:r>
        <w:rPr>
          <w:rFonts w:ascii="Times New Roman;Times;Serif" w:hAnsi="Times New Roman;Times;Serif"/>
          <w:b/>
          <w:i w:val="false"/>
          <w:caps w:val="false"/>
          <w:smallCaps w:val="false"/>
          <w:sz w:val="20"/>
        </w:rPr>
        <w:t>Appellant</w:t>
      </w:r>
      <w:r>
        <w:rPr>
          <w:rFonts w:ascii="Times New Roman;Times;Serif" w:hAnsi="Times New Roman;Times;Serif"/>
          <w:b w:val="false"/>
          <w:i w:val="false"/>
          <w:caps w:val="false"/>
          <w:smallCaps w:val="false"/>
          <w:sz w:val="20"/>
        </w:rPr>
        <w:t>”) shall have a period of thirty (30) calendar days in which to notify the other party (the “</w:t>
      </w:r>
      <w:r>
        <w:rPr>
          <w:rFonts w:ascii="Times New Roman;Times;Serif" w:hAnsi="Times New Roman;Times;Serif"/>
          <w:b/>
          <w:i w:val="false"/>
          <w:caps w:val="false"/>
          <w:smallCaps w:val="false"/>
          <w:sz w:val="20"/>
        </w:rPr>
        <w:t>Appellee</w:t>
      </w:r>
      <w:r>
        <w:rPr>
          <w:rFonts w:ascii="Times New Roman;Times;Serif" w:hAnsi="Times New Roman;Times;Serif"/>
          <w:b w:val="false"/>
          <w:i w:val="false"/>
          <w:caps w:val="false"/>
          <w:smallCaps w:val="false"/>
          <w:sz w:val="20"/>
        </w:rPr>
        <w:t>”), in writing, that the Appellant elects to appeal (the “</w:t>
      </w:r>
      <w:r>
        <w:rPr>
          <w:rFonts w:ascii="Times New Roman;Times;Serif" w:hAnsi="Times New Roman;Times;Serif"/>
          <w:b/>
          <w:i w:val="false"/>
          <w:caps w:val="false"/>
          <w:smallCaps w:val="false"/>
          <w:sz w:val="20"/>
        </w:rPr>
        <w:t>Appeal</w:t>
      </w:r>
      <w:r>
        <w:rPr>
          <w:rFonts w:ascii="Times New Roman;Times;Serif" w:hAnsi="Times New Roman;Times;Serif"/>
          <w:b w:val="false"/>
          <w:i w:val="false"/>
          <w:caps w:val="false"/>
          <w:smallCaps w:val="false"/>
          <w:sz w:val="20"/>
        </w:rPr>
        <w:t>”) the Arbitration Award (such notice, an “</w:t>
      </w:r>
      <w:r>
        <w:rPr>
          <w:rFonts w:ascii="Times New Roman;Times;Serif" w:hAnsi="Times New Roman;Times;Serif"/>
          <w:b/>
          <w:i w:val="false"/>
          <w:caps w:val="false"/>
          <w:smallCaps w:val="false"/>
          <w:sz w:val="20"/>
        </w:rPr>
        <w:t>Appeal Notice</w:t>
      </w:r>
      <w:r>
        <w:rPr>
          <w:rFonts w:ascii="Times New Roman;Times;Serif" w:hAnsi="Times New Roman;Times;Serif"/>
          <w:b w:val="false"/>
          <w:i w:val="false"/>
          <w:caps w:val="false"/>
          <w:smallCaps w:val="false"/>
          <w:sz w:val="20"/>
        </w:rPr>
        <w:t>”) to a panel of arbitrators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caps w:val="false"/>
          <w:smallCaps w:val="false"/>
          <w:sz w:val="20"/>
        </w:rPr>
        <w:t xml:space="preserve">Fees and Costs. </w:t>
      </w:r>
      <w:r>
        <w:rPr>
          <w:rFonts w:ascii="Times New Roman;Times;Serif" w:hAnsi="Times New Roman;Times;Serif"/>
          <w:b w:val="false"/>
          <w:i w:val="false"/>
          <w:caps w:val="false"/>
          <w:smallCaps w:val="false"/>
          <w:sz w:val="20"/>
        </w:rPr>
        <w:t>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Except as otherwise expressly provided for in these Arbitration Provisions, these Arbitration Provisions shall be governed by the laws of the State of Delaware without regard to the conflict of laws principles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headings of these Arbitration Provisions are for convenience of reference only and shall not form part of, or affect the interpretation of, these Arbitration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caps w:val="false"/>
          <w:smallCaps w:val="false"/>
          <w:sz w:val="20"/>
        </w:rPr>
        <w:t>Waiver</w:t>
      </w:r>
      <w:r>
        <w:rPr>
          <w:rFonts w:ascii="Times New Roman;Times;Serif" w:hAnsi="Times New Roman;Times;Serif"/>
          <w:b w:val="false"/>
          <w:i w:val="false"/>
          <w:caps w:val="false"/>
          <w:smallCaps w:val="false"/>
          <w:sz w:val="20"/>
        </w:rPr>
        <w:t>. No waiver of any provision of these Arbitration Provisions shall be effective unless it is in the form of a writing signed by the party granting the waiver.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caps w:val="false"/>
          <w:smallCaps w:val="false"/>
          <w:sz w:val="20"/>
        </w:rPr>
        <w:t>Time is of the Essence</w:t>
      </w:r>
      <w:r>
        <w:rPr>
          <w:rFonts w:ascii="Times New Roman;Times;Serif" w:hAnsi="Times New Roman;Times;Serif"/>
          <w:b w:val="false"/>
          <w:i w:val="false"/>
          <w:caps w:val="false"/>
          <w:smallCaps w:val="false"/>
          <w:sz w:val="20"/>
        </w:rPr>
        <w:t>. Time is expressly made of the essence with respect to each and every provision of these Arbitration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77" w:name="ea030132501ex10-61.htm"/>
      <w:bookmarkStart w:id="78" w:name="ksea030132501ex1061"/>
      <w:bookmarkEnd w:id="77"/>
      <w:bookmarkEnd w:id="78"/>
      <w:r>
        <w:rPr>
          <w:b/>
        </w:rPr>
        <w:t>Exhibit 10.61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OR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3875"/>
        <w:gridCol w:w="2060"/>
      </w:tblGrid>
      <w:tr>
        <w:trPr/>
        <w:tc>
          <w:tcPr>
            <w:tcW w:w="3875" w:type="dxa"/>
            <w:tcBorders/>
            <w:vAlign w:val="center"/>
          </w:tcPr>
          <w:p>
            <w:pPr>
              <w:pStyle w:val="TableContents"/>
              <w:bidi w:val="0"/>
              <w:spacing w:before="0" w:after="283"/>
              <w:jc w:val="left"/>
              <w:rPr>
                <w:b/>
                <w:sz w:val="20"/>
              </w:rPr>
            </w:pPr>
            <w:r>
              <w:rPr>
                <w:b/>
                <w:sz w:val="20"/>
              </w:rPr>
              <w:t>Principal Amount: $83,334.00</w:t>
            </w:r>
          </w:p>
        </w:tc>
        <w:tc>
          <w:tcPr>
            <w:tcW w:w="2060" w:type="dxa"/>
            <w:tcBorders/>
            <w:vAlign w:val="center"/>
          </w:tcPr>
          <w:p>
            <w:pPr>
              <w:pStyle w:val="TableContents"/>
              <w:bidi w:val="0"/>
              <w:spacing w:before="0" w:after="283"/>
              <w:jc w:val="right"/>
              <w:rPr>
                <w:b/>
                <w:sz w:val="20"/>
              </w:rPr>
            </w:pPr>
            <w:r>
              <w:rPr>
                <w:b/>
                <w:sz w:val="20"/>
              </w:rPr>
              <w:t>Issue Date: June 8, 2026</w:t>
            </w:r>
          </w:p>
        </w:tc>
      </w:tr>
      <w:tr>
        <w:trPr/>
        <w:tc>
          <w:tcPr>
            <w:tcW w:w="3875" w:type="dxa"/>
            <w:tcBorders/>
            <w:vAlign w:val="center"/>
          </w:tcPr>
          <w:p>
            <w:pPr>
              <w:pStyle w:val="TableContents"/>
              <w:bidi w:val="0"/>
              <w:spacing w:before="0" w:after="283"/>
              <w:jc w:val="left"/>
              <w:rPr>
                <w:b/>
                <w:sz w:val="20"/>
              </w:rPr>
            </w:pPr>
            <w:r>
              <w:rPr>
                <w:b/>
                <w:sz w:val="20"/>
              </w:rPr>
              <w:t>Actual Amount of Purchase Price: $75,000.00</w:t>
            </w:r>
          </w:p>
        </w:tc>
        <w:tc>
          <w:tcPr>
            <w:tcW w:w="2060" w:type="dxa"/>
            <w:tcBorders/>
            <w:vAlign w:val="center"/>
          </w:tcPr>
          <w:p>
            <w:pPr>
              <w:pStyle w:val="TableContents"/>
              <w:bidi w:val="0"/>
              <w:spacing w:before="0" w:after="283"/>
              <w:jc w:val="left"/>
              <w:rPr/>
            </w:pPr>
            <w:r>
              <w:rPr/>
              <w:t> </w:t>
            </w:r>
          </w:p>
        </w:tc>
      </w:tr>
    </w:tbl>
    <w:p>
      <w:pPr>
        <w:pStyle w:val="TextBody"/>
        <w:bidi w:val="0"/>
        <w:spacing w:before="0" w:after="0"/>
        <w:ind w:left="248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(hereinafter called the “Borrower” or the “Company”), hereby promises to pay to the order of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(the “Holder”), in the form of lawful money of the United States of America, the principal sum of $83,334.00 (the “Principal Amount”) (subject to adjustment herein), which includes the purchase price of $75,000.00 plus an original issue discount in the amount of $8,334.00 (the “OID”), and to pay a one-time interest charge on the Principal Amount hereof at the rate of ten percent (10%) (the “Interest Rate”) (which is equal to $8,334.00 and shall be guaranteed and earned in full as of the date hereof (the “Issue Date”)), when such amounts become due and payable, whether at maturity or upon acceleration or by prepayment or otherwise, as further provided herein. The maturity date shall be twelve (12) months from the Issue Date (the “Maturity Date”), and is the date upon which the Principal Amount (which includes the OID) and any accrued and unpaid interest and other fees, shall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prepaid or repaid in whole or in part except as otherwise explicitly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Principal Amount or interest on this Note which is not paid when due shall bear interest at the rate of the lesser of (i) sixteen percent (16%) per annum and (ii) the maximum amount permitted by law from the due date thereof until the same is paid (“Default Interest”). Interest and Default Interest shall be computed on the basis of a 365-day year and the actual number of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(to the extent not converted into Class A ordinary shares of the Borrower, no par value per share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herein, and not otherwise defined, shall have the meaning ascribed thereto in that certain Securities Purchase Agreement, dated as of the Issue Date, pursuant to which this Note was originally issued (the “Purchase Agreement”). As used in this Note, the term “business day” shall mean any day other than a Saturday, Sunday or a day on which commercial banks in the city of New York, New York are authorized or required by law or executive order to remain closed. As used herein, the term “Trading Day” means any day that shares of Common Stock are listed for trading or quotation on the Principal Market (as defined in the Purchase Agreement), provided, however, that if the Common Stock is not then listed or quoted on any Principal Market, then any calendar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also apply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1.1 </w:t>
      </w:r>
      <w:r>
        <w:rPr>
          <w:u w:val="single"/>
        </w:rPr>
        <w:t>Conversion Right.</w:t>
      </w:r>
      <w:r>
        <w:rPr/>
        <w:t xml:space="preserve"> The Holder shall have the right, on any calendar day, at any time on or following the date that is one hundred eighty (180) calendar days after the Issue Date, to convert all or any portion of the then outstanding and unpaid Principal Amount and interest (including any Default Interest)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determined as provided herein (a “Conversion”), by submitting to the Borrower a Notice of Conversion (as defined in this Note) by facsimile, e-mail or other reasonable means of communication dispatched on the Conversion Date (as defined in this Note) prior to 11:59 p.m., New York, New York time; </w:t>
      </w:r>
      <w:r>
        <w:rPr>
          <w:i/>
        </w:rPr>
        <w:t>provided, however</w:t>
      </w:r>
      <w:r>
        <w:rPr/>
        <w:t xml:space="preserve">, that notwithstanding anything to the contrary contained herein, the Holder shall not have the right to convert any portion of this Note, pursuant to Section 1 or otherwise, to the extent that after giving effect to such issuance after conversion as set forth on the applicable Notice of Conversion, the Holder (together with the Holder’s affiliates (the “Affiliates”), and any other Persons (as defined below)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nonconverted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Securities Exchange Act of 1934, as amended (the “1934 Act”) and the rules and regulations promulgated thereunder, it being acknowledged by the Holder that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Section 1.1,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“Beneficial Ownership Limitation” shall be 4.99% of the number of shares of the Common Stock outstanding at the time of the respective calculation hereunder, provided, however, that the Holder may from time to time increase or decrease the Beneficial Ownership Limitation to any other percentage not in excess of 9.99% by delivering written notice of such to the Company, with such increase or decrease not effective until the sixty-first (61st) day after delivery of such written notice. “Person” and “Persons” means an individual, a limited liability company, a partnership, a joint venture, a corporation, a trust, an unincorporated organization, any other entity and any governmental entity or any department or agency thereof. The limitations contained in this paragraph shall apply to a successor holder of this Note. The number of Conversion Shares to be issued upon each conversion of this Note shall be determined by dividing the Conversion Amount (as defined below) by the applicable Conversion Price then in effect on the date specified in the notice of conversion, in the form attached hereto as </w:t>
      </w:r>
      <w:r>
        <w:rPr>
          <w:u w:val="single"/>
        </w:rPr>
        <w:t>Exhibit A</w:t>
      </w:r>
      <w:r>
        <w:rPr/>
        <w:t xml:space="preserve"> (the “Notice of Conversion”), delivered to the Borrower by the Holder in accordance with the terms of this Note; provided that the Notice of Conversion is submitted by facsimile or e-mail (or by other means resulting in, or reasonably expected to result in, notice) to the Borrower before 11:59 p.m., New York, New York time on such conversion date (the “Conversion Date”). The term “Conversion Amount” means, with respect to any conversion of this Note, the sum of (1) the Principal Amount of this Note to be converted in such conversion </w:t>
      </w:r>
      <w:r>
        <w:rPr>
          <w:u w:val="single"/>
        </w:rPr>
        <w:t>plus</w:t>
      </w:r>
      <w:r>
        <w:rPr/>
        <w:t xml:space="preserve"> (2) at the Holder’s option, accrued and unpaid interest, if any, on such Principal Amount at the Interest Rate to the Conversion Date, </w:t>
      </w:r>
      <w:r>
        <w:rPr>
          <w:u w:val="single"/>
        </w:rPr>
        <w:t>plus</w:t>
      </w:r>
      <w:r>
        <w:rPr/>
        <w:t xml:space="preserve"> (3) at the Holder’s option, Default Interest, if any, on the amounts referred to in the immediately preceding clauses (1) and/or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1.2 </w:t>
      </w:r>
      <w:r>
        <w:rPr>
          <w:u w:val="single"/>
        </w:rPr>
        <w:t>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(a) </w:t>
      </w:r>
      <w:r>
        <w:rPr>
          <w:u w:val="single"/>
        </w:rPr>
        <w:t>Calculation of Conversion Price.</w:t>
      </w:r>
      <w:r>
        <w:rPr/>
        <w:t xml:space="preserve"> The per share conversion price into which Principal Amount and interest (including any Default Interest) under this Note shall be convertible into shares of Common Stock hereunder as further described in this Note (the “Conversion Price”) shall equal the Market Price (as defined in this Note), subject to adjustment as provided in this Note. “Market Price” shall mean 75% of the lowest traded price of the Common Stock on the Principal Market during the ten (10) Trading Day period immediately preceding the respective Conversion Date, provided, however, that at all times on and after the date that an Event of Default (as defined in this Note) occurs under this Note, Market Price shall instead mean 70% of the lowest traded price of the Common Stock on the Principal Market on any Trading Day during the fifteen (15) Trading Days prior to the respective Conversion Date.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“Additional Principal”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Holder shall be entitled to deduct $1,200.00 from the conversion amount of not less than $50,000 in each Notice of Conversion to cover Holder’s fees associated with each Notice of Conversion. All such Conversion Price determinations are to be appropriately adjusted for any stock dividend, stock split, stock combination, rights offerings, reclassification or similar transaction that proportionately decreases or increases the Common Stock. If the Company, at any time while this Note is outstanding: (i) pays a stock dividend or otherwise makes a distribution or distributions payable in shares of Common Stock on shares of Common Stock or any Common Stock Equivalents,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Price shall be multiplied by a fraction of which the numerator shall be the number of shares of Common Stock (excluding any treasury shares of the Company) outstanding immediately before such event, and of which the denominator shall be the number of shares of Common Stock outstanding immediately after such event. Any adjustment made pursuant to the immediately preceding sentence shall become effective immediately after the record date for the determination of shareholders entitled to receive such dividend or distribution and shall become effective immediately after the effective date in the case of a subdivision, combination or re-classification. “Common Stock Equivalents” means any securities of the Company or the Company’s Subsidiaries (as defined in the Purchase Agreement)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1080"/>
        <w:jc w:val="both"/>
        <w:rPr/>
      </w:pPr>
      <w:r>
        <w:rPr/>
        <w:t> </w:t>
      </w:r>
    </w:p>
    <w:p>
      <w:pPr>
        <w:pStyle w:val="TextBody"/>
        <w:bidi w:val="0"/>
        <w:spacing w:before="0" w:after="0"/>
        <w:ind w:left="0" w:right="0" w:firstLine="1080"/>
        <w:jc w:val="both"/>
        <w:rPr/>
      </w:pPr>
      <w:r>
        <w:rPr/>
        <w:t>(b) </w:t>
      </w:r>
      <w:r>
        <w:rPr>
          <w:u w:val="single"/>
        </w:rPr>
        <w:t>Voluntary Adjustment By Company</w:t>
      </w:r>
      <w:r>
        <w:rPr/>
        <w:t>. Subject to the rules and regulations of the Principal Market, the Company may at any time while this Note is outstanding, with the prior written consent of the Holder, reduce the then applicable Conversion Price to any amount and for any period of time deemed appropriate by the Board of Directors of the Company. For the avoidance of doubt, the Holder shall not be required to effectuate such conversion in the event of any reduction in Conversion Price by the Company.</w:t>
      </w:r>
    </w:p>
    <w:p>
      <w:pPr>
        <w:pStyle w:val="TextBody"/>
        <w:bidi w:val="0"/>
        <w:spacing w:before="0" w:after="0"/>
        <w:ind w:left="0" w:right="0" w:firstLine="1080"/>
        <w:jc w:val="both"/>
        <w:rPr/>
      </w:pPr>
      <w:r>
        <w:rPr/>
        <w:t> </w:t>
      </w:r>
    </w:p>
    <w:p>
      <w:pPr>
        <w:pStyle w:val="TextBody"/>
        <w:bidi w:val="0"/>
        <w:spacing w:before="0" w:after="0"/>
        <w:ind w:left="0" w:right="0" w:firstLine="720"/>
        <w:jc w:val="both"/>
        <w:rPr/>
      </w:pPr>
      <w:r>
        <w:rPr/>
        <w:t>1.3 </w:t>
      </w:r>
      <w:r>
        <w:rPr>
          <w:u w:val="single"/>
        </w:rPr>
        <w:t>Authorized and Reserved Shares.</w:t>
      </w:r>
      <w:r>
        <w:rPr/>
        <w:t xml:space="preserve"> The Borrower shall use commercially reasonable endeavors to ensure that at all times beginning on the Issue Date and continuing until the Note is extinguished in the entirety, the Borrower will reserve from its authorized and unissued Common Stock a sufficient number of shares, free from preemptive rights, to provide for the issuance of a number of Conversion Shares equal to the greater of: (a) 1,000,000 shares of Common Stock or (b) the sum of (i) the number of Conversion Shares issuable upon the full conversion of this Note at a conversion price equal to the Conversion Price (assuming no payment of Principal Amount or interest) </w:t>
      </w:r>
      <w:r>
        <w:rPr>
          <w:u w:val="single"/>
        </w:rPr>
        <w:t>multiplied by</w:t>
      </w:r>
      <w:r>
        <w:rPr/>
        <w:t xml:space="preserve"> (ii) three (3) (the “Reserved Amount”). For the avoidance of doubt, the Reserved Amount shall be required to be reserved by the Borrower pursuant to this Section even if the Note is not yet convertible into Common Stock by the Holder under Section 1.1 of this Note. The Borrower represents that upon issuance, the Conversion Shares will be duly and validly issued, fully paid, as applicable, and non-assessable. The Borrower (i) acknowledges that it has irrevocably instructed its transfer agent to issue certificates for the Conversion Shares or instructions to have the Conversion Shares issued as contemplated by Section 1.4(e) hereof, and (ii) agrees that its issuance of this Note shall constitute full authority to its officers and agents who are charged with the duty of executing stock certificates or cause the Company to electronically issue shares of Common Stock to execute and issue the necessary certificates for the Conversion Shares or cause the Conversion Shares to be issued as contemplated by Section 1.4(e) hereof in accordance with the terms and conditions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1.4 </w:t>
      </w:r>
      <w:r>
        <w:rPr>
          <w:u w:val="single"/>
        </w:rPr>
        <w:t>Method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(a) </w:t>
      </w:r>
      <w:r>
        <w:rPr>
          <w:u w:val="single"/>
        </w:rPr>
        <w:t>Surrender of Note Upon Conversion.</w:t>
      </w:r>
      <w:r>
        <w:rPr/>
        <w:t xml:space="preserve"> Notwithstanding anything to the contrary set forth herein, upon conversion of this Note in accordance with the terms hereof, the Holder shall not be required to physically surrender this Note to the Borrower unless the entire unpaid Principal Amount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i/>
        </w:rPr>
        <w:t xml:space="preserve">prima facie, </w:t>
      </w:r>
      <w:r>
        <w:rPr/>
        <w:t>be controlling and determinative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(b) </w:t>
      </w:r>
      <w:r>
        <w:rPr>
          <w:u w:val="single"/>
        </w:rPr>
        <w:t>Payment of Taxes</w:t>
      </w:r>
      <w:r>
        <w:rPr/>
        <w:t>. The Borrower shall not be required to pay any tax which may be payable in respect of any transfer involved in the issue and delivery of shares of Common Stock or other securities or property on conversion of this Note in a name other than that of the Holder (or in street name), and the Borrower shall not be required to issue or deliver any such shares or other securities or property unless and until the person or persons (other than the Holder or the custodian in whose street name such shares are to be held for the Holder’s account) requesting the issuance thereof shall have paid to the Borrower the amount of any such tax or shall have established to the satisfaction of the Borrower that such tax has been paid.</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1080"/>
        <w:jc w:val="both"/>
        <w:rPr/>
      </w:pPr>
      <w:r>
        <w:rPr/>
        <w:t>(c) </w:t>
      </w:r>
      <w:r>
        <w:rPr>
          <w:u w:val="single"/>
        </w:rPr>
        <w:t>Delivery of Common Stock Upon Conversion</w:t>
      </w:r>
      <w:r>
        <w:rPr/>
        <w:t>. Upon receipt by the Borrower from the Holder of an e-mail (or other reasonable means of communication) of a Notice of Conversion meeting the requirements for conversion as provided in this Section 1.4, the Borrower shall issue and deliver or cause to be issued and delivered to or upon the order of the Holder certificates for the Conversion Shares (or cause the electronic delivery of the Conversion Shares as contemplated by Section 1.4(e) hereof) within one (1) Trading Day after such receipt (the “Deadline”) (and, solely in the case of conversion of the entire unpaid Principal Amount and interest (including any Default Interest) under this Note, surrender of this Note). If the Company shall fail for any reason or for no reason to issue to the Holder on or prior to the Deadline a certificate for the number of Conversion Shares or to which the Holder is entitled hereunder and register such Conversion Shares on the Company’s share register or to credit the Holder’s balance account with DTC (as defined below) for such number of Conversion Shares to which the Holder is entitled upon the Holder’s conversion of this Note (a “Conversion Failure”), then, in addition to all other remedies available to the Holder, (i) the Company shall pay in cash to the Holder on each day after the Deadline and during such Conversion Failure an amount equal to 2.0% of the product of (A) the sum of the number of Conversion Shares not issued to the Holder on or prior to the Deadline and to which the Holder is entitled and (B) the closing sale price of the Common Stock on the Trading Day immediately preceding the last possible date which the Company could have issued such Conversion Shares to the Holder without violating this Section 1.4(c); and (ii) the Holder, upon written notice to the Company, may void all or any portion of such Notice of Conversion; provided that the voiding of all or any portion of a Notice of Conversion shall not affect the Company’s obligations to make any payments which have accrued prior to the date of such notice. In addition to the foregoing, if on or prior to the Deadline the Company shall fail to issue and deliver a certificate to the Holder and register such Conversion Shares on the Company’s share register or credit the Holder’s balance account with DTC for the number of Conversion Shares to which the Holder is entitled upon the Holder’s exercise hereunder or pursuant to the Company’s obligation pursuant to clause (ii) below, and if on or after such Trading Day the Holder purchases (in an open market transaction or otherwise) shares of Common Stock to deliver in satisfaction of a sale by the Holder of shares of Common Stock issuable upon such exercise that the Holder anticipated receiving from the Company, then the Company shall, within two (2) Trading Days after the Holder’s request and in the Holder’s discretion, either (i) pay cash to the Holder in an amount equal to the Holder’s total purchase price (including brokerage commissions and other reasonable and customary out-of-pocket expenses, if any) for the shares of Common Stock so purchased (the “Buy-In Price”), at which point the Company’s obligation to deliver such certificate (and to issue such Conversion Shares) or credit such Holder’s balance account with DTC for such Conversion Shares shall terminate, or (ii) promptly honor its obligation to deliver to the Holder a certificate or certificates representing such Conversion Shares or credit such Holder’s balance account with DTC and pay cash to the Holder in an amount equal to the excess (if any) of the Buy-In Price over the product of (A) such number of shares of Common Stock, times (B) the closing sales price of the Common Stock on the date of exercise.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Conversion Shares (or to electronically deliver such Conversion Shares) upon the conversion of this Note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(d) </w:t>
      </w:r>
      <w:r>
        <w:rPr>
          <w:u w:val="single"/>
        </w:rPr>
        <w:t>Obligation of Borrower to Deliver Common Stock.</w:t>
      </w:r>
      <w:r>
        <w:rPr/>
        <w:t xml:space="preserve"> At the time that the Holder submits the Notice of Conversion to the Borrower, the Holder shall be deemed to be the holder of record of the Conversion Shares issuable upon such conversion, the outstanding Principal Amount and the amount of accrued and unpaid interest (including any Default Interest) under this Note shall be reduced to reflect such conversion, and, unless the Borrower defaults on its obligations under this Article I,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the Conversion Shares (or cause the electronic delivery of the Conversion Shares as contemplated by Section 1.4(e) hereof)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sent to the Borrower before 11:59 p.m., New York, New York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(e) </w:t>
      </w:r>
      <w:r>
        <w:rPr>
          <w:u w:val="single"/>
        </w:rPr>
        <w:t>Delivery of Conversion Shares by Electronic Transfer</w:t>
      </w:r>
      <w:r>
        <w:rPr/>
        <w:t>. In lieu of delivering physical certificates representing the Conversion Shares issuable upon conversion hereof, provided the Borrower is participating in the Depository Trust Company (“DTC”) Fast Automated Securities Transfer or Deposit/Withdrawal at Custodian programs, upon request of the Holder and its compliance with the provisions contained in Section 1.1 and in this Section 1.4, the Borrower shall use its best efforts to cause its transfer agent to electronically transmit the Conversion Shares issuable upon conversion hereof to the Holder by crediting the account of Holder’s Prime Broker with DTC through its Deposit Withdrawal Agent Commission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1.5 </w:t>
      </w:r>
      <w:r>
        <w:rPr>
          <w:u w:val="single"/>
        </w:rPr>
        <w:t>Concerning the Shares</w:t>
      </w:r>
      <w:r>
        <w:rPr/>
        <w:t>. The Conversion Shares issuable upon conversion of this Note may not be sold or transferred unless (i) such shares are sold pursuant to an effective registration statement under the 1933 Act or (ii) the Borrower or its transfer agent shall have been furnished with an opinion of counsel (which opinion shall be the Legal Counsel Opinion (as defined in the Purchase Agreement)) to the effect that the shares to be sold or transferred may be sold or transferred pursuant to an exemption from such registration or (iii) such shares are sold or transferred pursuant to Rule 144, Rule 144A, Regulation S, or other applicable exemption, or (iv) such shares are transferred to an “affiliate” (as defined in Rule 144) of the Borrower who agrees to sell or otherwise transfer the shares only in accordance with this Section 1.5 and who is an Accredited Investor (as defined in the Purchase Agreement). Except as otherwise provided in the Purchase Agreement (and subject to the removal provisions set forth below), until such time as the Conversion Shares have been registered under the 1933 Act or otherwise may be sold pursuant to Rule 144, Rule 144A, Regulation S, or other applicable exemption without any restriction as to the number of securities as of a particular date that can then be immediately sold, each certificate for the Conversion Shares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to the Holder a certificate for the applicable Conversion Shares without such legend upon which it is stamped or (as requested by the Holder) issue the applicable Conversion Shares by electronic delivery by crediting the account of such holder’s broker with DTC, if, unless otherwise required by applicable state securities laws: (a) such Conversion Shares are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Holder provides the Legal Counsel Opinion (as contemplated by and in accordance with Section 4(l) of the Purchase Agreement) to the effect that a public sale or transfer of such Conversion Shares may be made without registration under the 1933 Act, which opinion shall be accepted by the Company so that the sale or transfer is effected. The Company shall be responsible for the fees of its transfer agent and all DTC fees associated with any such issuance. The Holder agrees to sell all Conversion Shares, including those represented by a certificate(s) from which the legend has been removed, in compliance with applicable prospectus delivery requirements, if any. In the event that the Company does not accept the opinion of counsel provided by the Holder with respect to the transfer of Conversion Shares pursuant to an exemption from registration, such as Rule 144, Rule 144A, Regulation S, or other applicable exemption, at the Deadline, notwithstanding that the conditions of Rule 144, Rule 144A, Regulation S, or other applicable exemption, as applicable, have been met, it will be considered an Event of Default under this Note.</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29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At the option of the Holder, the sale, conveyance or disposition of all or substantially all of the assets of the Borrower, or the consolidation, merger or other business combination of the Borrower with or into any other Person (as defined below) or Persons when the Borrower is not the survivor shall be treated pursuant to Section 1.6(b) hereof. “Person” shall mean any individual, corporation, limited liability company, partnership, association, trust or other entity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this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(each a “Fundamental Transaction”),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effectuate any transaction described in this Section 1.6(b) unless (a) it first gives, to the extent practicable, at least twenty (20) days prior written notice (but in any event at least ten (10)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(b) the resulting successor or acquiring entity (if not the Borrower) assumes by written instrument the obligations of this Section 1.6(b), and (c) the resulting successor or acquiring entity (if not the Borrower) is a publicly traded corporation whose common stock is listed for trading or quotation on any tier of the NASDAQ Stock Market, the New York Stock Exchange or the NYSE American. The above provisions shall similarly apply to successive consolidations, mergers, sales, transfers or share exchanges.</w:t>
      </w:r>
    </w:p>
    <w:p>
      <w:pPr>
        <w:pStyle w:val="TextBody"/>
        <w:bidi w:val="0"/>
        <w:spacing w:before="0" w:after="0"/>
        <w:ind w:left="246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xml:space="preserve"> If the Borrower shall declare or make any distribution of its assets (or rights to acquire its assets) to holders of Common Stock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shareholders entitled to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If, at any time when all or any portion of this Note is issued and outstanding, the Borrower issues any convertible securities or rights to purchase stock, warrants, securities or other property (the “Purchase Rights”)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Section 1.6 of this Note, the Borrower shall, at its expense and within one (1) calendar day after the occurrence of each respective adjustment or readjustment of the Conversion Price, compute such adjustment or readjustment and prepare and furnish to the Holder a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In addition, the Borrower shall, within one (1) calendar day after each written request from the Holder, furnish to such Holder a like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For the avoidance of doubt, each adjustment or readjustment of the Conversion Price as a result of the events described in Section 1.6 of this Note shall occur without any action by the Holder and regardless of whether the Borrower complied with the notification provisions in Section 1.6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the Holder, (i) the Conversion Shares covered thereby shall be deemed converted into shares of Common Stock and (ii) the Holder’s rights as the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the Holder has not received certificates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the Note has not been surrendered, adjust its records to reflect that such portion of this Note has not been converted. In all cases, the Holder shall retain all of its rights and remedies for the Borrower’s failure to convert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At any time prior to the date that an Event of Default occurs under this Note, the Borrower shall have the right, exercisable on three (3) Trading Days prior written notice to the Holder of the Note, to prepay the outstanding Principal Amount and interest then due under this Note in accordance with this Section 1.8. Any notice of prepayment hereunder (an “Optional Prepayment Notice”) shall be delivered to the Holder of the Note at its registered addresses and shall state: (1) that the Borrower is exercising its right to prepay the Note, and (2) the date of prepayment which shall be three (3) Trading Days from the date of the Optional Prepayment Notice (the “Optional Prepayment Date”). The Holder shall have the right, during the period beginning on the date of Holder’s receipt of the Optional Prepayment Notice and until the Holder’s actual receipt of the full prepayment amount on the Optional Prepayment Date, to instead convert all or any portion of the Note pursuant to the terms of this Note, including the amount of this Note to be prepaid by the Borrower in accordance with this Section 1.8, even if the Note is not yet convertible into Common Stock by the Holder under Section 1.1 of this Note. On the Optional Prepayment Date, the Borrower shall make payment of the amounts designated below to or upon the order of the Holder as specified by the Holder in writing to the Borrower. If the Borrower exercises its right to prepay the Note in accordance with this Section 1.8, the Borrower shall make payment to the Holder of an amount in cash equal to the sum of: (w) the prepayment percentage set forth in the table immediately following this paragraph for the applicable prepayment period set forth in the table immediately following this paragraph (“Prepayment Percentage”) multiplied by the Principal Amount then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the Prepayment Percentage multiplied by the accrued and unpaid interest on the Principal Amount to the Optional Prepayment Date.</w:t>
      </w:r>
    </w:p>
    <w:p>
      <w:pPr>
        <w:pStyle w:val="TextBody"/>
        <w:bidi w:val="0"/>
        <w:spacing w:before="0" w:after="0"/>
        <w:ind w:left="1739" w:right="0" w:hanging="0"/>
        <w:jc w:val="both"/>
        <w:rPr>
          <w:caps w:val="false"/>
          <w:smallCaps w:val="false"/>
        </w:rPr>
      </w:pPr>
      <w:r>
        <w:rPr>
          <w:caps w:val="false"/>
          <w:smallCaps w:val="false"/>
        </w:rPr>
        <w:t> </w:t>
      </w:r>
    </w:p>
    <w:tbl>
      <w:tblPr>
        <w:tblW w:w="10205" w:type="dxa"/>
        <w:jc w:val="left"/>
        <w:tblInd w:w="-10" w:type="dxa"/>
        <w:tblLayout w:type="fixed"/>
        <w:tblCellMar>
          <w:top w:w="60" w:type="dxa"/>
          <w:left w:w="60" w:type="dxa"/>
          <w:bottom w:w="0" w:type="dxa"/>
          <w:right w:w="60" w:type="dxa"/>
        </w:tblCellMar>
      </w:tblPr>
      <w:tblGrid>
        <w:gridCol w:w="192"/>
        <w:gridCol w:w="8269"/>
        <w:gridCol w:w="1744"/>
      </w:tblGrid>
      <w:tr>
        <w:trPr/>
        <w:tc>
          <w:tcPr>
            <w:tcW w:w="192"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firstLine="60"/>
              <w:jc w:val="left"/>
              <w:rPr/>
            </w:pPr>
            <w:r>
              <w:rPr/>
              <w:t> </w:t>
            </w:r>
          </w:p>
        </w:tc>
        <w:tc>
          <w:tcPr>
            <w:tcW w:w="8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b/>
              </w:rPr>
            </w:pPr>
            <w:r>
              <w:rPr>
                <w:b/>
              </w:rPr>
              <w:t>Prepayment Period</w:t>
            </w:r>
          </w:p>
        </w:tc>
        <w:tc>
          <w:tcPr>
            <w:tcW w:w="1744"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firstLine="60"/>
              <w:jc w:val="center"/>
              <w:rPr>
                <w:b/>
                <w:sz w:val="20"/>
              </w:rPr>
            </w:pPr>
            <w:r>
              <w:rPr>
                <w:b/>
                <w:sz w:val="20"/>
              </w:rPr>
              <w:t>Prepayment Percentage</w:t>
            </w:r>
          </w:p>
        </w:tc>
      </w:tr>
      <w:tr>
        <w:trPr/>
        <w:tc>
          <w:tcPr>
            <w:tcW w:w="192"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b/>
              </w:rPr>
            </w:pPr>
            <w:r>
              <w:rPr>
                <w:b/>
              </w:rPr>
              <w:t>1.</w:t>
            </w:r>
          </w:p>
        </w:tc>
        <w:tc>
          <w:tcPr>
            <w:tcW w:w="826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ind w:left="0" w:right="0" w:firstLine="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Issue Date and continuing through the date that is 90 calendar days after the Issue Date</w:t>
            </w:r>
          </w:p>
        </w:tc>
        <w:tc>
          <w:tcPr>
            <w:tcW w:w="1744"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ind w:left="0" w:right="0" w:firstLine="60"/>
              <w:jc w:val="center"/>
              <w:rPr>
                <w:b w:val="false"/>
                <w:i w:val="false"/>
                <w:caps w:val="false"/>
                <w:smallCaps w:val="false"/>
                <w:sz w:val="20"/>
              </w:rPr>
            </w:pPr>
            <w:r>
              <w:rPr>
                <w:b w:val="false"/>
                <w:i w:val="false"/>
                <w:caps w:val="false"/>
                <w:smallCaps w:val="false"/>
                <w:sz w:val="20"/>
              </w:rPr>
              <w:t>120%</w:t>
            </w:r>
          </w:p>
        </w:tc>
      </w:tr>
      <w:tr>
        <w:trPr/>
        <w:tc>
          <w:tcPr>
            <w:tcW w:w="192"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b/>
                <w:sz w:val="20"/>
              </w:rPr>
            </w:pPr>
            <w:r>
              <w:rPr>
                <w:b/>
                <w:sz w:val="20"/>
              </w:rPr>
              <w:t>2.</w:t>
            </w:r>
          </w:p>
        </w:tc>
        <w:tc>
          <w:tcPr>
            <w:tcW w:w="826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ind w:left="0" w:right="0" w:firstLine="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date that is 91 calendar days after the Issue Date and continuing until the date that an Event of Default occurs under this Note</w:t>
            </w:r>
          </w:p>
        </w:tc>
        <w:tc>
          <w:tcPr>
            <w:tcW w:w="1744"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bl>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RANKING AND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This Note shall be an unsecured obligation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Distributions on Capital Stock.</w:t>
      </w:r>
      <w:r>
        <w:rPr>
          <w:rFonts w:ascii="Times New Roman;Times;Serif" w:hAnsi="Times New Roman;Times;Serif"/>
          <w:b w:val="false"/>
          <w:i w:val="false"/>
          <w:caps w:val="false"/>
          <w:smallCaps w:val="false"/>
          <w:sz w:val="20"/>
        </w:rPr>
        <w:t xml:space="preserve"> So long as the Borrower shall have any obligation under this Note, the Borrower shall not without the Holder’s written consent (a) pay, declare or set apart for such payment, any dividend or other distribution (whether in cash, property or other securities) on shares of capital stock other than dividends on shares of Common Stock solely in the form of additional shares of Common Stock or (b) directly or indirectly or through any subsidiary make any other payment or distribution in respect of its capital stock except for distributions pursuant to any shareholders’ rights plan which is approved by a majority of the Borrower’s disinterested directors.</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Holder’s prior written consent, which consent shall not be unreasonably withheld or delayed, sell, divest, acquire, or dispose of all or substantially all of its assets other than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considered an event of default if any of the following events listed in this Article III (each, an “Event of Default”) shall occur on or after the Issue Date, subject, in each case (except Section 3.2 under this Note), to a five (5) business day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xml:space="preserve"> The Borrower fails to pay the Principal Amount hereof or interest thereon when due on this Note, whether at maturity, upon acceleration or otherwise, or fails to fully comply with Section 1.10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xml:space="preserve"> The Borrower (i) fails to issue Conversion Shares to the Holder (or announces or threatens in writing that it will not honor its obligation to do so) upon exercise by the Holder of the conversion rights of the Holder in accordance with the terms of this Note, (ii) fails to transfer or cause its transfer agent to transfer (issue) (electronically or in certificated form) any certificate for the Conversion Shares issuable to the Holder upon conversion of or otherwise pursuant to this Note as and when required by this Note, (iii) fails to reserve the Reserved Amount at all times, (iv) the Borrower directs its transfer agent not to transfer or delays, impairs, and/or hinders its transfer agent in transferring (or issuing) (electronically or in certificated form) any certificate for the Conversion Shares issuable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Conversion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Trading Days after the Holder shall have delivered a Notice of Conversion, and/or (v) fails to remain current in its obligations to its transfer agent (including but not limited to payment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added to the principal balance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Breach of Agreements and Covenants.</w:t>
      </w:r>
      <w:r>
        <w:rPr>
          <w:rFonts w:ascii="Times New Roman;Times;Serif" w:hAnsi="Times New Roman;Times;Serif"/>
          <w:b w:val="false"/>
          <w:i w:val="false"/>
          <w:caps w:val="false"/>
          <w:smallCaps w:val="false"/>
          <w:sz w:val="20"/>
        </w:rPr>
        <w:t xml:space="preserve"> The Borrower breaches any covenant, agreement, or other term or condition contained in the Purchase Agreement, this Note, Irrevocable Transfer Agent Instructions, or in any agreement, statement or certificate given in writing pursuant hereto or in connection herewith or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xml:space="preserve"> Any representation or warranty of the Borrower made in the Purchase Agreement, this Note, Irrevocable Transfer Agent Instructions, or in any agreement, statement or certificate given in writing pursuant hereto or in connection herewith or therewith shall be false or misleading in any material respect when made.</w:t>
      </w:r>
    </w:p>
    <w:p>
      <w:pPr>
        <w:pStyle w:val="TextBody"/>
        <w:bidi w:val="0"/>
        <w:spacing w:before="0" w:after="0"/>
        <w:ind w:left="0" w:right="0" w:firstLine="206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xml:space="preserv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xml:space="preserve"> Any money judgment, writ or similar process shall be entered or filed against the Borrower or any subsidiary of the Borrower or any of its property or other assets for more than $100,000, and shall remain unvacated, unbonded or unstayed for a period of twenty (20) days unless otherwise consented to by the Holder, which consent will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Failure to Comply with the 1934 Act.</w:t>
      </w:r>
      <w:r>
        <w:rPr>
          <w:rFonts w:ascii="Times New Roman;Times;Serif" w:hAnsi="Times New Roman;Times;Serif"/>
          <w:b w:val="false"/>
          <w:i w:val="false"/>
          <w:caps w:val="false"/>
          <w:smallCaps w:val="false"/>
          <w:sz w:val="20"/>
        </w:rPr>
        <w:t xml:space="preserve"> At any time after the Issue Date, the Borrower shall fail to comply with the reporting requirements of the 1934 Act and/or the Borrower shall cease to be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xml:space="preserve"> Any dissolution, liquidation, or winding up of Borrower or any substantial portion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xml:space="preserve">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xml:space="preserve"> The failure by Borrower to maintain any material intellectual property rights, personal, real property or other assets which are necessary to conduct its business (whether now or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xml:space="preserve">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actual transmittal, conveyance, or disclosure by the Borrower or its officers, directors, and/or affiliates of, material non-public information concerning the Borrower, to the Holder or its successors and assigns, which is not cured by Borrower’s filing of a Form 6-K pursuant to Regulation FD.</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Unavailability of Rule 144</w:t>
      </w:r>
      <w:r>
        <w:rPr>
          <w:rFonts w:ascii="Times New Roman;Times;Serif" w:hAnsi="Times New Roman;Times;Serif"/>
          <w:b w:val="false"/>
          <w:i w:val="false"/>
          <w:caps w:val="false"/>
          <w:smallCaps w:val="false"/>
          <w:sz w:val="20"/>
        </w:rPr>
        <w:t>. If, at any time on or after the date that is six (6) calendar months after the Issue Date, the Holder is unable to (i) obtain a standard “144 legal opinion letter” from an attorney reasonably acceptable to the Borrower’s transfer agent in order to facilitate the Holder’s conversion of any portion of the Note into free trading shares of the Borrower’s Common Stock pursuant to Rule 144, and/or (ii) thereupon deposit such shares into the Holder’s brokerage account.</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Delisting, Suspension, or Quotation of Trading of Common Stock</w:t>
      </w:r>
      <w:r>
        <w:rPr>
          <w:rFonts w:ascii="Times New Roman;Times;Serif" w:hAnsi="Times New Roman;Times;Serif"/>
          <w:b w:val="false"/>
          <w:i w:val="false"/>
          <w:caps w:val="false"/>
          <w:smallCaps w:val="false"/>
          <w:sz w:val="20"/>
        </w:rPr>
        <w:t>. If, at any time on or after the Issue Date, the Borrower’s Common Stock (i) is suspended from trading, (ii) halted from trading, and/or (iii) fails to be listed or quoted on a Principal Market.</w:t>
      </w:r>
    </w:p>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Rights and Remedies Upon an Event of Default</w:t>
      </w:r>
      <w:r>
        <w:rPr>
          <w:rFonts w:ascii="Times New Roman;Times;Serif" w:hAnsi="Times New Roman;Times;Serif"/>
          <w:b w:val="false"/>
          <w:i w:val="false"/>
          <w:caps w:val="false"/>
          <w:smallCaps w:val="false"/>
          <w:sz w:val="20"/>
        </w:rPr>
        <w:t>. Upon the occurrence of any Event of Default specified in this Article III, this Note shall become immediately due and payable, and the Borrower shall pay to the Holder, in full satisfaction of its obligations hereunder, an amount equal to the Principal Amount then outstanding plus accrued interest (including any Default Interest) through the date of full repayment multiplied by 150% (collectively the “Default Amount”), as well as all costs, including, without limitation, legal fees and expenses, of collection, all without demand, presentment or notice, all of which hereby are expressly waived by the Borrower. Holder may, in Holder’s sole discretion, convert all or any portion of this Note (including the Default Amount) into Common Stock pursuant to the terms of this Note (for the avoidance of doubt, this shall apply even if such conversion occurs after the Maturity Date). The Holder shall be entitled to exercise all other rights and remedies available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Holder existing hereunder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1307"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587"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Note and any provision hereof may only be amended by an instrument in writing signed by the Borrower and the Holder. The term “Note” and all reference thereto, as used throughout this instrument, shall mean this instrument as originally executed, or if later amended or supplemented, then as so amended or supplemented.</w:t>
      </w:r>
    </w:p>
    <w:p>
      <w:pPr>
        <w:pStyle w:val="TextBody"/>
        <w:bidi w:val="0"/>
        <w:spacing w:before="0" w:after="0"/>
        <w:ind w:left="360" w:right="0" w:firstLine="135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The Borrower shall not assign this Note or any rights or obligations hereunder without the prior written consent of the Holder. The Holder may assign its rights hereunder to any “accredited investor” (as defined in Rule 501(a) of the 1933 Act) in a private transaction from the Holder or to any of its “affiliates”, as that term is defined under the 1934 Act, without the consent of the Borrower.</w:t>
      </w:r>
    </w:p>
    <w:p>
      <w:pPr>
        <w:pStyle w:val="TextBody"/>
        <w:bidi w:val="0"/>
        <w:spacing w:before="0" w:after="0"/>
        <w:ind w:left="360" w:right="0" w:firstLine="135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xml:space="preserve">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Arbitration of Claims; Governing Law; Venue; Attorney’s Fees.</w:t>
      </w:r>
      <w:r>
        <w:rPr>
          <w:rFonts w:ascii="Times New Roman;Times;Serif" w:hAnsi="Times New Roman;Times;Serif"/>
          <w:b w:val="false"/>
          <w:i w:val="false"/>
          <w:caps w:val="false"/>
          <w:smallCaps w:val="false"/>
          <w:sz w:val="20"/>
        </w:rPr>
        <w:t xml:space="preserve"> The Company and Holder shall submit all Claims (as defined in Exhibit B of the Purchase Agreement) (the “Claims”) arising under this Note or any other agreement between the parties and their affiliates or any Claim relating to the relationship of the parties to binding arbitration pursuant to the arbitration provisions set forth in Exhibit B of the Purchase Agreement (the “Arbitration Provisions”). The Company and Holder hereby acknowledge and agree that the Arbitration Provisions are unconditionally binding on the Company and Holder hereto and are severable from all other provisions of this Note. By executing this Note,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The Company acknowledges and agrees that Holder may rely upon the foregoing representations and covenants of the Company regarding the Arbitration Provisions.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Holder consent to and expressly agree that the exclusive venue for arbitration of any Claims arising under this Note or any other agreement between the Company and Holder or their respective affiliates (including but not limited to the Transaction Documents) or any Claim relating to the relationship of the Company and Holder or their respective affiliates shall be in Orange County, California. Without modifying the Company’s and Holder’s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(as defined in the Purchase Agreement) or otherwise related to Holder in any way (specifically including, without limitation, any action where Company seeks to obtain an injunction, temporary restraining order, or otherwise prohibit the Company’s transfer agent from issuing shares of Common Stock to Holder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Holder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Holder to realize on any collateral or any other security, or to enforce a judgment or other court ruling in favor of the Holder,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NOTE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Note or any other agreement, certificate, instrument or document contemplated hereby or thereby by mailing a copy thereof via registered or certified mail or overnight delivery (with evidence of delivery) to Company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Note or any other agreement, certificate, instrument or document contemplated hereby or thereby shall be entitled to recover from the other party its reasonable attorney’s fees and costs. If any provision of this Note shall be invalid or unenforceable in any jurisdiction, such invalidity or unenforceability shall not affect the validity or enforceability of the remainder of this Note in that jurisdiction or the validity or enforceability of any provision of this Note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xml:space="preserve"> Whenever pursuant to this Note the Borrower is required to pay an amount in excess of the outstanding Principal Amount (or the portion thereof required to be paid at that time) plus accrued and unpaid interest plus Default Interest on such interest, the Borrower and the Holder agree that the actual damages to the Holder from the receipt of cash payment on this Note may be difficult to determine and the amount to be so paid by the Borrower represents stipulated damages and not a penalty and is intended to compensate the Holder in part for loss of the opportunity to convert this Note and to earn a return from the sale of shares of Common Stock acquired upon conversion of this Note at a price in excess of the price paid for such shares pursuant to this Note. The Borrower and the Holder hereby agree that such amount of stipulated damages is not plainly disproportionate to the possible loss to the Holder from the receipt of a cash payment without the opportunity to convert this Note into shares of Common Stock.</w:t>
      </w:r>
    </w:p>
    <w:p>
      <w:pPr>
        <w:pStyle w:val="TextBody"/>
        <w:bidi w:val="0"/>
        <w:spacing w:before="0" w:after="0"/>
        <w:ind w:left="36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xml:space="preserve"> The Company and the Holder shall be bound by the applicable terms of the Purchase Agreement, and the Transaction Documents entered into in connection herewith and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all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Holder in order to enforce any right or remedy under this Note. Notwithstanding any provision to the contrary contained in this Note, it is expressly agreed and provided that the total liability of the Company under this Note for payments which under the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the applicable law in the nature of interest that the Company may be obligated to pay under this Note exceed such Maximum Rate. It is agreed that if the maximum contract rate of interest allowed by applicable law and applicable to this Note is increased or decreased by statute or any official governmental action subsequent to the Issue Date, the new maximum contract rate of interest allowed by law will be the Maximum Rate applicable to this Note from the effective date thereof forward, unless such application is precluded by applicable law. If under any circumstances whatsoever, interest in excess of the Maximum Rate is paid by the Company to the Holder with respect to indebtedness evidenced by this the Note, such excess shall be applied by the Holder to the unpaid principal balance of any such indebtedness or be refunded to the Company, the manner of handling such excess to be at the Holder’s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Note is invalid or unenforceable under any applicable statute or rule of law (including any judicial ruling),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Terms of Future Financings.</w:t>
      </w:r>
      <w:r>
        <w:rPr>
          <w:rFonts w:ascii="Times New Roman;Times;Serif" w:hAnsi="Times New Roman;Times;Serif"/>
          <w:b w:val="false"/>
          <w:i w:val="false"/>
          <w:caps w:val="false"/>
          <w:smallCaps w:val="false"/>
          <w:sz w:val="20"/>
        </w:rPr>
        <w:t xml:space="preserve"> So long as this Note is outstanding, upon any issuance by the Borrower or any of its Subsidiaries of any Common Stock Equivalents, or amendment to any Common Stock Equivalents that was originally issued before the Issue Date, with any term that the Holder reasonably believes is more favorable to the holder of such security or with a term in favor of the holder of such security that the Holder reasonably believes was not similarly provided to the Holder in this Note (even if the holder of such other security does not receive the benefit of such more favorable term until a default occurs under such other security), then (i) the Borrower shall notify the Holder of such additional or more favorable term within one (1) business day of the issuance and/or amendment (as applicable) of the respective security, and (ii) such term, at Holder’s option, shall become a part of the transaction documents with the Holder (regardless of whether the Borrower complied with the notification provision of this Section 4.13). The types of terms contained in another security that may be more favorable to the holder of such security include, but are not limited to, terms addressing prepayment rate, interest rates, conversion rate, and original issue discount. Notwithstanding the foregoing, this Section 4.13 of this Note shall not apply to (i) the Borrower’s offering of equity securities pursuant to a registration statement of the Borrower; (ii) in connection with the Borrower’s acquisition of all or part of another entity by stock acquisition, merger, consolidation or other reorganization, or by the purchase of all or part of the assets of such other entity approved by the Board of Directors of the Borrower and provided that such transactions are not for the purpose of raising capital); (iii) pursuant to the issuance, vesting and/or exercise of options, warrants, restricted stock, restricted stock units or other common stock purchase rights issued (or to be issued) to employees, officers, directors, or employees of the Borrower for compensatory purposes pursuant to any stock purchase plan, stock option plan, equity incentive plan or other plan or arrangement approved by the Board of Directors of the Borrower at any time; and (iv) pursuant to the exercise or conversion of Common Stock Equivalents outstanding prior to the Issue Date so long as (a) such Common Stock Equivalents were disclosed in the SEC Documents prior to the Issue Date and (b) the terms or provisions of such Common Stock Equivalents were not altered, amended, or changed on or after the Issue Date.</w:t>
      </w:r>
    </w:p>
    <w:p>
      <w:pPr>
        <w:pStyle w:val="TextBody"/>
        <w:bidi w:val="0"/>
        <w:spacing w:before="0" w:after="0"/>
        <w:ind w:left="30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300" w:right="0" w:firstLine="71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Borrower has caused this Note to be signed in its name by its duly authorized officer on June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380"/>
        <w:gridCol w:w="2840"/>
        <w:gridCol w:w="75"/>
      </w:tblGrid>
      <w:tr>
        <w:trPr/>
        <w:tc>
          <w:tcPr>
            <w:tcW w:w="380" w:type="dxa"/>
            <w:tcBorders/>
            <w:vAlign w:val="center"/>
          </w:tcPr>
          <w:p>
            <w:pPr>
              <w:pStyle w:val="TableContents"/>
              <w:bidi w:val="0"/>
              <w:spacing w:before="0" w:after="283"/>
              <w:jc w:val="left"/>
              <w:rPr/>
            </w:pPr>
            <w:r>
              <w:rPr/>
              <w:t>By:</w:t>
            </w:r>
          </w:p>
        </w:tc>
        <w:tc>
          <w:tcPr>
            <w:tcW w:w="2840" w:type="dxa"/>
            <w:tcBorders>
              <w:bottom w:val="single" w:sz="12" w:space="0" w:color="000000"/>
            </w:tcBorders>
            <w:tcMar>
              <w:bottom w:w="28" w:type="dxa"/>
            </w:tcMar>
            <w:vAlign w:val="center"/>
          </w:tcPr>
          <w:p>
            <w:pPr>
              <w:pStyle w:val="TableContents"/>
              <w:bidi w:val="0"/>
              <w:spacing w:before="0" w:after="283"/>
              <w:jc w:val="left"/>
              <w:rPr>
                <w:caps w:val="false"/>
                <w:smallCaps w:val="false"/>
                <w:strike w:val="false"/>
                <w:dstrike w:val="false"/>
                <w:sz w:val="20"/>
                <w:u w:val="single"/>
                <w:effect w:val="none"/>
              </w:rPr>
            </w:pPr>
            <w:r>
              <w:rPr>
                <w:caps w:val="false"/>
                <w:smallCaps w:val="false"/>
                <w:strike w:val="false"/>
                <w:dstrike w:val="false"/>
                <w:sz w:val="20"/>
                <w:u w:val="single"/>
                <w:effect w:val="none"/>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sz w:val="20"/>
              </w:rPr>
            </w:pPr>
            <w:r>
              <w:rPr>
                <w:sz w:val="20"/>
              </w:rPr>
              <w:t>Name:Wing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elects to convert $_________ principal amount of the Note (defined below) into that number of shares of Common Stock to be issued pursuant to the conversion of the Note (“Common Stock”) as set forth below, of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a British Virgin Islands company (the “Borrower”), according to the conditions of the promissory note of the Borrower dated as of June 8, 2026 (the “Note”), as of the date written below. No fee will be charged to the Holder for any conversion, except for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Common Stock issuable pursuant to this Notice of Conversion to the account of the undersigned or its nominee with DTC through its Deposit Withdrawal Agent Commission system (“DWAC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p>
      <w:pPr>
        <w:pStyle w:val="TextBody"/>
        <w:bidi w:val="0"/>
        <w:spacing w:before="0" w:after="0"/>
        <w:ind w:left="0" w:right="0" w:hanging="0"/>
        <w:jc w:val="left"/>
        <w:rPr>
          <w:caps w:val="false"/>
          <w:smallCaps w:val="false"/>
        </w:rPr>
      </w:pPr>
      <w:r>
        <w:rPr>
          <w:caps w:val="false"/>
          <w:smallCaps w:val="false"/>
        </w:rPr>
        <w:t> </w:t>
      </w:r>
    </w:p>
    <w:tbl>
      <w:tblPr>
        <w:tblW w:w="8465" w:type="dxa"/>
        <w:jc w:val="left"/>
        <w:tblInd w:w="0" w:type="dxa"/>
        <w:tblLayout w:type="fixed"/>
        <w:tblCellMar>
          <w:top w:w="0" w:type="dxa"/>
          <w:left w:w="0" w:type="dxa"/>
          <w:bottom w:w="0" w:type="dxa"/>
          <w:right w:w="0" w:type="dxa"/>
        </w:tblCellMar>
      </w:tblPr>
      <w:tblGrid>
        <w:gridCol w:w="75"/>
        <w:gridCol w:w="8195"/>
        <w:gridCol w:w="195"/>
      </w:tblGrid>
      <w:tr>
        <w:trPr/>
        <w:tc>
          <w:tcPr>
            <w:tcW w:w="75"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sz w:val="20"/>
              </w:rPr>
            </w:pPr>
            <w:r>
              <w:rPr>
                <w:sz w:val="20"/>
              </w:rPr>
              <w:t>Date of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sz w:val="20"/>
              </w:rPr>
            </w:pPr>
            <w:r>
              <w:rPr>
                <w:sz w:val="20"/>
              </w:rPr>
              <w:t>Applicable Conversion Price:</w:t>
            </w:r>
          </w:p>
        </w:tc>
        <w:tc>
          <w:tcPr>
            <w:tcW w:w="1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pPr>
            <w:r>
              <w:rPr/>
              <w:t>Number of Shares of Common Stock to be Issued Pursuant to Conversion of the Note:</w:t>
            </w:r>
          </w:p>
        </w:tc>
        <w:tc>
          <w:tcPr>
            <w:tcW w:w="19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sz w:val="20"/>
              </w:rPr>
            </w:pPr>
            <w:r>
              <w:rPr>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9" w:name="ea030132501ex10-63.htm"/>
      <w:bookmarkStart w:id="80" w:name="ksea030132501ex1063"/>
      <w:bookmarkEnd w:id="79"/>
      <w:bookmarkEnd w:id="80"/>
      <w:r>
        <w:rPr>
          <w:rFonts w:ascii="Times New Roman;Times;Serif" w:hAnsi="Times New Roman;Times;Serif"/>
          <w:b/>
          <w:i w:val="false"/>
          <w:caps w:val="false"/>
          <w:smallCaps w:val="false"/>
          <w:sz w:val="20"/>
        </w:rPr>
        <w:t>Exhibit 10.63</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(the “Agreement”), dated as of June 22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with headquarters located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with its address at 21031 Ventura Blvd. Suite 920 Woodland Hills, CA 91364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Section 4(a)(2) of the Securities Act of 1933, as amended (the “1933 Act”) and Rule 506(b) promulgated by the United States Securities and Exchange Commission (the “SEC”)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desires to purchase from the Company, and the Company desires to issue and sell to the Buyer, upon the terms and conditions set forth in this Agreement, a promissory note of the Company, in the aggregate principal amount of $111,111 (as the principal amount thereof may be increased pursuant to the terms thereof, and together with any note(s) issued in replacement thereof or as a dividend thereon or otherwise with respect thereto in accordance with the terms thereof,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“Note”), convertible into Class A ordinary shares of the Company, no par value per share (the “Common Stock”), upon the terms and subject to the limitations and conditions set forth in such Note;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the Note as is set forth in this Agreement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agreements and covenants herein contained, and for other good and valuable consideration, the receipt and sufficiency of which is hereby acknowledged, the Company and the Buyer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of Note.</w:t>
      </w:r>
      <w:r>
        <w:rPr>
          <w:rFonts w:ascii="Times New Roman;Times;Serif" w:hAnsi="Times New Roman;Times;Serif"/>
          <w:b w:val="false"/>
          <w:i w:val="false"/>
          <w:caps w:val="false"/>
          <w:smallCaps w:val="false"/>
          <w:sz w:val="20"/>
        </w:rPr>
        <w:t xml:space="preserve"> On the Closing Date (as defined below), the Company shall issue and sell to the Buyer, and the Buyer agrees to purchase from the Company, the Note, as further provided herein. As used in this Agreement, the term “business day” shall mean any day other than a Saturday, Sunday, or a day on which commercial banks in the city of New York, New York are authorized or required by law or executive order to remain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On the Closing Date: (i) the Buyer shall pay the purchase price of $100,000.00 (the “Purchase Price”) for the Note, to be issued and sold to it at the Closing (as defined below), by wire transfer of immediately available funds to the Company, in accordance with the Company’s written wiring instructions, against delivery of the Note, and (ii) the Company shall deliver such duly executed Note on behalf of the Company, to the Buyer, against delivery of such Purchase Price. On the Closing Date, the Buyer shall withhold $5,000.00 from the Purchase Price to cover the Buyer’s legal fees in connection with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satisfaction (or written waiver) of the conditions thereto set forth in Section 6 and Section 7 below, the date and time of the issuance and sale of the Note pursuant to this Agreement (the “Closing Date”) shall be on the date that the Purchase Price for the Note is paid by Buyer pursuant to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(the “Closing”) shall occur on the Closing Date at such location as may be agreed to by the parties (including via exchange of electronic signatures).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Closing Date, the Buyer is purchasing the Note (the Note, , and shares of Common Stock issuable upon conversion of or otherwise pursuant to the Note (the “Conversion Shares”) shall collectively be referred to herein as the “Securities”) for its own account and not with a present view towards the public sale or distribution thereof, except pursuant to sales registered or exempted from registration under the 1933 Act; provided, however, that by making the representations herein, the Buyer does not agree to hold any of the Securities for any minimum or other specific term and reserves the right to dispose of the Securities at any time in accordance with or pursuant to a registration statement or an exemption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The Buyer is an “accredited investor” as that term is defined in Rule 501(a) of Regulation D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xml:space="preserve">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Buyer and its advisors, if any, have been, and for so long as the Note remains outstanding will continue to be, furnished with all materials relating to the business, finances and operations of the Company and materials relating to the offer and sale of the Securities which have been requested by the Buyer or its advisors. The Buyer and its advisors, if any, have been, and for so long as the Note remains outstanding will continue to be, afforded the opportunity to ask questions of the Company regarding its business and affairs. Notwithstanding the foregoing, the Company has not disclosed to the Buyer any material nonpublic information regarding the Company or otherwise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xml:space="preserve"> The Buyer understands that no United States federal or state agency or any other government or governmental agency has passed upon or made any recommendation or endorsement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Company, an opinion of counsel (which may be the Legal Counsel Opinion (as defined below)) that shall be in form, substance and scope customary for opinions of counsel in comparable transactions to the effect that the Securities to be sold or transferred may be sold or transferred pursuant to an exemption from such registration, which opinion shall be accepted by the Company,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(d) the Securities are sold pursuant to Rule 144 or other applicable exemption, or (e) the Securities are sold pursuant to Regulation S under the 1933 Act (or a successor rule) (“Regulation S”), and the Buyer shall have delivered to the Company, at the cost of the Company, an opinion of counsel that shall be in form, substance and scope customary for opinions of counsel in corporate transactions, which opinion shall be accepted by the Company; (ii) any sale of such Securities made in reliance on Rule 144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 Notwithstanding the foregoing or anything else contained herein to the contrary, the Securities may be pledged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secured by the Securities, and such pledge of Securities shall not be deemed to be a transfer, sale or assignment of the Securities hereunder, and the Buyer in effecting such pledge of Securities shall not be required to provide the Company with any notice thereof or otherwise make any delivery to the Company pursuant to this Agreement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Buyer understands that until such time as the Note and/or Conversion Shares have been registered under the 1933 Act or may be sold pursuant to Rule 144, Rule 144A under the 1933 Act, Regulation S, or other applicable exemption without any restriction as to the number of securities as of a particular date that can then be immediately sold, the Securities may bear a restrictive legend in substantially the following form (and a stop-transfer order may be placed against transfer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RULE 144A, REGULATION S, OR OTHER APPLICABLE EXEMPTION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or book entry statement for the applicable shares of Common Stock without such legend to the holder of any Security upon which it is stamped or (as requested by such holder) issue the applicable shares of Common Stock to such holder by electronic delivery by crediting the account of such holder’s broker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if, unless otherwise required by applicable state securities laws, (a) such Security is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Buyer provides the Legal Counsel Opinion (as contemplated by and in accordance with Section 4(l) hereof) to the effect that a public sale or transfer of such Security may be made without registration under the 1933 Act, which opinion shall be accepted by the Company so that the sale or transfer is effected. The Company shall be responsible for the fees of its transfer agent and all DTC fees associated with any such issuance. The Buyer agrees to sell all Securities, including those represented by a certificate(s) from which the legend has been removed, in compliance with applicable prospectus delivery requirements, if any. In the event that the Company does not accept the opinion of counsel provided by the Buyer with respect to the transfer of Securities pursuant to an exemption from registration, such as Rule 144, Rule 144A, Regulation S, or other applicable exemption at the Deadline (as defined in the Note),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This Agreement has been duly and validly authorized by the Buyer and has been duly executed and delivered on behalf of the Buyer, and this Agreement constitutes a valid and binding agreement of the Buyer enforceable in accordance with its terms, except as enforcement may be limited by bankruptcy, insolvency, reorganization, moratorium or other similar laws affecting creditors’ rights generally and except as may be limited by the exercise of judicial discretion in applying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represents and warrants to the Buyer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(as defined below), if any, is a corporation duly organized, validly existing and in good standing under the laws of the jurisdiction in which it is incorporated or formed, with full power and authority (corporate and other) to own, lease, use and operate its properties and to carry on its business as and where now owned, leased, used, operated and conducted. The SEC Documents set forth a list of all of the Subsidiaries of the Company and the jurisdiction in which each is incorporated. The Company and each of its Subsidiaries is duly qualified to do business and is in good standing in every jurisdiction in which its ownership or use of property or the nature of the business conducted by it makes such qualification necessary except where the failure to be so qualified or in good standing would not have a Material Adverse Effect.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The Company and Subsidiaries have all requisite corporate power and authority to enter into and perform the Transaction Documents and to consummate the transactions contemplated hereby and thereby and to issue the Securities, in accordance with the terms hereof and thereof. The Company represents and warrants that (i) the execution and delivery of the Transaction Documents, the Note, and Conversion Shares by the Company and the consummation by it of the transactions contemplated hereby and thereby (including without limitation, the issuance of the Note as well as the issuance and reservation for issuance of the Conversion Shares issuable upon conversion of the Note) have been duly authorized by the Company’s Board of Directors and no further consent or authorization of the Company, its Board of Directors, its shareholders, or its debt holders is required, (i) the Transaction Documents (together with any other instruments executed in connection herewith or therewith) have been duly executed and delivered by the Company and Subsidiaries by its authorized representatives, and such authorized representatives are the true and official representative with authority to sign the Transaction Documents and the other instruments documents executed in connection herewith or therewith and bind the Company and Subsidiaries accordingly, and (iii) the Transaction Documents constitute, and upon execution and delivery by the Company and Subsidiaries as applicable, each of such instruments will constitute, a legal, valid and binding obligation of the Company and Subsidiaries, enforceable against the Company and Subsidiaries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Capitalization; Governing Documents.</w:t>
      </w:r>
      <w:r>
        <w:rPr>
          <w:rFonts w:ascii="Times New Roman;Times;Serif" w:hAnsi="Times New Roman;Times;Serif"/>
          <w:b w:val="false"/>
          <w:i w:val="false"/>
          <w:caps w:val="false"/>
          <w:smallCaps w:val="false"/>
          <w:sz w:val="20"/>
        </w:rPr>
        <w:t xml:space="preserve"> As of April 14, 2026, the authorized capital stock of the Company consists of: (i) unlimited authorized shares of Common Stock, of which 568,473 shares were issued and outstanding, (ii) unlimited authorized shares of Class B ordinary shares, of which 69 shares were issued and outstanding, and (iii) unlimited authorized shares of preferred stock, of which 0 shares were issued and outstanding. All of such outstanding shares of capital stock of the Company and the Conversion Shares are, or upon issuance will be, duly authorized, validly issued, fully paid and non-assessable. No shares of capital stock of the Company are subject to preemptive rights or any other similar rights of the shareholders of the Company or any liens or encumbrances imposed through the actions or failure to act of the Company. As of the effective date of this Agreement, other than as publicly announced prior to such date and reflected in the SEC Documents of the Company, (i) there are no outstanding options, warrants, scrip, rights to subscribe for, puts, calls, rights of first refusal, agreements, understandings, claims or other commitments or rights of any character whatsoever relating to, or securities or rights convertible into or exchangeable for any shares of capital stock of the Company or any of its Subsidiaries, or arrangements by which the Company or any of its Subsidiaries is or may become bound to issue additional shares of capital stock of the Company or any of its Subsidiaries, (ii) there are no agreements or arrangements under which the Company or any of its Subsidiaries is obligated to register the sale of any of its or their securities under the 1933 Act and (iii) there are no anti-dilution or price adjustment provisions contained in any security issued by the Company (or in any agreement providing rights to security holders) that will be triggered by the issuance of any of the Securities. The Company has furnished to the Buyer true and correct copies of the Company’s Certificate of Incorporation as in effect on the date hereof (“Certificate of Incorporation”), the Company’s By-laws, as in effect on the date hereof (the “By-laws”), and the terms of all securities convertible into or exercisable for Common Stock of the Company and the material rights of the holders thereof in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Conversion Shares.</w:t>
      </w:r>
      <w:r>
        <w:rPr>
          <w:rFonts w:ascii="Times New Roman;Times;Serif" w:hAnsi="Times New Roman;Times;Serif"/>
          <w:b w:val="false"/>
          <w:i w:val="false"/>
          <w:caps w:val="false"/>
          <w:smallCaps w:val="false"/>
          <w:sz w:val="20"/>
        </w:rPr>
        <w:t xml:space="preserve"> The Conversion Shares are duly authorized and reserved for issuance and, upon conversion of the Note in accordance with its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xml:space="preserve"> The Company understands and acknowledges the potentially dilutive effect of the Conversion Shares upon the conversion of the Note to the Common Stock. The Company further acknowledges that its obligation to issue, upon conversion of the Note, the Conversion Shares, are absolute and unconditional regardless of the dilutive effect that such issuance may have on the ownership interests of other shareholders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Documents by the Company and Subsidiaries, and the consummation by the Company and Subsidiaries of the transactions contemplated hereby and thereby (including, without limitation, the issuance and reservation for issuance of the Conversion Shares)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note, evidence of indebtedness,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is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or (iv) trigger any anti-dilution and/or ratchet provision contained in any other contract in which the Company is a party thereto or any security issued by the Company. Neither the Company nor any of its Subsidiaries is in violation of its Certificate of Incorporation, By-laws or other organizational documents and neither the Company nor any of its Subsidiaries is in default (and no event has occurred which with notice or lapse of time or both could put the Company or any of its Subsidiaries in default) under, and neither the Company nor any of its Subsidiaries has taken any action or failed to take any action that would give to others any rights of termination, amendment, acceleration or cancellation of, any agreement, indenture or instrument to which the Company or any of its Subsidiaries is a party or by which any property or assets of the Company or any of its Subsidiaries is bound or affected, except for possible defaults as would not, individually or in the aggregate, have a Material Adverse Effect. The businesses of the Company and its Subsidiaries, if any, are not being conducted, and shall not be conducted so long as the Buyer owns any of the Securities, in violation of any law, ordinance or regulation of any governmental entity. Except as specifically contemplated by this Agreement and as required under the 1933 Act and any applicable state securities laws, the Company is not required to obtain any consent, authorization or order of, or make any filing or registration with, any court, governmental agency, regulatory agency, self-regulatory organization or stock market or any third party in order for it to execute, deliver or perform any of its obligations under this Agreement and the Note in accordance with the terms hereof or thereof or to issue and sell the Note in accordance with the terms hereof and, upon conversion of the Note, issue Conversion Shares. All consents, authorizations, orders, filings and registrations which the Company is required to obtain pursuant to the preceding sentence have been obtained or effected on or prior to the date hereof. The Company is not in violation of the listing requirements of the Principal Market (as defined herein) and does not reasonably anticipate that the Common Stock will be delisted by the Principal Market in the foreseeable future. The Company and its Subsidiaries are unaware of any facts or circumstances which might give rise to any of the foregoing. The “Principal Market” shall mean the principal securities exchange or trading market where such Common Stock is listed or traded, including but not limited to any tier of the OTC Markets, any tier of the NASDAQ Stock Market (including NASDAQ Capital Market), or the NYSE American, or any successor to such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financial statements of the Company included in the SEC Documents, the Company has no liabilities, contingent or otherwise, other than (i) liabilities incurred in the ordinary course of business subsequent to December 31, 2025,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The Company is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2025, there has been no material adverse change and no material adverse development in the assets, liabilities, business, properties, operations, financial condition, results of operations, prospects or 1934 Act reporting status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SEC Documents contain a complete list and summary description of any pending or, to the knowledge of the Company, threatened proceeding against or affecting the Company or any of its Subsidiaries, without regard to whether it would have a Material Adverse Effect. The Company and its Subsidiaries are unaware of any facts or circumstances which might give rise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each of its Subsidiaries owns or possesses the requisite licenses or rights to use all patents, patent applications, patent rights, inventions, know-how, trade secrets, trademarks, trademark applications, service marks, service names, trade names and copyrights (“Intellectual Property”) necessary to enable it to conduct its business as now operated (and, as presently contemplated to be operated in the future); there is no claim or action by any person pertaining to, or proceeding pending, or to the Company’s knowledge threatened, which challenges the right of the Company or of a Subsidiary with respect to any Intellectual Property necessary to enable it to conduct its business as now operated (and, as presently contemplated to be operated in the future); to the best of the Company’s knowledge, the Company’s or its Subsidiaries’ current and intended products, services and processes do not infringe on any Intellectual Property or other rights held by any person; and the Company is unaware of any facts or circumstances which might give rise to any of the foregoing. The Company and each of its Subsidiaries have taken reasonable security measures to protect the secrecy, confidentiality and value of their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 Materially Adverse Contracts, Etc.</w:t>
      </w:r>
      <w:r>
        <w:rPr>
          <w:rFonts w:ascii="Times New Roman;Times;Serif" w:hAnsi="Times New Roman;Times;Serif"/>
          <w:b w:val="false"/>
          <w:i w:val="false"/>
          <w:caps w:val="false"/>
          <w:smallCaps w:val="false"/>
          <w:sz w:val="20"/>
        </w:rPr>
        <w:t xml:space="preserve"> Neither the Company nor any of its Subsidiaries is subject to any charter, corporate or other legal restriction, or any judgment, decree, order, rule or regulation which in the judgment of the Company’s officers has or is expected in the future to have a Material Adverse Effect. Neither the Company nor any of its Subsidiaries is a party to any contract or agreement which in the judgment of the Company’s officers has or is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and each of its Subsidiaries has made or filed all federal, state and foreign income and all other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for arm’s length transactions pursuant to which the Company or any of its Subsidiaries makes payments in the ordinary course of business upon terms no less favorable than the Company or any of its Subsidiaries could obtain from third parties and other than the grant of stock options described in the SEC Documents, none of the officers, directors, or employees of the Company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pursuant to Section 2(d) hereof and otherwise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1934 Act are being incorporated into an effective registration statement filed by the Company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xml:space="preserve"> The Company acknowledges and agrees that the Buyer is acting solely in the capacity of arm’s length purchaser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Buyer’s purchase of the Securities. The Company further represents to the Buyer that the Company’s decision to enter into this Agreement has been based solely on the independent evaluation of the Company and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 The issuance of the Securities to the Buyer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Brokers; No Solicitation.</w:t>
      </w:r>
      <w:r>
        <w:rPr>
          <w:rFonts w:ascii="Times New Roman;Times;Serif" w:hAnsi="Times New Roman;Times;Serif"/>
          <w:b w:val="false"/>
          <w:i w:val="false"/>
          <w:caps w:val="false"/>
          <w:smallCaps w:val="false"/>
          <w:sz w:val="20"/>
        </w:rPr>
        <w:t xml:space="preserve"> Except in the ordinary course of business, the Company has taken no action which would give rise to any claim by any person for brokerage commissions, transaction fees or similar payments relating to this Agreement or the transactions contemplated hereby. The Company represents and warrants that neither the Buyer nor its employee(s), member(s), beneficial owner(s), or partner(s) solicited the Company to enter into this Agreement and consummate the transactions described in this Agreement. The Company represents and warrants that neither the Buyer nor its employee(s), member(s), beneficial owner(s), or partner(s) is required to be registered as a broker-dealer under the Securities Exchange Act of 1934 in order to (i) enter into or consummate the transactions encompassed by this Agreement, the Note, and the related transaction documents entered into in connection herewith (the “Transaction Documents”), (ii) fulfill the Buyer’s obligations under the Transaction Documents, or (iii) exercise any of the Buyer’s rights under the Transaction Documents (including but not limited to the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xml:space="preserve">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“Company Permits”),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Since December 31, 2025,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to the Company’s knowledge, with respect to the Company or any of its Subsidiaries or any predecessor of the Company, no past or present violations of Environmental Laws (as defined below), releases of any material into the environment, actions, activities, circumstances, conditions, events, incidents, or contractual obligations which may give rise to any common law environmental liability or any liability under the Comprehensive Environmental Response, Compensation and Liability Act of 1980 or similar federal, state, local or foreign laws and neither the Company nor any of its Subsidiaries has received any notice with respect to any of the foregoing, nor is any action pending or, to the Company’s knowledge, threatened in connection with any of the foregoing.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those that are or were stored, used or disposed of in compliance with applicable law, no Hazardous Materials are contained on or about any real property currently owned, leased or used by the Company or any of its Subsidiaries, and no Hazardous Materials were released on or about any real property previously owned, leased or used by the Company or any of its Subsidiaries during the period the property was owned, leased or used by the Company or any of its Subsidiaries, except in the normal course of the Company’s or any of its Subsidiaries’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underground storage tanks on or under any real property owned, leased or used by the Company or any of its Subsidiaries that are not in compliance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xml:space="preserv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Upon written request the Company will provide to the Buyer true and correct copies of all policies relating to directors’ and officers’ liability coverage, errors and omissions coverage, and commercial general liability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of its Subsidiaries, nor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The Company (after giving effect to the transactions contemplated by this Agreement) is solvent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its assets have a fair market value in excess of the amount required to pay its probable liabilities on its existing debts as they become absolute and matured) and currently the Company has no information that would lead it to reasonably conclude that the Company would not, after giving effect to the transaction contemplated by this Agreement, have the ability to, nor does it intend to take any action that would impair its ability to, pay its debts from time to time incurred in connection therewith as such debts mature. The Company’s financial statements for its most recent fiscal year end and interim financial statements have been prepared assuming the Company will continue as a going concern, which contemplates the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xml:space="preserve">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or that could reasonably be expected to cause or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Illegal or Unauthorized Payments; Political Contributions</w:t>
      </w:r>
      <w:r>
        <w:rPr>
          <w:rFonts w:ascii="Times New Roman;Times;Serif" w:hAnsi="Times New Roman;Times;Serif"/>
          <w:b w:val="false"/>
          <w:i w:val="false"/>
          <w:caps w:val="false"/>
          <w:smallCaps w:val="false"/>
          <w:sz w:val="20"/>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The Company agrees that if the Company breaches any of the representations or warranties set forth in this Section 3 and in addition to any other remedies available to the Buyer pursuant to this Agreement, it will be considered an Event of Default under Section 3.4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COVENANTS, AGREEMENTS AND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xml:space="preserve"> The parties shall use their best efforts to satisfy timely each of the conditions described in Section 6 and 7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The Company agrees to file a Form D with respect to the Securities if required under Regulation D and to provide a copy thereof to the Buyer promptly after such filing. The Company shall, on or before the Closing Date, take such action as the Company shall reasonably determine is necessary to qualify the Securities for sale to the Buyer at the applicable closing pursuant to this Agreement under applicable securities or “blue sky” laws of the states of the United States (or to obtain an exemption from such qualification), and shall provide evidence of any such action so taken to the Buyer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Purchase Price for business development and general working capital, and not in violation or contravention of any applicable law, rule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Buyer in order to enforce any right or remedy under this Agreement, the Note and any document, agreement or instrument contemplated thereby. Notwithstanding any provision to the contrary contained in this Agreement, the Note and any document, agreement or instrument contemplated thereby, it is expressly agreed and provided that the total liability of the Company under this Agreement, the Note or any document, agreement or instrument contemplated thereby for payments which under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applicable law in the nature of interest that the Company may be obligated to pay under this Agreement, the Note and any document, agreement or instrument contemplated thereby exceed such Maximum Rate. It is agreed that if the maximum contract rate of interest allowed by law applicable to this Agreement, the Note and any document, agreement or instrument contemplated thereby is increased or decreased by statute or any official governmental action subsequent to the date hereof, the new maximum contract rate of interest allowed by law will be the Maximum Rate applicable to this Agreement, the Note and any document, agreement or instrument contemplated thereby from the effective date thereof forward, unless such application is precluded by applicable law. If under any circumstances whatsoever, interest in excess of the Maximum Rate is paid by the Company to the Buyer with respect to indebtedness evidenced by this Agreement, the Note and any document, agreement or instrument contemplated thereby, such excess shall be applied by the Buyer to the unpaid principal balance of any such indebtedness or be refunded to the Company, the manner of handling such excess to be at the Buyer’s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 on Activities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Buyer’s prior written consent, which consent shall not be unreasonably withheld or delayed, sell, divest, acquire, or dispose of all or substantially all of its assets other than in the ordinary course of business, or in the event of a Fundamental Transaction and subject to the conditions set out under Section 4(h)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will, so long as the Buyer owns any of the Securities, maintain the listing and trading of its Common Stock on the Principal Market or any equivalent replacement exchange or electronic quotation system (including but not limited to the Pink Sheets electronic quotation system)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from the Principal Market and any other exchanges or electronic quotation systems on which the Common Stock is then traded regarding the continued eligibility of the Common Stock for listing on such exchanges and quotation systems if requested in writing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The Company will, so long as the Buyer beneficially owns any of the Securities, maintain its corporate existence and shall not sell all or substantially all of the Company’s assets, except in the event of a Fundamental Transaction (as defined in the Note), where the surviving or successor entity in such transaction (i) assumes the Company’s obligations under the Transaction Documents and (ii) is a publicly traded corporation whose Common Stock is listed for trading or quotation on the Principal Market, any tier of the NASDAQ Stock Market, the New York Stock Exchange or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xml:space="preserve">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Compliance with 1934 Act; Public Information Failures.</w:t>
      </w:r>
      <w:r>
        <w:rPr>
          <w:rFonts w:ascii="Times New Roman;Times;Serif" w:hAnsi="Times New Roman;Times;Serif"/>
          <w:b w:val="false"/>
          <w:i w:val="false"/>
          <w:caps w:val="false"/>
          <w:smallCaps w:val="false"/>
          <w:sz w:val="20"/>
        </w:rPr>
        <w:t xml:space="preserve"> For so long as the Buyer beneficially owns the Note or any Conversion Shares, the Company shall comply with the reporting requirements of the 1934 Act; and the Company shall continue to be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Legal Counsel Opinions</w:t>
      </w:r>
      <w:r>
        <w:rPr>
          <w:rFonts w:ascii="Times New Roman;Times;Serif" w:hAnsi="Times New Roman;Times;Serif"/>
          <w:b w:val="false"/>
          <w:i w:val="false"/>
          <w:caps w:val="false"/>
          <w:smallCaps w:val="false"/>
          <w:sz w:val="20"/>
        </w:rPr>
        <w:t>. Upon the request of the Buyer from to time to time, the Company shall be responsible (at its cost) for promptly supplying to the Company’s transfer agent and the Buyer a customary legal opinion letter of its counsel (the “Legal Counsel Opinion”) to the effect that the resale of the Conversion Shares by the Buyer or its affiliates, successors and assigns is exempt from the registration requirements of the 1933 Act pursuant to Rule 144 (provided the requirements of Rule 144 are satisfied and provided the Conversion Shares are not then registered under the 1933 Act for resale pursuant to an effective registration statement) or other applicable exemption (provided the requirements of such other applicable exemption are satisfied). In addition, the Buyer may (at the Company’s cost) at any time secure its own legal counsel to issue the Legal Counsel Opinion, and the Company will instruct its transfer agent to accept such opinion.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Piggy-Back Registration Rights</w:t>
      </w:r>
      <w:r>
        <w:rPr>
          <w:rFonts w:ascii="Times New Roman;Times;Serif" w:hAnsi="Times New Roman;Times;Serif"/>
          <w:b w:val="false"/>
          <w:i w:val="false"/>
          <w:caps w:val="false"/>
          <w:smallCaps w:val="false"/>
          <w:sz w:val="20"/>
        </w:rPr>
        <w:t>. If the Company proposes to file any registration statement covering any of its securities (for sale by the Company, for resale by the holder(s) of such securities, or otherwise) (each a “Registration Statement”), the Company shall at each such time give written notice to Holder of its intention to do so (each a “Registration Notice”) at least five (5) calendar days prior to the filing of such Registration Statement and of the registration rights granted under this Agreement. Upon the written request of Holder made to the Company within three (3) calendar days after the receipt of any such Registration Notice, the Company shall, at its sole cost and expense, effect the registration of all Conversion Shares underlying the Note which the Company has been so requested to register by Holder in such Registration Statement, by inclusion of such Conversion Shares in the Registration Statement, to the extent required to permit the resale and disposition (in accordance with the intended methods of disposition, including but not limited to sales at prevailing market prices) of the Conversion Shares by 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neither it, nor any other person acting on its behalf will provide the Buyer or its agents or counsel with any information that constitutes, or the Company reasonably believes constitutes, material non-public information, unless prior thereto the Buyer shall have consented to the receipt of such information and agreed with the Company to keep such information confidential. The Company understands and confirms that the Buyer shall be relying on the foregoing covenant in effecting transactions in securities of the Company. To the extent that the Company delivers any material, non-public information to the Buyer without such Buyer’s consent, the Company hereby covenants and agrees that such Buyer shall not have any duty of confidentiality to the Company, any of its Subsidiaries, or any of their respective officers, directors, agents, employees or affiliates, not to trade on the basis of, such material, non- public information, provided that the Buyer shall remain subject to applicable law. To the extent that any notice provided, information provided, or any other communications made by the Company, to the Buyer, constitutes or contains material non-public information regarding the Company or any Subsidiaries, the Company shall simultaneously file such notice or other material information with the SEC pursuant to a Current Report on Form 8-K. In addition to any other remedies provided by this Agreement or the related transaction documents, if the Company provides any material non-public information to the Buyer without their prior written consent, and it fails to immediately (no later than that business day) file a Form 8-K disclosing this material non-public information, it shall pay the Buyer as partial liquidated damages and not as a penalty a sum equal to $3,000 per day beginning with the day the information is disclosed to the Buyer and ending and including the day the Form 8-K disclosing this information is filed.</w:t>
      </w:r>
    </w:p>
    <w:p>
      <w:pPr>
        <w:pStyle w:val="TextBody"/>
        <w:bidi w:val="0"/>
        <w:spacing w:before="0" w:after="0"/>
        <w:ind w:left="371" w:right="0" w:firstLine="2088"/>
        <w:jc w:val="both"/>
        <w:rPr>
          <w:caps w:val="false"/>
          <w:smallCaps w:val="false"/>
        </w:rPr>
      </w:pPr>
      <w:r>
        <w:rPr>
          <w:caps w:val="false"/>
          <w:smallCaps w:val="false"/>
        </w:rPr>
        <w:t> </w:t>
      </w:r>
    </w:p>
    <w:p>
      <w:pPr>
        <w:pStyle w:val="TextBody"/>
        <w:bidi w:val="0"/>
        <w:spacing w:before="0" w:after="0"/>
        <w:ind w:left="371" w:right="0" w:firstLine="208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371"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Buyer is currently, or ever has been, a broker-dealer under the Securities Exchange Act of 1934.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xml:space="preserve"> The Company acknowledges and agrees that if the Company breaches any of the covenants set forth in this Section 4, in addition to any other remedies available to the Buyer pursuant to this Agreement, it will be considered an Event of Default under Section 3.3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issue irrevocable instructions to the Company’s transfer agent to issue certificates and/or issue shares electronically at the Buyer’s option, registered in the name of the Buyer or its nominee, upon conversion of the Note, the Conversion Shares, in such amounts as specified from time to time by the Buyer to the Company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reserved shares of Common Stock in the Reserved Amount (as defined in the Note)) signed by the successor transfer agent to the Company and the Company. Prior to registration of the Conversion Shares under the 1933 Act or the date on which the Conversion Shares may be sold pursuant to Rule 144, Rule 144A, Regulation S, or other applicable exemption without any restriction as to the number of Securities as of a particular date that can then be immediately sold, all such certificates or book entry shares shall bear the restrictive legend specified in Section 2(g)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Securities to be issued to the Buyer upon conversion of or otherwise pursuant to the Note as and when required by the Note and this Agreement; (iii) it will not fail to remove (or directs its transfer agent not to remove or impairs, delays, and/or hinders its transfer agent from removing) any restrictive legend (or to withdraw any stop transfer instructions in respect thereof) on any certificate for any Securities issued to the Buyer upon conversion of or otherwise pursuant to the Note as and when required by the Note and/or this Agreement and (iv) it will provide any required corporate resolutions and issuance approvals to its transfer agent within 6 hours of each conversion of the Note. Nothing in this Section shall affect in any way the Buyer’s obligations and agreement set forth in Section 2(g) hereof to comply with all applicable prospectus delivery requirements, if any, upon re-sale of the Securities. If the Buyer provides the Company, at the cost of the Company, with (i) an opinion of counsel in form, substance and scope customary for opinions in comparable transactions, to the effect that a public sale or transfer of such Securities may be made without registration under the 1933 Act and such sale or transfer is effected or (ii) the Buyer provides reasonable assurances that the Securities can be sold pursuant to 144, Rule 144A, Regulation S, or other applicable exemption, the Company shall permit the transfer, and, in the case of the Securities, promptly instruct its transfer agent to issue one or more certificates, free from restrictive legend, in such name and in such denominations as specified by the Buyer.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xml:space="preserve"> The obligation of the Company hereunder to issue and sell the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have executed the Transaction Documents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Buyer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Buyer shall have delivered to the Company all information reasonably necessary and requested by the Company to comply with applicable federal and state securities laws in connection with the Agreement, which shall include, but not be limited to, the Buyer’s principal place of business or domicile for tax and securities law purposes and sufficient information to verify the Buyer’s status as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Conditions to The Buyer’s Obligation to Purchase.</w:t>
      </w:r>
      <w:r>
        <w:rPr>
          <w:rFonts w:ascii="Times New Roman;Times;Serif" w:hAnsi="Times New Roman;Times;Serif"/>
          <w:b w:val="false"/>
          <w:i w:val="false"/>
          <w:caps w:val="false"/>
          <w:smallCaps w:val="false"/>
          <w:sz w:val="20"/>
        </w:rPr>
        <w:t xml:space="preserve"> The obligation of the Buyer hereunder to purchase the Note, on the Closing Date, is subject to the satisfaction, at or before the Closing Date, of each of the following conditions, provided that these conditions are for the Buyer’s sole benefit and may be waived by the Buyer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Subsidiaries, as applicable, shall have executed the Transaction Documents and delivered the same to the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Buyer the duly executed Note in such denominations as the Buyer shall request and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Buyer, shall have been delivered to and acknowledged in writing by the Company’s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Trading in the Common Stock on the Principal Market shall not have been suspended by the SEC, FINRA or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Buyer (i) a certificate evidencing the formation and good standing of the Company in such entity’s jurisdiction of formation issued by the Secretary of State (or comparable office) of such jurisdiction, as of a date within ten (10) days of the Closing Date and (ii) resolutions adopted by the Company’s Board of Directors at a duly called meeting or by unanimous written consent authorizing this Agreement and all other documents, instruments and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Arbitration of Claims; Governing Law; Venue</w:t>
      </w:r>
      <w:r>
        <w:rPr>
          <w:rFonts w:ascii="Times New Roman;Times;Serif" w:hAnsi="Times New Roman;Times;Serif"/>
          <w:b w:val="false"/>
          <w:i w:val="false"/>
          <w:caps w:val="false"/>
          <w:smallCaps w:val="false"/>
          <w:sz w:val="20"/>
        </w:rPr>
        <w:t xml:space="preserve">. The Company and Buyer shall submit all Claims (as defined in Exhibit B of this Purchase Agreement) (the “Claims”) arising under this Agreement or any other agreement between the Company and Buyer or their respective affiliates (including but not limited to the Transaction Documents) or any Claim relating to the relationship of the Company and Buyer or their respective affiliates to binding arbitration pursuant to the arbitration provisions set forth in Exhibit B of the Purchase Agreement (the “Arbitration Provisions”). The Company and Buyer hereby acknowledge and agree that the Arbitration Provisions are unconditionally binding on the Company and Buyer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Buyer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Buyer consent to and expressly agree that the exclusive venue for arbitration of any Claims arising under this Agreement or any other agreement between the Company and Buyer or their respective affiliates (including but not limited to the Transaction Documents) or any Claim relating to the relationship of the Company and Buyer or their respective affiliates shall be in Orange County, California. Without modifying the Company’s and Buyer’s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or otherwise related to Buyer in any way (specifically including, without limitation, any action where Company seeks to obtain an injunction, temporary restraining order, or otherwise prohibit the Company’s transfer agent from issuing shares of Common Stock to Buyer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Buyer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Buyer to realize on any collateral or any other security, or to enforce a judgment or other court ruling in favor of the Buyer,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but all of which shall constitute one and the same agreement and shall become effective when counterparts have been signed by each party and delivered to the other party. A facsimile or .pdf signature shall be considered due execution and shall be binding upon the signatory thereto with the same force and effect as if the signature were an original, not a facsimile or .pdf signature. Delivery of a counterpart signature hereto by facsimile or email/.pdf transmission shall be deemed validly delivery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xml:space="preserve"> This Agreement shall be deemed to be jointly drafted by the Company and the Buyer and shall not be construed against any person as the drafter hereof.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Agreement, the Note, or any other agreement or instrument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Agreement, the Note, or any other agreement, certificate, instrument or document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the Note,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or any agreement or instrument contemplated hereby may be waived or amended other than by an instrument in writing signed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1308"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assigns. The Company shall not assign this Agreement or any rights or obligations hereunder without the prior written consent of the Buyer. The Buyer may assign its rights hereunder to any “accredited investor” (as defined in Rule 501(a) of the 1933 Act) in a private transaction from the Buyer or to any of its “affiliates,” as that term is defined under the 1934 Act, without the consent of the Company but shall provide prior notice to the Company of such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The Company, and the Buyer shall have the right to review a reasonable period of time before issuance of any press releases, SEC, Principal Market or FINRA filings, or any other public statements with respect to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without the prior approval of the Buyer, to make any press release or SEC, Principal Market (or other applicable trading market) or FINRA filings with respect to such transactions as is required by applicable law and regulations (although the Buyer shall be consulted by the Company in connection with any such press release prior to its release and shall be provided with a copy thereof and be given an opportunity to comment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xml:space="preserve">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Buyer’s execution and delivery of this Agreement and acquiring the Securities hereunder, and in addition to all of the Company’s other obligations under this Agreement or the Note, the Company shall defend, protect, indemnify and hold harmless the Buyer and its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the Note or any other agreement, certificate, instrument or document contemplated hereby or thereby, (b) any breach of any covenant, agreement or obligation of the Company contained in this Agreement, the Note or any other agreement,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this Agreement, the Note or any other agreement, certificate, instrument or document contemplated hereby or thereby, (ii) any transaction financed or to be financed in whole or in part, directly or indirectly, with the proceeds of the issuance of the Securities, or (iii) the status of the Buyer or holder of the Securities as an investor in the Company pursuant to the transactions contemplated by this Agreement. To the extent that the foregoing undertaking by the Company may be unenforceable for any reason, the Company shall make the maximum contribution to the payment and satisfaction of each of the Indemnified Liabilities that is permissible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the Note, or any other agreement, certificate, instrument or document contemplated hereby or thereby will be inadequate and agrees, in the event of a breach or threatened breach by the Company of the provisions of this Agreement, the Note, or any other agreement, certificate, instrument or document contemplated hereby or thereby, that the Buyer shall be entitled, in addition to all other available remedies at law or in equity, and in addition to the penalties assessable herein, to an injunction or injunctions restraining, preventing or curing any breach of this Agreement, the Note, or any other agreement, certificate, instrument or document contemplated hereby or thereby, and to enforce specifically the terms and provisions hereof and thereof,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(i) Company makes a payment or payments to the Buyer hereunder, pursuant to the Note or pursuant to any other agreement, certificate, instrument or document contemplated hereby or thereby, or (ii) the Buyer enforces or exercises its rights hereunder or pursuant to the Note, or pursuant to any other agreement, certificate, instrument or document contemplated hereby or thereby,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Buyer,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Buyer a dollar amount equal to the amount that was for any reason (i) subsequently invalidated, declared to be fraudulent or preferential, set aside, recovered from, or disgorged by the Buyer,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Buyer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Buyer existing hereunder are cumulative to, and not exclusive of, any rights or remedies otherwise available.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ind w:left="0" w:right="0" w:hanging="0"/>
        <w:jc w:val="left"/>
        <w:rPr/>
      </w:pPr>
      <w:r>
        <w:rPr>
          <w:caps w:val="false"/>
          <w:smallCaps w:val="false"/>
        </w:rPr>
        <w:t> </w:t>
      </w:r>
      <w:r>
        <w:rPr/>
        <w:t xml:space="preserve"> </w:t>
      </w:r>
    </w:p>
    <w:tbl>
      <w:tblPr>
        <w:tblW w:w="4335" w:type="dxa"/>
        <w:jc w:val="left"/>
        <w:tblInd w:w="0" w:type="dxa"/>
        <w:tblLayout w:type="fixed"/>
        <w:tblCellMar>
          <w:top w:w="0" w:type="dxa"/>
          <w:left w:w="0" w:type="dxa"/>
          <w:bottom w:w="0" w:type="dxa"/>
          <w:right w:w="0" w:type="dxa"/>
        </w:tblCellMar>
      </w:tblPr>
      <w:tblGrid>
        <w:gridCol w:w="380"/>
        <w:gridCol w:w="650"/>
        <w:gridCol w:w="3230"/>
        <w:gridCol w:w="75"/>
      </w:tblGrid>
      <w:tr>
        <w:trPr/>
        <w:tc>
          <w:tcPr>
            <w:tcW w:w="4260"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NEWGENIVF GROUP LIMITED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88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caps w:val="false"/>
          <w:smallCaps w:val="false"/>
        </w:rPr>
        <w:t> </w:t>
      </w:r>
      <w:r>
        <w:rPr/>
        <w:t xml:space="preserve"> </w:t>
      </w:r>
    </w:p>
    <w:tbl>
      <w:tblPr>
        <w:tblW w:w="3600" w:type="dxa"/>
        <w:jc w:val="left"/>
        <w:tblInd w:w="0" w:type="dxa"/>
        <w:tblLayout w:type="fixed"/>
        <w:tblCellMar>
          <w:top w:w="0" w:type="dxa"/>
          <w:left w:w="0" w:type="dxa"/>
          <w:bottom w:w="0" w:type="dxa"/>
          <w:right w:w="0" w:type="dxa"/>
        </w:tblCellMar>
      </w:tblPr>
      <w:tblGrid>
        <w:gridCol w:w="380"/>
        <w:gridCol w:w="650"/>
        <w:gridCol w:w="2495"/>
        <w:gridCol w:w="75"/>
      </w:tblGrid>
      <w:tr>
        <w:trPr/>
        <w:tc>
          <w:tcPr>
            <w:tcW w:w="3525" w:type="dxa"/>
            <w:gridSpan w:val="3"/>
            <w:tcBorders/>
            <w:vAlign w:val="center"/>
          </w:tcPr>
          <w:p>
            <w:pPr>
              <w:pStyle w:val="TableContents"/>
              <w:bidi w:val="0"/>
              <w:spacing w:before="0" w:after="283"/>
              <w:jc w:val="left"/>
              <w:rPr>
                <w:b/>
              </w:rPr>
            </w:pPr>
            <w:r>
              <w:rPr>
                <w:b/>
              </w:rPr>
              <w:t>WHITE LION CAPITAL LLC</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145" w:type="dxa"/>
            <w:gridSpan w:val="2"/>
            <w:tcBorders>
              <w:bottom w:val="single" w:sz="12" w:space="0" w:color="000000"/>
            </w:tcBorders>
            <w:tcMar>
              <w:bottom w:w="28" w:type="dxa"/>
            </w:tcMar>
            <w:vAlign w:val="center"/>
          </w:tcPr>
          <w:p>
            <w:pPr>
              <w:pStyle w:val="TableContents"/>
              <w:bidi w:val="0"/>
              <w:spacing w:before="0" w:after="283"/>
              <w:jc w:val="left"/>
              <w:rPr/>
            </w:pPr>
            <w:r>
              <w:rPr/>
              <w:t>/s/ Nathan Yee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495" w:type="dxa"/>
            <w:tcBorders/>
            <w:vAlign w:val="center"/>
          </w:tcPr>
          <w:p>
            <w:pPr>
              <w:pStyle w:val="TableContents"/>
              <w:bidi w:val="0"/>
              <w:spacing w:before="0" w:after="283"/>
              <w:jc w:val="left"/>
              <w:rPr/>
            </w:pPr>
            <w:r>
              <w:rPr/>
              <w:t>NATHAN YEE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495" w:type="dxa"/>
            <w:tcBorders/>
            <w:vAlign w:val="center"/>
          </w:tcPr>
          <w:p>
            <w:pPr>
              <w:pStyle w:val="TableContents"/>
              <w:bidi w:val="0"/>
              <w:spacing w:before="0" w:after="283"/>
              <w:jc w:val="left"/>
              <w:rPr/>
            </w:pPr>
            <w:r>
              <w:rPr/>
              <w:t>MANAGING MEMBER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4202" w:right="0" w:hanging="1"/>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FORM OF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[attached hereto]</w:t>
      </w:r>
    </w:p>
    <w:p>
      <w:pPr>
        <w:pStyle w:val="TextBody"/>
        <w:bidi w:val="0"/>
        <w:spacing w:before="0" w:after="0"/>
        <w:ind w:left="309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Each party consents to and expressly agrees that the exclusive venue for arbitration of any dispute arising out of or relating to any of the Transaction Documents or the relationship of the parties or their affiliates shall be in Orange County, California. For purposes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means any disputes, claims, demands, causes of action, requests for injunctive relief, requests for specific performance, questions regarding severability of any provisions of the Transaction Documents,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The parties to this Agreement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hereby agree that the Claims may be arbitrated in one or more Arbitrations pursuant to these Arbitration Provisions (one for an injunction or injunctions and a separate one for all other Claims). The parties hereby agree that the arbitration provisions set forth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Arbitration Provisions</w:t>
      </w:r>
      <w:r>
        <w:rPr>
          <w:rFonts w:ascii="Times New Roman;Times;Serif" w:hAnsi="Times New Roman;Times;Serif"/>
          <w:b w:val="false"/>
          <w:i w:val="false"/>
          <w:caps w:val="false"/>
          <w:smallCaps w:val="false"/>
          <w:sz w:val="20"/>
        </w:rPr>
        <w:t>”)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These Arbitration Provisions shall also survive any termination or expiration of the Agreement. Any capitalized term not defined in these Arbitration Provisions shall have the meaning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Except as otherwise provided herein, all Claims must be submitted to arbitration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 to be conducted exclusively in Orange County, California and pursuant to the terms set forth in these Arbitration Provisions. Subject to the arbitration appeal right provided for in Paragraph 5 below (the “</w:t>
      </w:r>
      <w:r>
        <w:rPr>
          <w:rFonts w:ascii="Times New Roman;Times;Serif" w:hAnsi="Times New Roman;Times;Serif"/>
          <w:b/>
          <w:i w:val="false"/>
          <w:caps w:val="false"/>
          <w:smallCaps w:val="false"/>
          <w:sz w:val="20"/>
        </w:rPr>
        <w:t>Appeal Right</w:t>
      </w:r>
      <w:r>
        <w:rPr>
          <w:rFonts w:ascii="Times New Roman;Times;Serif" w:hAnsi="Times New Roman;Times;Serif"/>
          <w:b w:val="false"/>
          <w:i w:val="false"/>
          <w:caps w:val="false"/>
          <w:smallCaps w:val="false"/>
          <w:sz w:val="20"/>
        </w:rPr>
        <w:t>”), the parties agree that the award of the arbitrator rendered pursuant to Paragraph 4 below (the “</w:t>
      </w:r>
      <w:r>
        <w:rPr>
          <w:rFonts w:ascii="Times New Roman;Times;Serif" w:hAnsi="Times New Roman;Times;Serif"/>
          <w:b/>
          <w:i w:val="false"/>
          <w:caps w:val="false"/>
          <w:smallCaps w:val="false"/>
          <w:sz w:val="20"/>
        </w:rPr>
        <w:t>Arbitration Award</w:t>
      </w:r>
      <w:r>
        <w:rPr>
          <w:rFonts w:ascii="Times New Roman;Times;Serif" w:hAnsi="Times New Roman;Times;Serif"/>
          <w:b w:val="false"/>
          <w:i w:val="false"/>
          <w:caps w:val="false"/>
          <w:smallCaps w:val="false"/>
          <w:sz w:val="20"/>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(with respect to monetary awards) at the rate specified in the Note for Default Interest both before and after the Arbitration Award. Judgment upon the Arbitration Award will be entered and enforced by any state or federal court sitting in Orange County,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The Arbitration Act</w:t>
      </w:r>
      <w:r>
        <w:rPr>
          <w:rFonts w:ascii="Times New Roman;Times;Serif" w:hAnsi="Times New Roman;Times;Serif"/>
          <w:b w:val="false"/>
          <w:i w:val="false"/>
          <w:caps w:val="false"/>
          <w:smallCaps w:val="false"/>
          <w:sz w:val="20"/>
        </w:rPr>
        <w:t>. The parties hereby incorporate herein the provisions and procedures set forth in the California Arbitration Act, Title 9 §§ 1280-1294.4 (as amended or superseded from time to time, the “</w:t>
      </w:r>
      <w:r>
        <w:rPr>
          <w:rFonts w:ascii="Times New Roman;Times;Serif" w:hAnsi="Times New Roman;Times;Serif"/>
          <w:b/>
          <w:i w:val="false"/>
          <w:caps w:val="false"/>
          <w:smallCaps w:val="false"/>
          <w:sz w:val="20"/>
        </w:rPr>
        <w:t>Arbitration Act</w:t>
      </w:r>
      <w:r>
        <w:rPr>
          <w:rFonts w:ascii="Times New Roman;Times;Serif" w:hAnsi="Times New Roman;Times;Serif"/>
          <w:b w:val="false"/>
          <w:i w:val="false"/>
          <w:caps w:val="false"/>
          <w:smallCaps w:val="false"/>
          <w:sz w:val="20"/>
        </w:rPr>
        <w:t>”). Notwithstanding the foregoing, pursuant to, and to the maximum extent permitted by,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Arbitration Proceedings</w:t>
      </w:r>
      <w:r>
        <w:rPr>
          <w:rFonts w:ascii="Times New Roman;Times;Serif" w:hAnsi="Times New Roman;Times;Serif"/>
          <w:b w:val="false"/>
          <w:i w:val="false"/>
          <w:caps w:val="false"/>
          <w:smallCaps w:val="false"/>
          <w:sz w:val="20"/>
        </w:rPr>
        <w:t>. Arbitration between the parties will be subject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caps w:val="false"/>
          <w:smallCaps w:val="false"/>
          <w:sz w:val="20"/>
        </w:rPr>
        <w:t>Initiation of Arbitration</w:t>
      </w:r>
      <w:r>
        <w:rPr>
          <w:rFonts w:ascii="Times New Roman;Times;Serif" w:hAnsi="Times New Roman;Times;Serif"/>
          <w:b w:val="false"/>
          <w:i w:val="false"/>
          <w:caps w:val="false"/>
          <w:smallCaps w:val="false"/>
          <w:sz w:val="20"/>
        </w:rPr>
        <w:t>. The parties agree that a party may initiate Arbitration by giving written notice to the other party (“</w:t>
      </w:r>
      <w:r>
        <w:rPr>
          <w:rFonts w:ascii="Times New Roman;Times;Serif" w:hAnsi="Times New Roman;Times;Serif"/>
          <w:b/>
          <w:i w:val="false"/>
          <w:caps w:val="false"/>
          <w:smallCaps w:val="false"/>
          <w:sz w:val="20"/>
        </w:rPr>
        <w:t>Arbitration Notice</w:t>
      </w:r>
      <w:r>
        <w:rPr>
          <w:rFonts w:ascii="Times New Roman;Times;Serif" w:hAnsi="Times New Roman;Times;Serif"/>
          <w:b w:val="false"/>
          <w:i w:val="false"/>
          <w:caps w:val="false"/>
          <w:smallCaps w:val="false"/>
          <w:sz w:val="20"/>
        </w:rPr>
        <w:t xml:space="preserve">”) in the same manner that notice is permitted under Section 8(f) of the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Arbitration Notice may not be given by email or fax. Arbitration will be deemed initiated as of the date that the Arbitration Notice is deemed physically delivered to such other party under Section 8(f) of the Agreement (the “</w:t>
      </w:r>
      <w:r>
        <w:rPr>
          <w:rFonts w:ascii="Times New Roman;Times;Serif" w:hAnsi="Times New Roman;Times;Serif"/>
          <w:b/>
          <w:i w:val="false"/>
          <w:caps w:val="false"/>
          <w:smallCaps w:val="false"/>
          <w:sz w:val="20"/>
        </w:rPr>
        <w:t>Service Date</w:t>
      </w:r>
      <w:r>
        <w:rPr>
          <w:rFonts w:ascii="Times New Roman;Times;Serif" w:hAnsi="Times New Roman;Times;Serif"/>
          <w:b w:val="false"/>
          <w:i w:val="false"/>
          <w:caps w:val="false"/>
          <w:smallCaps w:val="false"/>
          <w:sz w:val="20"/>
        </w:rPr>
        <w:t>”). After the Service Date, information may be delivered, and notices may be given, by email or fax pursuant to Section 8(f) of the Agreement or any other method permitted thereunder. The Arbitration Notice must describe the nature of the controversy, the remedies sought, and the election to commence Arbitration proceedings. All Claims in the Arbitration Notice must be pleaded consistent with the California Code of Civil Procedure.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caps w:val="false"/>
          <w:smallCaps w:val="false"/>
          <w:sz w:val="20"/>
        </w:rPr>
        <w:t>Selection and Payment of Arbitrator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Service Date, Buyer shall select and submit to Company the names of four (4) arbitrators that are designated as “neutrals” or qualified arbitrators by American Arbitration Association (“AAA”) (https://www.adr.org/) or other arbitration service provider agreed upon by the parties (such four (4) designated persons hereunder are referred to herein as the “</w:t>
      </w:r>
      <w:r>
        <w:rPr>
          <w:rFonts w:ascii="Times New Roman;Times;Serif" w:hAnsi="Times New Roman;Times;Serif"/>
          <w:b/>
          <w:i w:val="false"/>
          <w:caps w:val="false"/>
          <w:smallCaps w:val="false"/>
          <w:sz w:val="20"/>
        </w:rPr>
        <w:t>Proposed Arbitrators</w:t>
      </w:r>
      <w:r>
        <w:rPr>
          <w:rFonts w:ascii="Times New Roman;Times;Serif" w:hAnsi="Times New Roman;Times;Serif"/>
          <w:b w:val="false"/>
          <w:i w:val="false"/>
          <w:caps w:val="false"/>
          <w:smallCaps w:val="false"/>
          <w:sz w:val="20"/>
        </w:rPr>
        <w:t>”). Within five (5) calendar days after Buyer has submitted to Company the names of the Proposed Arbitrators, Company must select, by written notice to Buyer, one (1) of the Proposed Arbitrators to act as the arbitrator for the parties under these Arbitration Provisions. If Company fails to select one of the Proposed Arbitrators in writing within such 5-day period, then Buyer may select the arbitrator from the Proposed Arbitrators by providing written notice of such selection to Company. The date that the Proposed Arbitrator selected pursuant to this Paragraph 4.2 agrees in writing (including via email) delivered to both parties to serve as the arbitrator hereunder is referred to herein as the “</w:t>
      </w:r>
      <w:r>
        <w:rPr>
          <w:rFonts w:ascii="Times New Roman;Times;Serif" w:hAnsi="Times New Roman;Times;Serif"/>
          <w:b/>
          <w:i w:val="false"/>
          <w:caps w:val="false"/>
          <w:smallCaps w:val="false"/>
          <w:sz w:val="20"/>
        </w:rPr>
        <w:t>Arbitration Commencement Date</w:t>
      </w:r>
      <w:r>
        <w:rPr>
          <w:rFonts w:ascii="Times New Roman;Times;Serif" w:hAnsi="Times New Roman;Times;Serif"/>
          <w:b w:val="false"/>
          <w:i w:val="false"/>
          <w:caps w:val="false"/>
          <w:smallCaps w:val="false"/>
          <w:sz w:val="20"/>
        </w:rPr>
        <w:t>”. If an arbitrator resigns or is unable to act during the Arbitration, a replacement arbitrator shall be chosen by Buyer in accordance with this Paragraph 4.2 to continue the Arbitration. If AAA or other arbitration service provider agreed upon by the parties ceases to exist or to provide a list of neutrals and there is no successor thereto, then the arbitrator shall be selected under the then prevailing rules of the American Arbitration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caps w:val="false"/>
          <w:smallCaps w:val="false"/>
          <w:sz w:val="20"/>
        </w:rPr>
        <w:t>Applicability of Certain California Rules</w:t>
      </w:r>
      <w:r>
        <w:rPr>
          <w:rFonts w:ascii="Times New Roman;Times;Serif" w:hAnsi="Times New Roman;Times;Serif"/>
          <w:b w:val="false"/>
          <w:i w:val="false"/>
          <w:caps w:val="false"/>
          <w:smallCaps w:val="false"/>
          <w:sz w:val="20"/>
        </w:rPr>
        <w:t>. The parties agree that the Arbitration shall be conducted generally in accordance with the California Code of Civil Procedure and the California Rules of Evidence. More specifically, the California Code of Civil Procedure shall apply, without limitation, to the filing of any pleadings, motions or memoranda, the conducting of discovery, and the taking of any depositions. The California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California Code of Civil Procedure or the California Rules of Evidence and these Arbitration Provisions, these Arbitration Provisions shall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caps w:val="false"/>
          <w:smallCaps w:val="false"/>
          <w:sz w:val="20"/>
        </w:rPr>
        <w:t>Answer and Default</w:t>
      </w:r>
      <w:r>
        <w:rPr>
          <w:rFonts w:ascii="Times New Roman;Times;Serif" w:hAnsi="Times New Roman;Times;Serif"/>
          <w:b w:val="false"/>
          <w:i w:val="false"/>
          <w:caps w:val="false"/>
          <w:smallCaps w:val="false"/>
          <w:sz w:val="20"/>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Discovery</w:t>
      </w:r>
      <w:r>
        <w:rPr>
          <w:rFonts w:ascii="Times New Roman;Times;Serif" w:hAnsi="Times New Roman;Times;Serif"/>
          <w:b w:val="false"/>
          <w:i w:val="false"/>
          <w:caps w:val="false"/>
          <w:smallCaps w:val="false"/>
          <w:sz w:val="20"/>
        </w:rPr>
        <w:t>. The parties agree that discovery shall be conducted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Dispositive Motions</w:t>
      </w:r>
      <w:r>
        <w:rPr>
          <w:rFonts w:ascii="Times New Roman;Times;Serif" w:hAnsi="Times New Roman;Times;Serif"/>
          <w:b w:val="false"/>
          <w:i w:val="false"/>
          <w:caps w:val="false"/>
          <w:smallCaps w:val="false"/>
          <w:sz w:val="20"/>
        </w:rPr>
        <w:t>. Each party shall have the right to submit dispositive motions pursuant to the California Code of Civil Procedure (a “</w:t>
      </w:r>
      <w:r>
        <w:rPr>
          <w:rFonts w:ascii="Times New Roman;Times;Serif" w:hAnsi="Times New Roman;Times;Serif"/>
          <w:b/>
          <w:i w:val="false"/>
          <w:caps w:val="false"/>
          <w:smallCaps w:val="false"/>
          <w:sz w:val="20"/>
        </w:rPr>
        <w:t>Dispositive Motion</w:t>
      </w:r>
      <w:r>
        <w:rPr>
          <w:rFonts w:ascii="Times New Roman;Times;Serif" w:hAnsi="Times New Roman;Times;Serif"/>
          <w:b w:val="false"/>
          <w:i w:val="false"/>
          <w:caps w:val="false"/>
          <w:smallCaps w:val="false"/>
          <w:sz w:val="20"/>
        </w:rPr>
        <w:t>”). The party submitting the Dispositive Motion may, but is not required to, deliver to the arbitrator and to the other party a memorandum in support (the “</w:t>
      </w:r>
      <w:r>
        <w:rPr>
          <w:rFonts w:ascii="Times New Roman;Times;Serif" w:hAnsi="Times New Roman;Times;Serif"/>
          <w:b/>
          <w:i w:val="false"/>
          <w:caps w:val="false"/>
          <w:smallCaps w:val="false"/>
          <w:sz w:val="20"/>
        </w:rPr>
        <w:t>Memorandum in Support</w:t>
      </w:r>
      <w:r>
        <w:rPr>
          <w:rFonts w:ascii="Times New Roman;Times;Serif" w:hAnsi="Times New Roman;Times;Serif"/>
          <w:b w:val="false"/>
          <w:i w:val="false"/>
          <w:caps w:val="false"/>
          <w:smallCaps w:val="false"/>
          <w:sz w:val="20"/>
        </w:rPr>
        <w:t>”) of the Dispositive Motion. Within seven (7) calendar days of delivery of the Memorandum in Support, the other party shall deliver to the arbitrator and to the other party a memorandum in opposition to the Memorandum in Support (the “</w:t>
      </w:r>
      <w:r>
        <w:rPr>
          <w:rFonts w:ascii="Times New Roman;Times;Serif" w:hAnsi="Times New Roman;Times;Serif"/>
          <w:b/>
          <w:i w:val="false"/>
          <w:caps w:val="false"/>
          <w:smallCaps w:val="false"/>
          <w:sz w:val="20"/>
        </w:rPr>
        <w:t>Memorandum in Opposition</w:t>
      </w:r>
      <w:r>
        <w:rPr>
          <w:rFonts w:ascii="Times New Roman;Times;Serif" w:hAnsi="Times New Roman;Times;Serif"/>
          <w:b w:val="false"/>
          <w:i w:val="false"/>
          <w:caps w:val="false"/>
          <w:smallCaps w:val="false"/>
          <w:sz w:val="20"/>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Times;Serif" w:hAnsi="Times New Roman;Times;Serif"/>
          <w:b/>
          <w:i w:val="false"/>
          <w:caps w:val="false"/>
          <w:smallCaps w:val="false"/>
          <w:sz w:val="20"/>
        </w:rPr>
        <w:t>Reply Memorandum</w:t>
      </w:r>
      <w:r>
        <w:rPr>
          <w:rFonts w:ascii="Times New Roman;Times;Serif" w:hAnsi="Times New Roman;Times;Serif"/>
          <w:b w:val="false"/>
          <w:i w:val="false"/>
          <w:caps w:val="false"/>
          <w:smallCaps w:val="false"/>
          <w:sz w:val="20"/>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caps w:val="false"/>
          <w:smallCaps w:val="false"/>
          <w:sz w:val="20"/>
        </w:rPr>
        <w:t>Authorization; Timing; Scheduling Order</w:t>
      </w:r>
      <w:r>
        <w:rPr>
          <w:rFonts w:ascii="Times New Roman;Times;Serif" w:hAnsi="Times New Roman;Times;Serif"/>
          <w:b w:val="false"/>
          <w:i w:val="false"/>
          <w:caps w:val="false"/>
          <w:smallCaps w:val="false"/>
          <w:sz w:val="20"/>
        </w:rPr>
        <w:t>. Subject to all other portions of these Arbitration Provisions, the parties hereby authorize and direct the arbitrator to take such actions and make such rulings as may be necessary to carry out the parties’ intent for the Arbitration proceedings to be efficient and expeditious. The parties hereby agree that an Arbitration Award must be made within one hundred twenty (120) calendar days after the Arbitration Commencement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caps w:val="false"/>
          <w:smallCaps w:val="false"/>
          <w:sz w:val="20"/>
        </w:rPr>
        <w:t>Relief</w:t>
      </w:r>
      <w:r>
        <w:rPr>
          <w:rFonts w:ascii="Times New Roman;Times;Serif" w:hAnsi="Times New Roman;Times;Serif"/>
          <w:b w:val="false"/>
          <w:i w:val="false"/>
          <w:caps w:val="false"/>
          <w:smallCaps w:val="false"/>
          <w:sz w:val="20"/>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Arbitration Appeal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caps w:val="false"/>
          <w:smallCaps w:val="false"/>
          <w:sz w:val="20"/>
        </w:rPr>
        <w:t xml:space="preserve">Initiation of Appeal. </w:t>
      </w:r>
      <w:r>
        <w:rPr>
          <w:rFonts w:ascii="Times New Roman;Times;Serif" w:hAnsi="Times New Roman;Times;Serif"/>
          <w:b w:val="false"/>
          <w:i w:val="false"/>
          <w:caps w:val="false"/>
          <w:smallCaps w:val="false"/>
          <w:sz w:val="20"/>
        </w:rPr>
        <w:t>Following the entry of the Arbitration Award, either party (the “</w:t>
      </w:r>
      <w:r>
        <w:rPr>
          <w:rFonts w:ascii="Times New Roman;Times;Serif" w:hAnsi="Times New Roman;Times;Serif"/>
          <w:b/>
          <w:i w:val="false"/>
          <w:caps w:val="false"/>
          <w:smallCaps w:val="false"/>
          <w:sz w:val="20"/>
        </w:rPr>
        <w:t>Appellant</w:t>
      </w:r>
      <w:r>
        <w:rPr>
          <w:rFonts w:ascii="Times New Roman;Times;Serif" w:hAnsi="Times New Roman;Times;Serif"/>
          <w:b w:val="false"/>
          <w:i w:val="false"/>
          <w:caps w:val="false"/>
          <w:smallCaps w:val="false"/>
          <w:sz w:val="20"/>
        </w:rPr>
        <w:t>”) shall have a period of thirty (30) calendar days in which to notify the other party (the “</w:t>
      </w:r>
      <w:r>
        <w:rPr>
          <w:rFonts w:ascii="Times New Roman;Times;Serif" w:hAnsi="Times New Roman;Times;Serif"/>
          <w:b/>
          <w:i w:val="false"/>
          <w:caps w:val="false"/>
          <w:smallCaps w:val="false"/>
          <w:sz w:val="20"/>
        </w:rPr>
        <w:t>Appellee</w:t>
      </w:r>
      <w:r>
        <w:rPr>
          <w:rFonts w:ascii="Times New Roman;Times;Serif" w:hAnsi="Times New Roman;Times;Serif"/>
          <w:b w:val="false"/>
          <w:i w:val="false"/>
          <w:caps w:val="false"/>
          <w:smallCaps w:val="false"/>
          <w:sz w:val="20"/>
        </w:rPr>
        <w:t>”), in writing, that the Appellant elects to appeal (the “</w:t>
      </w:r>
      <w:r>
        <w:rPr>
          <w:rFonts w:ascii="Times New Roman;Times;Serif" w:hAnsi="Times New Roman;Times;Serif"/>
          <w:b/>
          <w:i w:val="false"/>
          <w:caps w:val="false"/>
          <w:smallCaps w:val="false"/>
          <w:sz w:val="20"/>
        </w:rPr>
        <w:t>Appeal</w:t>
      </w:r>
      <w:r>
        <w:rPr>
          <w:rFonts w:ascii="Times New Roman;Times;Serif" w:hAnsi="Times New Roman;Times;Serif"/>
          <w:b w:val="false"/>
          <w:i w:val="false"/>
          <w:caps w:val="false"/>
          <w:smallCaps w:val="false"/>
          <w:sz w:val="20"/>
        </w:rPr>
        <w:t>”) the Arbitration Award (such notice, an “</w:t>
      </w:r>
      <w:r>
        <w:rPr>
          <w:rFonts w:ascii="Times New Roman;Times;Serif" w:hAnsi="Times New Roman;Times;Serif"/>
          <w:b/>
          <w:i w:val="false"/>
          <w:caps w:val="false"/>
          <w:smallCaps w:val="false"/>
          <w:sz w:val="20"/>
        </w:rPr>
        <w:t>Appeal Notice</w:t>
      </w:r>
      <w:r>
        <w:rPr>
          <w:rFonts w:ascii="Times New Roman;Times;Serif" w:hAnsi="Times New Roman;Times;Serif"/>
          <w:b w:val="false"/>
          <w:i w:val="false"/>
          <w:caps w:val="false"/>
          <w:smallCaps w:val="false"/>
          <w:sz w:val="20"/>
        </w:rPr>
        <w:t>”) to a panel of arbitrators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caps w:val="false"/>
          <w:smallCaps w:val="false"/>
          <w:sz w:val="20"/>
        </w:rPr>
        <w:t xml:space="preserve">Fees and Costs. </w:t>
      </w:r>
      <w:r>
        <w:rPr>
          <w:rFonts w:ascii="Times New Roman;Times;Serif" w:hAnsi="Times New Roman;Times;Serif"/>
          <w:b w:val="false"/>
          <w:i w:val="false"/>
          <w:caps w:val="false"/>
          <w:smallCaps w:val="false"/>
          <w:sz w:val="20"/>
        </w:rPr>
        <w:t>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Except as otherwise expressly provided for in these Arbitration Provisions, these Arbitration Provisions shall be governed by the laws of the State of Delaware without regard to the conflict of laws principles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headings of these Arbitration Provisions are for convenience of reference only and shall not form part of, or affect the interpretation of, these Arbitration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caps w:val="false"/>
          <w:smallCaps w:val="false"/>
          <w:sz w:val="20"/>
        </w:rPr>
        <w:t>Waiver</w:t>
      </w:r>
      <w:r>
        <w:rPr>
          <w:rFonts w:ascii="Times New Roman;Times;Serif" w:hAnsi="Times New Roman;Times;Serif"/>
          <w:b w:val="false"/>
          <w:i w:val="false"/>
          <w:caps w:val="false"/>
          <w:smallCaps w:val="false"/>
          <w:sz w:val="20"/>
        </w:rPr>
        <w:t>. No waiver of any provision of these Arbitration Provisions shall be effective unless it is in the form of a writing signed by the party granting the waiver.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caps w:val="false"/>
          <w:smallCaps w:val="false"/>
          <w:sz w:val="20"/>
        </w:rPr>
        <w:t>Time is of the Essence</w:t>
      </w:r>
      <w:r>
        <w:rPr>
          <w:rFonts w:ascii="Times New Roman;Times;Serif" w:hAnsi="Times New Roman;Times;Serif"/>
          <w:b w:val="false"/>
          <w:i w:val="false"/>
          <w:caps w:val="false"/>
          <w:smallCaps w:val="false"/>
          <w:sz w:val="20"/>
        </w:rPr>
        <w:t>. Time is expressly made of the essence with respect to each and every provision of these Arbitration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81" w:name="ea030132501ex10-64.htm"/>
      <w:bookmarkStart w:id="82" w:name="ksea030132501ex1064"/>
      <w:bookmarkEnd w:id="81"/>
      <w:bookmarkEnd w:id="82"/>
      <w:r>
        <w:rPr>
          <w:b/>
        </w:rPr>
        <w:t>Exhibit 10.64</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OR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3980"/>
        <w:gridCol w:w="2165"/>
      </w:tblGrid>
      <w:tr>
        <w:trPr/>
        <w:tc>
          <w:tcPr>
            <w:tcW w:w="3980" w:type="dxa"/>
            <w:tcBorders/>
            <w:vAlign w:val="center"/>
          </w:tcPr>
          <w:p>
            <w:pPr>
              <w:pStyle w:val="TableContents"/>
              <w:bidi w:val="0"/>
              <w:spacing w:before="0" w:after="283"/>
              <w:jc w:val="left"/>
              <w:rPr>
                <w:b/>
                <w:sz w:val="20"/>
              </w:rPr>
            </w:pPr>
            <w:r>
              <w:rPr>
                <w:b/>
                <w:sz w:val="20"/>
              </w:rPr>
              <w:t>Principal Amount: $111,111.00</w:t>
            </w:r>
          </w:p>
        </w:tc>
        <w:tc>
          <w:tcPr>
            <w:tcW w:w="2165" w:type="dxa"/>
            <w:tcBorders/>
            <w:vAlign w:val="center"/>
          </w:tcPr>
          <w:p>
            <w:pPr>
              <w:pStyle w:val="TableContents"/>
              <w:bidi w:val="0"/>
              <w:spacing w:before="0" w:after="283"/>
              <w:jc w:val="right"/>
              <w:rPr>
                <w:b/>
                <w:sz w:val="20"/>
              </w:rPr>
            </w:pPr>
            <w:r>
              <w:rPr>
                <w:b/>
                <w:sz w:val="20"/>
              </w:rPr>
              <w:t>Issue Date: June 22, 2026</w:t>
            </w:r>
          </w:p>
        </w:tc>
      </w:tr>
      <w:tr>
        <w:trPr/>
        <w:tc>
          <w:tcPr>
            <w:tcW w:w="3980" w:type="dxa"/>
            <w:tcBorders/>
            <w:vAlign w:val="center"/>
          </w:tcPr>
          <w:p>
            <w:pPr>
              <w:pStyle w:val="TableContents"/>
              <w:bidi w:val="0"/>
              <w:spacing w:before="0" w:after="283"/>
              <w:jc w:val="left"/>
              <w:rPr>
                <w:b/>
                <w:sz w:val="20"/>
              </w:rPr>
            </w:pPr>
            <w:r>
              <w:rPr>
                <w:b/>
                <w:sz w:val="20"/>
              </w:rPr>
              <w:t>Actual Amount of Purchase Price: $100,000.00</w:t>
            </w:r>
          </w:p>
        </w:tc>
        <w:tc>
          <w:tcPr>
            <w:tcW w:w="2165" w:type="dxa"/>
            <w:tcBorders/>
            <w:vAlign w:val="center"/>
          </w:tcPr>
          <w:p>
            <w:pPr>
              <w:pStyle w:val="TableContents"/>
              <w:bidi w:val="0"/>
              <w:spacing w:before="0" w:after="283"/>
              <w:jc w:val="left"/>
              <w:rPr/>
            </w:pPr>
            <w:r>
              <w:rPr/>
              <w:t> </w:t>
            </w:r>
          </w:p>
        </w:tc>
      </w:tr>
    </w:tbl>
    <w:p>
      <w:pPr>
        <w:pStyle w:val="TextBody"/>
        <w:bidi w:val="0"/>
        <w:spacing w:before="0" w:after="0"/>
        <w:ind w:left="248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(hereinafter called the “Borrower” or the “Company”), hereby promises to pay to the order of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(the “Holder”), in the form of lawful money of the United States of America, the principal sum of $111,111.00 (the “Principal Amount”) (subject to adjustment herein), which includes the purchase price of $100,000.00 plus an original issue discount in the amount of $11,111.00 (the “OID”), and to pay a one-time interest charge on the Principal Amount hereof at the rate of ten percent (10%) (the “Interest Rate”) (which is equal to $11,111.00 and shall be guaranteed and earned in full as of the date hereof (the “Issue Date”)), when such amounts become due and payable, whether at maturity or upon acceleration or by prepayment or otherwise, as further provided herein. The maturity date shall be twelve (12) months from the Issue Date (the “Maturity Date”), and is the date upon which the Principal Amount (which includes the OID) and any accrued and unpaid interest and other fees, shall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prepaid or repaid in whole or in part except as otherwise explicitly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Principal Amount or interest on this Note which is not paid when due shall bear interest at the rate of the lesser of (i) sixteen percent (16%) per annum and (ii) the maximum amount permitted by law from the due date thereof until the same is paid (“Default Interest”). Interest and Default Interest shall be computed on the basis of a 365-day year and the actual number of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(to the extent not converted into Class A ordinary shares of the Borrower, no par value per share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herein, and not otherwise defined, shall have the meaning ascribed thereto in that certain Securities Purchase Agreement, dated as of the Issue Date, pursuant to which this Note was originally issued (the “Purchase Agreement”). As used in this Note, the term “business day” shall mean any day other than a Saturday, Sunday or a day on which commercial banks in the city of New York, New York are authorized or required by law or executive order to remain closed. As used herein, the term “Trading Day” means any day that shares of Common Stock are listed for trading or quotation on the Principal Market (as defined in the Purchase Agreement), provided, however, that if the Common Stock is not then listed or quoted on any Principal Market, then any calendar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also apply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1.1 </w:t>
      </w:r>
      <w:r>
        <w:rPr>
          <w:u w:val="single"/>
        </w:rPr>
        <w:t>Conversion Right.</w:t>
      </w:r>
      <w:r>
        <w:rPr/>
        <w:t xml:space="preserve"> The Holder shall have the right, on any calendar day, at any time on or following the date that is one hundred eighty (180) calendar days after the Issue Date, to convert all or any portion of the then outstanding and unpaid Principal Amount and interest (including any Default Interest)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determined as provided herein (a “Conversion”), by submitting to the Borrower a Notice of Conversion (as defined in this Note) by facsimile, e-mail or other reasonable means of communication dispatched on the Conversion Date (as defined in this Note) prior to 11:59 p.m., New York, New York time; </w:t>
      </w:r>
      <w:r>
        <w:rPr>
          <w:i/>
        </w:rPr>
        <w:t>provided, however</w:t>
      </w:r>
      <w:r>
        <w:rPr/>
        <w:t xml:space="preserve">, that notwithstanding anything to the contrary contained herein, the Holder shall not have the right to convert any portion of this Note, pursuant to Section 1 or otherwise, to the extent that after giving effect to such issuance after conversion as set forth on the applicable Notice of Conversion, the Holder (together with the Holder’s affiliates (the “Affiliates”), and any other Persons (as defined below)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nonconverted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Securities Exchange Act of 1934, as amended (the “1934 Act”) and the rules and regulations promulgated thereunder, it being acknowledged by the Holder that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Section 1.1,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“Beneficial Ownership Limitation” shall be 4.99% of the number of shares of the Common Stock outstanding at the time of the respective calculation hereunder, provided, however, that the Holder may from time to time increase or decrease the Beneficial Ownership Limitation to any other percentage not in excess of 9.99% by delivering written notice of such to the Company, with such increase or decrease not effective until the sixty-first (61st) day after delivery of such written notice. “Person” and “Persons” means an individual, a limited liability company, a partnership, a joint venture, a corporation, a trust, an unincorporated organization, any other entity and any governmental entity or any department or agency thereof. The limitations contained in this paragraph shall apply to a successor holder of this Note. The number of Conversion Shares to be issued upon each conversion of this Note shall be determined by dividing the Conversion Amount (as defined below) by the applicable Conversion Price then in effect on the date specified in the notice of conversion, in the form attached hereto as </w:t>
      </w:r>
      <w:r>
        <w:rPr>
          <w:u w:val="single"/>
        </w:rPr>
        <w:t>Exhibit A</w:t>
      </w:r>
      <w:r>
        <w:rPr/>
        <w:t xml:space="preserve"> (the “Notice of Conversion”), delivered to the Borrower by the Holder in accordance with the terms of this Note; provided that the Notice of Conversion is submitted by facsimile or e-mail (or by other means resulting in, or reasonably expected to result in, notice) to the Borrower before 11:59 p.m., New York, New York time on such conversion date (the “Conversion Date”). The term “Conversion Amount” means, with respect to any conversion of this Note, the sum of (1) the Principal Amount of this Note to be converted in such conversion </w:t>
      </w:r>
      <w:r>
        <w:rPr>
          <w:u w:val="single"/>
        </w:rPr>
        <w:t>plus</w:t>
      </w:r>
      <w:r>
        <w:rPr/>
        <w:t xml:space="preserve"> (2) at the Holder’s option, accrued and unpaid interest, if any, on such Principal Amount at the Interest Rate to the Conversion Date, </w:t>
      </w:r>
      <w:r>
        <w:rPr>
          <w:u w:val="single"/>
        </w:rPr>
        <w:t>plus</w:t>
      </w:r>
      <w:r>
        <w:rPr/>
        <w:t xml:space="preserve"> (3) at the Holder’s option, Default Interest, if any, on the amounts referred to in the immediately preceding clauses (1) and/or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1.2 </w:t>
      </w:r>
      <w:r>
        <w:rPr>
          <w:u w:val="single"/>
        </w:rPr>
        <w:t>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(a) </w:t>
      </w:r>
      <w:r>
        <w:rPr>
          <w:u w:val="single"/>
        </w:rPr>
        <w:t>Calculation of Conversion Price.</w:t>
      </w:r>
      <w:r>
        <w:rPr/>
        <w:t xml:space="preserve"> The per share conversion price into which Principal Amount and interest (including any Default Interest) under this Note shall be convertible into shares of Common Stock hereunder as further described in this Note (the “Conversion Price”) shall equal the Market Price (as defined in this Note), subject to adjustment as provided in this Note. “Market Price” shall mean 75% of the lowest traded price of the Common Stock on the Principal Market during the ten (10) Trading Day period immediately preceding the respective Conversion Date, provided, however, that at all times on and after the date that an Event of Default (as defined in this Note) occurs under this Note, Market Price shall instead mean 70% of the lowest traded price of the Common Stock on the Principal Market on any Trading Day during the fifteen (15) Trading Days prior to the respective Conversion Date.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“Additional Principal”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Holder shall be entitled to deduct $1,200.00 from the conversion amount of not less than $50,000 in each Notice of Conversion to cover Holder’s fees associated with each Notice of Conversion. All such Conversion Price determinations are to be appropriately adjusted for any stock dividend, stock split, stock combination, rights offerings, reclassification or similar transaction that proportionately decreases or increases the Common Stock. If the Company, at any time while this Note is outstanding: (i) pays a stock dividend or otherwise makes a distribution or distributions payable in shares of Common Stock on shares of Common Stock or any Common Stock Equivalents,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Price shall be multiplied by a fraction of which the numerator shall be the number of shares of Common Stock (excluding any treasury shares of the Company) outstanding immediately before such event, and of which the denominator shall be the number of shares of Common Stock outstanding immediately after such event. Any adjustment made pursuant to the immediately preceding sentence shall become effective immediately after the record date for the determination of shareholders entitled to receive such dividend or distribution and shall become effective immediately after the effective date in the case of a subdivision, combination or re-classification. “Common Stock Equivalents” means any securities of the Company or the Company’s Subsidiaries (as defined in the Purchase Agreement)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1080"/>
        <w:jc w:val="both"/>
        <w:rPr/>
      </w:pPr>
      <w:r>
        <w:rPr/>
        <w:t> </w:t>
      </w:r>
    </w:p>
    <w:p>
      <w:pPr>
        <w:pStyle w:val="TextBody"/>
        <w:bidi w:val="0"/>
        <w:spacing w:before="0" w:after="0"/>
        <w:ind w:left="0" w:right="0" w:firstLine="1080"/>
        <w:jc w:val="both"/>
        <w:rPr/>
      </w:pPr>
      <w:r>
        <w:rPr/>
        <w:t>(b) </w:t>
      </w:r>
      <w:r>
        <w:rPr>
          <w:u w:val="single"/>
        </w:rPr>
        <w:t>Voluntary Adjustment By Company</w:t>
      </w:r>
      <w:r>
        <w:rPr/>
        <w:t>. Subject to the rules and regulations of the Principal Market, the Company may at any time while this Note is outstanding, with the prior written consent of the Holder, reduce the then applicable Conversion Price to any amount and for any period of time deemed appropriate by the Board of Directors of the Company. For the avoidance of doubt, the Holder shall not be required to effectuate such conversion in the event of any reduction in Conversion Price by the Company.</w:t>
      </w:r>
    </w:p>
    <w:p>
      <w:pPr>
        <w:pStyle w:val="TextBody"/>
        <w:bidi w:val="0"/>
        <w:spacing w:before="0" w:after="0"/>
        <w:ind w:left="0" w:right="0" w:firstLine="1080"/>
        <w:jc w:val="both"/>
        <w:rPr/>
      </w:pPr>
      <w:r>
        <w:rPr/>
        <w:t> </w:t>
      </w:r>
    </w:p>
    <w:p>
      <w:pPr>
        <w:pStyle w:val="TextBody"/>
        <w:bidi w:val="0"/>
        <w:spacing w:before="0" w:after="0"/>
        <w:ind w:left="0" w:right="0" w:firstLine="720"/>
        <w:jc w:val="both"/>
        <w:rPr/>
      </w:pPr>
      <w:r>
        <w:rPr/>
        <w:t>1.3 </w:t>
      </w:r>
      <w:r>
        <w:rPr>
          <w:u w:val="single"/>
        </w:rPr>
        <w:t>Authorized and Reserved Shares.</w:t>
      </w:r>
      <w:r>
        <w:rPr/>
        <w:t xml:space="preserve"> The Borrower shall use commercially reasonable endeavors to ensure that at all times beginning on the Issue Date and continuing until the Note is extinguished in the entirety, the Borrower will reserve from its authorized and unissued Common Stock a sufficient number of shares, free from preemptive rights, to provide for the issuance of a number of Conversion Shares equal to the greater of: (a) 1,000,000 shares of Common Stock or (b) the sum of (i) the number of Conversion Shares issuable upon the full conversion of this Note at a conversion price equal to the Conversion Price (assuming no payment of Principal Amount or interest) </w:t>
      </w:r>
      <w:r>
        <w:rPr>
          <w:u w:val="single"/>
        </w:rPr>
        <w:t>multiplied by</w:t>
      </w:r>
      <w:r>
        <w:rPr/>
        <w:t xml:space="preserve"> (ii) three (3) (the “Reserved Amount”). For the avoidance of doubt, the Reserved Amount shall be required to be reserved by the Borrower pursuant to this Section even if the Note is not yet convertible into Common Stock by the Holder under Section 1.1 of this Note. The Borrower represents that upon issuance, the Conversion Shares will be duly and validly issued, fully paid, as applicable, and non-assessable. The Borrower (i) acknowledges that it has irrevocably instructed its transfer agent to issue certificates for the Conversion Shares or instructions to have the Conversion Shares issued as contemplated by Section 1.4(e) hereof, and (ii) agrees that its issuance of this Note shall constitute full authority to its officers and agents who are charged with the duty of executing stock certificates or cause the Company to electronically issue shares of Common Stock to execute and issue the necessary certificates for the Conversion Shares or cause the Conversion Shares to be issued as contemplated by Section 1.4(e) hereof in accordance with the terms and conditions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1.4 </w:t>
      </w:r>
      <w:r>
        <w:rPr>
          <w:u w:val="single"/>
        </w:rPr>
        <w:t>Method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(a) </w:t>
      </w:r>
      <w:r>
        <w:rPr>
          <w:u w:val="single"/>
        </w:rPr>
        <w:t>Surrender of Note Upon Conversion.</w:t>
      </w:r>
      <w:r>
        <w:rPr/>
        <w:t xml:space="preserve"> Notwithstanding anything to the contrary set forth herein, upon conversion of this Note in accordance with the terms hereof, the Holder shall not be required to physically surrender this Note to the Borrower unless the entire unpaid Principal Amount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i/>
        </w:rPr>
        <w:t xml:space="preserve">prima facie, </w:t>
      </w:r>
      <w:r>
        <w:rPr/>
        <w:t>be controlling and determinative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(b) </w:t>
      </w:r>
      <w:r>
        <w:rPr>
          <w:u w:val="single"/>
        </w:rPr>
        <w:t>Payment of Taxes</w:t>
      </w:r>
      <w:r>
        <w:rPr/>
        <w:t>. The Borrower shall not be required to pay any tax which may be payable in respect of any transfer involved in the issue and delivery of shares of Common Stock or other securities or property on conversion of this Note in a name other than that of the Holder (or in street name), and the Borrower shall not be required to issue or deliver any such shares or other securities or property unless and until the person or persons (other than the Holder or the custodian in whose street name such shares are to be held for the Holder’s account) requesting the issuance thereof shall have paid to the Borrower the amount of any such tax or shall have established to the satisfaction of the Borrower that such tax has been paid.</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1080"/>
        <w:jc w:val="both"/>
        <w:rPr/>
      </w:pPr>
      <w:r>
        <w:rPr/>
        <w:t>(c) </w:t>
      </w:r>
      <w:r>
        <w:rPr>
          <w:u w:val="single"/>
        </w:rPr>
        <w:t>Delivery of Common Stock Upon Conversion</w:t>
      </w:r>
      <w:r>
        <w:rPr/>
        <w:t>. Upon receipt by the Borrower from the Holder of an e-mail (or other reasonable means of communication) of a Notice of Conversion meeting the requirements for conversion as provided in this Section 1.4, the Borrower shall issue and deliver or cause to be issued and delivered to or upon the order of the Holder certificates for the Conversion Shares (or cause the electronic delivery of the Conversion Shares as contemplated by Section 1.4(e) hereof) within one (1) Trading Day after such receipt (the “Deadline”) (and, solely in the case of conversion of the entire unpaid Principal Amount and interest (including any Default Interest) under this Note, surrender of this Note). If the Company shall fail for any reason or for no reason to issue to the Holder on or prior to the Deadline a certificate for the number of Conversion Shares or to which the Holder is entitled hereunder and register such Conversion Shares on the Company’s share register or to credit the Holder’s balance account with DTC (as defined below) for such number of Conversion Shares to which the Holder is entitled upon the Holder’s conversion of this Note (a “Conversion Failure”), then, in addition to all other remedies available to the Holder, (i) the Company shall pay in cash to the Holder on each day after the Deadline and during such Conversion Failure an amount equal to 2.0% of the product of (A) the sum of the number of Conversion Shares not issued to the Holder on or prior to the Deadline and to which the Holder is entitled and (B) the closing sale price of the Common Stock on the Trading Day immediately preceding the last possible date which the Company could have issued such Conversion Shares to the Holder without violating this Section 1.4(c); and (ii) the Holder, upon written notice to the Company, may void all or any portion of such Notice of Conversion; provided that the voiding of all or any portion of a Notice of Conversion shall not affect the Company’s obligations to make any payments which have accrued prior to the date of such notice. In addition to the foregoing, if on or prior to the Deadline the Company shall fail to issue and deliver a certificate to the Holder and register such Conversion Shares on the Company’s share register or credit the Holder’s balance account with DTC for the number of Conversion Shares to which the Holder is entitled upon the Holder’s exercise hereunder or pursuant to the Company’s obligation pursuant to clause (ii) below, and if on or after such Trading Day the Holder purchases (in an open market transaction or otherwise) shares of Common Stock to deliver in satisfaction of a sale by the Holder of shares of Common Stock issuable upon such exercise that the Holder anticipated receiving from the Company, then the Company shall, within two (2) Trading Days after the Holder’s request and in the Holder’s discretion, either (i) pay cash to the Holder in an amount equal to the Holder’s total purchase price (including brokerage commissions and other reasonable and customary out-of-pocket expenses, if any) for the shares of Common Stock so purchased (the “Buy-In Price”), at which point the Company’s obligation to deliver such certificate (and to issue such Conversion Shares) or credit such Holder’s balance account with DTC for such Conversion Shares shall terminate, or (ii) promptly honor its obligation to deliver to the Holder a certificate or certificates representing such Conversion Shares or credit such Holder’s balance account with DTC and pay cash to the Holder in an amount equal to the excess (if any) of the Buy-In Price over the product of (A) such number of shares of Common Stock, times (B) the closing sales price of the Common Stock on the date of exercise.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Conversion Shares (or to electronically deliver such Conversion Shares) upon the conversion of this Note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(d) </w:t>
      </w:r>
      <w:r>
        <w:rPr>
          <w:u w:val="single"/>
        </w:rPr>
        <w:t>Obligation of Borrower to Deliver Common Stock.</w:t>
      </w:r>
      <w:r>
        <w:rPr/>
        <w:t xml:space="preserve"> At the time that the Holder submits the Notice of Conversion to the Borrower, the Holder shall be deemed to be the holder of record of the Conversion Shares issuable upon such conversion, the outstanding Principal Amount and the amount of accrued and unpaid interest (including any Default Interest) under this Note shall be reduced to reflect such conversion, and, unless the Borrower defaults on its obligations under this Article I,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the Conversion Shares (or cause the electronic delivery of the Conversion Shares as contemplated by Section 1.4(e) hereof)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sent to the Borrower before 11:59 p.m., New York, New York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(e) </w:t>
      </w:r>
      <w:r>
        <w:rPr>
          <w:u w:val="single"/>
        </w:rPr>
        <w:t>Delivery of Conversion Shares by Electronic Transfer</w:t>
      </w:r>
      <w:r>
        <w:rPr/>
        <w:t>. In lieu of delivering physical certificates representing the Conversion Shares issuable upon conversion hereof, provided the Borrower is participating in the Depository Trust Company (“DTC”) Fast Automated Securities Transfer or Deposit/Withdrawal at Custodian programs, upon request of the Holder and its compliance with the provisions contained in Section 1.1 and in this Section 1.4, the Borrower shall use its best efforts to cause its transfer agent to electronically transmit the Conversion Shares issuable upon conversion hereof to the Holder by crediting the account of Holder’s Prime Broker with DTC through its Deposit Withdrawal Agent Commission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1.5 </w:t>
      </w:r>
      <w:r>
        <w:rPr>
          <w:u w:val="single"/>
        </w:rPr>
        <w:t>Concerning the Shares</w:t>
      </w:r>
      <w:r>
        <w:rPr/>
        <w:t>. The Conversion Shares issuable upon conversion of this Note may not be sold or transferred unless (i) such shares are sold pursuant to an effective registration statement under the 1933 Act or (ii) the Borrower or its transfer agent shall have been furnished with an opinion of counsel (which opinion shall be the Legal Counsel Opinion (as defined in the Purchase Agreement)) to the effect that the shares to be sold or transferred may be sold or transferred pursuant to an exemption from such registration or (iii) such shares are sold or transferred pursuant to Rule 144, Rule 144A, Regulation S, or other applicable exemption, or (iv) such shares are transferred to an “affiliate” (as defined in Rule 144) of the Borrower who agrees to sell or otherwise transfer the shares only in accordance with this Section 1.5 and who is an Accredited Investor (as defined in the Purchase Agreement). Except as otherwise provided in the Purchase Agreement (and subject to the removal provisions set forth below), until such time as the Conversion Shares have been registered under the 1933 Act or otherwise may be sold pursuant to Rule 144, Rule 144A, Regulation S, or other applicable exemption without any restriction as to the number of securities as of a particular date that can then be immediately sold, each certificate for the Conversion Shares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to the Holder a certificate for the applicable Conversion Shares without such legend upon which it is stamped or (as requested by the Holder) issue the applicable Conversion Shares by electronic delivery by crediting the account of such holder’s broker with DTC, if, unless otherwise required by applicable state securities laws: (a) such Conversion Shares are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Holder provides the Legal Counsel Opinion (as contemplated by and in accordance with Section 4(l) of the Purchase Agreement) to the effect that a public sale or transfer of such Conversion Shares may be made without registration under the 1933 Act, which opinion shall be accepted by the Company so that the sale or transfer is effected. The Company shall be responsible for the fees of its transfer agent and all DTC fees associated with any such issuance. The Holder agrees to sell all Conversion Shares, including those represented by a certificate(s) from which the legend has been removed, in compliance with applicable prospectus delivery requirements, if any. In the event that the Company does not accept the opinion of counsel provided by the Holder with respect to the transfer of Conversion Shares pursuant to an exemption from registration, such as Rule 144, Rule 144A, Regulation S, or other applicable exemption, at the Deadline, notwithstanding that the conditions of Rule 144, Rule 144A, Regulation S, or other applicable exemption, as applicable, have been met, it will be considered an Event of Default under this Note.</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29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At the option of the Holder, the sale, conveyance or disposition of all or substantially all of the assets of the Borrower, or the consolidation, merger or other business combination of the Borrower with or into any other Person (as defined below) or Persons when the Borrower is not the survivor shall be treated pursuant to Section 1.6(b) hereof. “Person” shall mean any individual, corporation, limited liability company, partnership, association, trust or other entity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this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(each a “Fundamental Transaction”),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effectuate any transaction described in this Section 1.6(b) unless (a) it first gives, to the extent practicable, at least twenty (20) days prior written notice (but in any event at least ten (10)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(b) the resulting successor or acquiring entity (if not the Borrower) assumes by written instrument the obligations of this Section 1.6(b), and (c) the resulting successor or acquiring entity (if not the Borrower) is a publicly traded corporation whose common stock is listed for trading or quotation on any tier of the NASDAQ Stock Market, the New York Stock Exchange or the NYSE American. The above provisions shall similarly apply to successive consolidations, mergers, sales, transfers or share exchanges.</w:t>
      </w:r>
    </w:p>
    <w:p>
      <w:pPr>
        <w:pStyle w:val="TextBody"/>
        <w:bidi w:val="0"/>
        <w:spacing w:before="0" w:after="0"/>
        <w:ind w:left="246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xml:space="preserve"> If the Borrower shall declare or make any distribution of its assets (or rights to acquire its assets) to holders of Common Stock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shareholders entitled to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If, at any time when all or any portion of this Note is issued and outstanding, the Borrower issues any convertible securities or rights to purchase stock, warrants, securities or other property (the “Purchase Rights”)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Section 1.6 of this Note, the Borrower shall, at its expense and within one (1) calendar day after the occurrence of each respective adjustment or readjustment of the Conversion Price, compute such adjustment or readjustment and prepare and furnish to the Holder a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In addition, the Borrower shall, within one (1) calendar day after each written request from the Holder, furnish to such Holder a like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For the avoidance of doubt, each adjustment or readjustment of the Conversion Price as a result of the events described in Section 1.6 of this Note shall occur without any action by the Holder and regardless of whether the Borrower complied with the notification provisions in Section 1.6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the Holder, (i) the Conversion Shares covered thereby shall be deemed converted into shares of Common Stock and (ii) the Holder’s rights as the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the Holder has not received certificates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the Note has not been surrendered, adjust its records to reflect that such portion of this Note has not been converted. In all cases, the Holder shall retain all of its rights and remedies for the Borrower’s failure to convert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At any time prior to the date that an Event of Default occurs under this Note, the Borrower shall have the right, exercisable on three (3) Trading Days prior written notice to the Holder of the Note, to prepay the outstanding Principal Amount and interest then due under this Note in accordance with this Section 1.8. Any notice of prepayment hereunder (an “Optional Prepayment Notice”) shall be delivered to the Holder of the Note at its registered addresses and shall state: (1) that the Borrower is exercising its right to prepay the Note, and (2) the date of prepayment which shall be three (3) Trading Days from the date of the Optional Prepayment Notice (the “Optional Prepayment Date”). The Holder shall have the right, during the period beginning on the date of Holder’s receipt of the Optional Prepayment Notice and until the Holder’s actual receipt of the full prepayment amount on the Optional Prepayment Date, to instead convert all or any portion of the Note pursuant to the terms of this Note, including the amount of this Note to be prepaid by the Borrower in accordance with this Section 1.8, even if the Note is not yet convertible into Common Stock by the Holder under Section 1.1 of this Note. On the Optional Prepayment Date, the Borrower shall make payment of the amounts designated below to or upon the order of the Holder as specified by the Holder in writing to the Borrower. If the Borrower exercises its right to prepay the Note in accordance with this Section 1.8, the Borrower shall make payment to the Holder of an amount in cash equal to the sum of: (w) the prepayment percentage set forth in the table immediately following this paragraph for the applicable prepayment period set forth in the table immediately following this paragraph (“Prepayment Percentage”) multiplied by the Principal Amount then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the Prepayment Percentage multiplied by the accrued and unpaid interest on the Principal Amount to the Optional Prepayment Date.</w:t>
      </w:r>
    </w:p>
    <w:p>
      <w:pPr>
        <w:pStyle w:val="TextBody"/>
        <w:bidi w:val="0"/>
        <w:spacing w:before="0" w:after="0"/>
        <w:ind w:left="1739" w:right="0" w:hanging="0"/>
        <w:jc w:val="both"/>
        <w:rPr>
          <w:caps w:val="false"/>
          <w:smallCaps w:val="false"/>
        </w:rPr>
      </w:pPr>
      <w:r>
        <w:rPr>
          <w:caps w:val="false"/>
          <w:smallCaps w:val="false"/>
        </w:rPr>
        <w:t> </w:t>
      </w:r>
    </w:p>
    <w:tbl>
      <w:tblPr>
        <w:tblW w:w="10205" w:type="dxa"/>
        <w:jc w:val="left"/>
        <w:tblInd w:w="-10" w:type="dxa"/>
        <w:tblLayout w:type="fixed"/>
        <w:tblCellMar>
          <w:top w:w="60" w:type="dxa"/>
          <w:left w:w="60" w:type="dxa"/>
          <w:bottom w:w="0" w:type="dxa"/>
          <w:right w:w="60" w:type="dxa"/>
        </w:tblCellMar>
      </w:tblPr>
      <w:tblGrid>
        <w:gridCol w:w="192"/>
        <w:gridCol w:w="8269"/>
        <w:gridCol w:w="1744"/>
      </w:tblGrid>
      <w:tr>
        <w:trPr/>
        <w:tc>
          <w:tcPr>
            <w:tcW w:w="192"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firstLine="60"/>
              <w:jc w:val="left"/>
              <w:rPr/>
            </w:pPr>
            <w:r>
              <w:rPr/>
              <w:t> </w:t>
            </w:r>
          </w:p>
        </w:tc>
        <w:tc>
          <w:tcPr>
            <w:tcW w:w="8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b/>
              </w:rPr>
            </w:pPr>
            <w:r>
              <w:rPr>
                <w:b/>
              </w:rPr>
              <w:t>Prepayment Period</w:t>
            </w:r>
          </w:p>
        </w:tc>
        <w:tc>
          <w:tcPr>
            <w:tcW w:w="1744"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firstLine="60"/>
              <w:jc w:val="center"/>
              <w:rPr>
                <w:b/>
                <w:sz w:val="20"/>
              </w:rPr>
            </w:pPr>
            <w:r>
              <w:rPr>
                <w:b/>
                <w:sz w:val="20"/>
              </w:rPr>
              <w:t>Prepayment Percentage</w:t>
            </w:r>
          </w:p>
        </w:tc>
      </w:tr>
      <w:tr>
        <w:trPr/>
        <w:tc>
          <w:tcPr>
            <w:tcW w:w="192"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b/>
              </w:rPr>
            </w:pPr>
            <w:r>
              <w:rPr>
                <w:b/>
              </w:rPr>
              <w:t>1.</w:t>
            </w:r>
          </w:p>
        </w:tc>
        <w:tc>
          <w:tcPr>
            <w:tcW w:w="826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ind w:left="0" w:right="0" w:firstLine="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Issue Date and continuing through the date that is 90 calendar days after the Issue Date</w:t>
            </w:r>
          </w:p>
        </w:tc>
        <w:tc>
          <w:tcPr>
            <w:tcW w:w="1744"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ind w:left="0" w:right="0" w:firstLine="60"/>
              <w:jc w:val="center"/>
              <w:rPr>
                <w:b w:val="false"/>
                <w:i w:val="false"/>
                <w:caps w:val="false"/>
                <w:smallCaps w:val="false"/>
                <w:sz w:val="20"/>
              </w:rPr>
            </w:pPr>
            <w:r>
              <w:rPr>
                <w:b w:val="false"/>
                <w:i w:val="false"/>
                <w:caps w:val="false"/>
                <w:smallCaps w:val="false"/>
                <w:sz w:val="20"/>
              </w:rPr>
              <w:t>120%</w:t>
            </w:r>
          </w:p>
        </w:tc>
      </w:tr>
      <w:tr>
        <w:trPr/>
        <w:tc>
          <w:tcPr>
            <w:tcW w:w="192"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b/>
                <w:sz w:val="20"/>
              </w:rPr>
            </w:pPr>
            <w:r>
              <w:rPr>
                <w:b/>
                <w:sz w:val="20"/>
              </w:rPr>
              <w:t>2.</w:t>
            </w:r>
          </w:p>
        </w:tc>
        <w:tc>
          <w:tcPr>
            <w:tcW w:w="826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ind w:left="0" w:right="0" w:firstLine="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date that is 91 calendar days after the Issue Date and continuing until the date that an Event of Default occurs under this Note</w:t>
            </w:r>
          </w:p>
        </w:tc>
        <w:tc>
          <w:tcPr>
            <w:tcW w:w="1744"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bl>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RANKING AND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This Note shall be an unsecured obligation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Distributions on Capital Stock.</w:t>
      </w:r>
      <w:r>
        <w:rPr>
          <w:rFonts w:ascii="Times New Roman;Times;Serif" w:hAnsi="Times New Roman;Times;Serif"/>
          <w:b w:val="false"/>
          <w:i w:val="false"/>
          <w:caps w:val="false"/>
          <w:smallCaps w:val="false"/>
          <w:sz w:val="20"/>
        </w:rPr>
        <w:t xml:space="preserve"> So long as the Borrower shall have any obligation under this Note, the Borrower shall not without the Holder’s written consent (a) pay, declare or set apart for such payment, any dividend or other distribution (whether in cash, property or other securities) on shares of capital stock other than dividends on shares of Common Stock solely in the form of additional shares of Common Stock or (b) directly or indirectly or through any subsidiary make any other payment or distribution in respect of its capital stock except for distributions pursuant to any shareholders’ rights plan which is approved by a majority of the Borrower’s disinterested directors.</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Holder’s prior written consent, which consent shall not be unreasonably withheld or delayed, sell, divest, acquire, or dispose of all or substantially all of its assets other than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considered an event of default if any of the following events listed in this Article III (each, an “Event of Default”) shall occur on or after the Issue Date, subject, in each case (except Section 3.2 under this Note), to a five (5) business day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xml:space="preserve"> The Borrower fails to pay the Principal Amount hereof or interest thereon when due on this Note, whether at maturity, upon acceleration or otherwise, or fails to fully comply with Section 1.10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xml:space="preserve"> The Borrower (i) fails to issue Conversion Shares to the Holder (or announces or threatens in writing that it will not honor its obligation to do so) upon exercise by the Holder of the conversion rights of the Holder in accordance with the terms of this Note, (ii) fails to transfer or cause its transfer agent to transfer (issue) (electronically or in certificated form) any certificate for the Conversion Shares issuable to the Holder upon conversion of or otherwise pursuant to this Note as and when required by this Note, (iii) fails to reserve the Reserved Amount at all times, (iv) the Borrower directs its transfer agent not to transfer or delays, impairs, and/or hinders its transfer agent in transferring (or issuing) (electronically or in certificated form) any certificate for the Conversion Shares issuable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Conversion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Trading Days after the Holder shall have delivered a Notice of Conversion, and/or (v) fails to remain current in its obligations to its transfer agent (including but not limited to payment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added to the principal balance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Breach of Agreements and Covenants.</w:t>
      </w:r>
      <w:r>
        <w:rPr>
          <w:rFonts w:ascii="Times New Roman;Times;Serif" w:hAnsi="Times New Roman;Times;Serif"/>
          <w:b w:val="false"/>
          <w:i w:val="false"/>
          <w:caps w:val="false"/>
          <w:smallCaps w:val="false"/>
          <w:sz w:val="20"/>
        </w:rPr>
        <w:t xml:space="preserve"> The Borrower breaches any covenant, agreement, or other term or condition contained in the Purchase Agreement, this Note, Irrevocable Transfer Agent Instructions, or in any agreement, statement or certificate given in writing pursuant hereto or in connection herewith or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xml:space="preserve"> Any representation or warranty of the Borrower made in the Purchase Agreement, this Note, Irrevocable Transfer Agent Instructions, or in any agreement, statement or certificate given in writing pursuant hereto or in connection herewith or therewith shall be false or misleading in any material respect when made.</w:t>
      </w:r>
    </w:p>
    <w:p>
      <w:pPr>
        <w:pStyle w:val="TextBody"/>
        <w:bidi w:val="0"/>
        <w:spacing w:before="0" w:after="0"/>
        <w:ind w:left="0" w:right="0" w:firstLine="206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xml:space="preserv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xml:space="preserve"> Any money judgment, writ or similar process shall be entered or filed against the Borrower or any subsidiary of the Borrower or any of its property or other assets for more than $100,000, and shall remain unvacated, unbonded or unstayed for a period of twenty (20) days unless otherwise consented to by the Holder, which consent will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Failure to Comply with the 1934 Act.</w:t>
      </w:r>
      <w:r>
        <w:rPr>
          <w:rFonts w:ascii="Times New Roman;Times;Serif" w:hAnsi="Times New Roman;Times;Serif"/>
          <w:b w:val="false"/>
          <w:i w:val="false"/>
          <w:caps w:val="false"/>
          <w:smallCaps w:val="false"/>
          <w:sz w:val="20"/>
        </w:rPr>
        <w:t xml:space="preserve"> At any time after the Issue Date, the Borrower shall fail to comply with the reporting requirements of the 1934 Act and/or the Borrower shall cease to be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xml:space="preserve"> Any dissolution, liquidation, or winding up of Borrower or any substantial portion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xml:space="preserve">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xml:space="preserve"> The failure by Borrower to maintain any material intellectual property rights, personal, real property or other assets which are necessary to conduct its business (whether now or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xml:space="preserve">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actual transmittal, conveyance, or disclosure by the Borrower or its officers, directors, and/or affiliates of, material non-public information concerning the Borrower, to the Holder or its successors and assigns, which is not cured by Borrower’s filing of a Form 6-K pursuant to Regulation FD.</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Unavailability of Rule 144</w:t>
      </w:r>
      <w:r>
        <w:rPr>
          <w:rFonts w:ascii="Times New Roman;Times;Serif" w:hAnsi="Times New Roman;Times;Serif"/>
          <w:b w:val="false"/>
          <w:i w:val="false"/>
          <w:caps w:val="false"/>
          <w:smallCaps w:val="false"/>
          <w:sz w:val="20"/>
        </w:rPr>
        <w:t>. If, at any time on or after the date that is six (6) calendar months after the Issue Date, the Holder is unable to (i) obtain a standard “144 legal opinion letter” from an attorney reasonably acceptable to the Borrower’s transfer agent in order to facilitate the Holder’s conversion of any portion of the Note into free trading shares of the Borrower’s Common Stock pursuant to Rule 144, and/or (ii) thereupon deposit such shares into the Holder’s brokerage account.</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Delisting, Suspension, or Quotation of Trading of Common Stock</w:t>
      </w:r>
      <w:r>
        <w:rPr>
          <w:rFonts w:ascii="Times New Roman;Times;Serif" w:hAnsi="Times New Roman;Times;Serif"/>
          <w:b w:val="false"/>
          <w:i w:val="false"/>
          <w:caps w:val="false"/>
          <w:smallCaps w:val="false"/>
          <w:sz w:val="20"/>
        </w:rPr>
        <w:t>. If, at any time on or after the Issue Date, the Borrower’s Common Stock (i) is suspended from trading, (ii) halted from trading, and/or (iii) fails to be listed or quoted on a Principal Market.</w:t>
      </w:r>
    </w:p>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Rights and Remedies Upon an Event of Default</w:t>
      </w:r>
      <w:r>
        <w:rPr>
          <w:rFonts w:ascii="Times New Roman;Times;Serif" w:hAnsi="Times New Roman;Times;Serif"/>
          <w:b w:val="false"/>
          <w:i w:val="false"/>
          <w:caps w:val="false"/>
          <w:smallCaps w:val="false"/>
          <w:sz w:val="20"/>
        </w:rPr>
        <w:t>. Upon the occurrence of any Event of Default specified in this Article III, this Note shall become immediately due and payable, and the Borrower shall pay to the Holder, in full satisfaction of its obligations hereunder, an amount equal to the Principal Amount then outstanding plus accrued interest (including any Default Interest) through the date of full repayment multiplied by 150% (collectively the “Default Amount”), as well as all costs, including, without limitation, legal fees and expenses, of collection, all without demand, presentment or notice, all of which hereby are expressly waived by the Borrower. Holder may, in Holder’s sole discretion, convert all or any portion of this Note (including the Default Amount) into Common Stock pursuant to the terms of this Note (for the avoidance of doubt, this shall apply even if such conversion occurs after the Maturity Date). The Holder shall be entitled to exercise all other rights and remedies available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Holder existing hereunder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1307"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587"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Note and any provision hereof may only be amended by an instrument in writing signed by the Borrower and the Holder. The term “Note” and all reference thereto, as used throughout this instrument, shall mean this instrument as originally executed, or if later amended or supplemented, then as so amended or supplemented.</w:t>
      </w:r>
    </w:p>
    <w:p>
      <w:pPr>
        <w:pStyle w:val="TextBody"/>
        <w:bidi w:val="0"/>
        <w:spacing w:before="0" w:after="0"/>
        <w:ind w:left="360" w:right="0" w:firstLine="135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The Borrower shall not assign this Note or any rights or obligations hereunder without the prior written consent of the Holder. The Holder may assign its rights hereunder to any “accredited investor” (as defined in Rule 501(a) of the 1933 Act) in a private transaction from the Holder or to any of its “affiliates”, as that term is defined under the 1934 Act, without the consent of the Borrower.</w:t>
      </w:r>
    </w:p>
    <w:p>
      <w:pPr>
        <w:pStyle w:val="TextBody"/>
        <w:bidi w:val="0"/>
        <w:spacing w:before="0" w:after="0"/>
        <w:ind w:left="360" w:right="0" w:firstLine="135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xml:space="preserve">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Arbitration of Claims; Governing Law; Venue; Attorney’s Fees.</w:t>
      </w:r>
      <w:r>
        <w:rPr>
          <w:rFonts w:ascii="Times New Roman;Times;Serif" w:hAnsi="Times New Roman;Times;Serif"/>
          <w:b w:val="false"/>
          <w:i w:val="false"/>
          <w:caps w:val="false"/>
          <w:smallCaps w:val="false"/>
          <w:sz w:val="20"/>
        </w:rPr>
        <w:t xml:space="preserve"> The Company and Holder shall submit all Claims (as defined in Exhibit B of the Purchase Agreement) (the “Claims”) arising under this Note or any other agreement between the parties and their affiliates or any Claim relating to the relationship of the parties to binding arbitration pursuant to the arbitration provisions set forth in Exhibit B of the Purchase Agreement (the “Arbitration Provisions”). The Company and Holder hereby acknowledge and agree that the Arbitration Provisions are unconditionally binding on the Company and Holder hereto and are severable from all other provisions of this Note. By executing this Note,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The Company acknowledges and agrees that Holder may rely upon the foregoing representations and covenants of the Company regarding the Arbitration Provisions.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Holder consent to and expressly agree that the exclusive venue for arbitration of any Claims arising under this Note or any other agreement between the Company and Holder or their respective affiliates (including but not limited to the Transaction Documents) or any Claim relating to the relationship of the Company and Holder or their respective affiliates shall be in Orange County, California. Without modifying the Company’s and Holder’s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(as defined in the Purchase Agreement) or otherwise related to Holder in any way (specifically including, without limitation, any action where Company seeks to obtain an injunction, temporary restraining order, or otherwise prohibit the Company’s transfer agent from issuing shares of Common Stock to Holder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Holder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Holder to realize on any collateral or any other security, or to enforce a judgment or other court ruling in favor of the Holder,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NOTE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Note or any other agreement, certificate, instrument or document contemplated hereby or thereby by mailing a copy thereof via registered or certified mail or overnight delivery (with evidence of delivery) to Company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Note or any other agreement, certificate, instrument or document contemplated hereby or thereby shall be entitled to recover from the other party its reasonable attorney’s fees and costs. If any provision of this Note shall be invalid or unenforceable in any jurisdiction, such invalidity or unenforceability shall not affect the validity or enforceability of the remainder of this Note in that jurisdiction or the validity or enforceability of any provision of this Note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xml:space="preserve"> Whenever pursuant to this Note the Borrower is required to pay an amount in excess of the outstanding Principal Amount (or the portion thereof required to be paid at that time) plus accrued and unpaid interest plus Default Interest on such interest, the Borrower and the Holder agree that the actual damages to the Holder from the receipt of cash payment on this Note may be difficult to determine and the amount to be so paid by the Borrower represents stipulated damages and not a penalty and is intended to compensate the Holder in part for loss of the opportunity to convert this Note and to earn a return from the sale of shares of Common Stock acquired upon conversion of this Note at a price in excess of the price paid for such shares pursuant to this Note. The Borrower and the Holder hereby agree that such amount of stipulated damages is not plainly disproportionate to the possible loss to the Holder from the receipt of a cash payment without the opportunity to convert this Note into shares of Common Stock.</w:t>
      </w:r>
    </w:p>
    <w:p>
      <w:pPr>
        <w:pStyle w:val="TextBody"/>
        <w:bidi w:val="0"/>
        <w:spacing w:before="0" w:after="0"/>
        <w:ind w:left="36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xml:space="preserve"> The Company and the Holder shall be bound by the applicable terms of the Purchase Agreement, and the Transaction Documents entered into in connection herewith and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all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Holder in order to enforce any right or remedy under this Note. Notwithstanding any provision to the contrary contained in this Note, it is expressly agreed and provided that the total liability of the Company under this Note for payments which under the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the applicable law in the nature of interest that the Company may be obligated to pay under this Note exceed such Maximum Rate. It is agreed that if the maximum contract rate of interest allowed by applicable law and applicable to this Note is increased or decreased by statute or any official governmental action subsequent to the Issue Date, the new maximum contract rate of interest allowed by law will be the Maximum Rate applicable to this Note from the effective date thereof forward, unless such application is precluded by applicable law. If under any circumstances whatsoever, interest in excess of the Maximum Rate is paid by the Company to the Holder with respect to indebtedness evidenced by this the Note, such excess shall be applied by the Holder to the unpaid principal balance of any such indebtedness or be refunded to the Company, the manner of handling such excess to be at the Holder’s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Note is invalid or unenforceable under any applicable statute or rule of law (including any judicial ruling),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Terms of Future Financings.</w:t>
      </w:r>
      <w:r>
        <w:rPr>
          <w:rFonts w:ascii="Times New Roman;Times;Serif" w:hAnsi="Times New Roman;Times;Serif"/>
          <w:b w:val="false"/>
          <w:i w:val="false"/>
          <w:caps w:val="false"/>
          <w:smallCaps w:val="false"/>
          <w:sz w:val="20"/>
        </w:rPr>
        <w:t xml:space="preserve"> So long as this Note is outstanding, upon any issuance by the Borrower or any of its Subsidiaries of any Common Stock Equivalents, or amendment to any Common Stock Equivalents that was originally issued before the Issue Date, with any term that the Holder reasonably believes is more favorable to the holder of such security or with a term in favor of the holder of such security that the Holder reasonably believes was not similarly provided to the Holder in this Note (even if the holder of such other security does not receive the benefit of such more favorable term until a default occurs under such other security), then (i) the Borrower shall notify the Holder of such additional or more favorable term within one (1) business day of the issuance and/or amendment (as applicable) of the respective security, and (ii) such term, at Holder’s option, shall become a part of the transaction documents with the Holder (regardless of whether the Borrower complied with the notification provision of this Section 4.13). The types of terms contained in another security that may be more favorable to the holder of such security include, but are not limited to, terms addressing prepayment rate, interest rates, conversion rate, and original issue discount. Notwithstanding the foregoing, this Section 4.13 of this Note shall not apply to (i) the Borrower’s offering of equity securities pursuant to a registration statement of the Borrower; (ii) in connection with the Borrower’s acquisition of all or part of another entity by stock acquisition, merger, consolidation or other reorganization, or by the purchase of all or part of the assets of such other entity approved by the Board of Directors of the Borrower and provided that such transactions are not for the purpose of raising capital); (iii) pursuant to the issuance, vesting and/or exercise of options, warrants, restricted stock, restricted stock units or other common stock purchase rights issued (or to be issued) to employees, officers, directors, or employees of the Borrower for compensatory purposes pursuant to any stock purchase plan, stock option plan, equity incentive plan or other plan or arrangement approved by the Board of Directors of the Borrower at any time; and (iv) pursuant to the exercise or conversion of Common Stock Equivalents outstanding prior to the Issue Date so long as (a) such Common Stock Equivalents were disclosed in the SEC Documents prior to the Issue Date and (b) the terms or provisions of such Common Stock Equivalents were not altered, amended, or changed on or after the Issue Date.</w:t>
      </w:r>
    </w:p>
    <w:p>
      <w:pPr>
        <w:pStyle w:val="TextBody"/>
        <w:bidi w:val="0"/>
        <w:spacing w:before="0" w:after="0"/>
        <w:ind w:left="30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300" w:right="0" w:firstLine="71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Borrower has caused this Note to be signed in its name by its duly authorized officer on June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380"/>
        <w:gridCol w:w="2840"/>
        <w:gridCol w:w="75"/>
      </w:tblGrid>
      <w:tr>
        <w:trPr/>
        <w:tc>
          <w:tcPr>
            <w:tcW w:w="380" w:type="dxa"/>
            <w:tcBorders/>
            <w:vAlign w:val="center"/>
          </w:tcPr>
          <w:p>
            <w:pPr>
              <w:pStyle w:val="TableContents"/>
              <w:bidi w:val="0"/>
              <w:spacing w:before="0" w:after="283"/>
              <w:jc w:val="left"/>
              <w:rPr/>
            </w:pPr>
            <w:r>
              <w:rPr/>
              <w:t>By:</w:t>
            </w:r>
          </w:p>
        </w:tc>
        <w:tc>
          <w:tcPr>
            <w:tcW w:w="2840" w:type="dxa"/>
            <w:tcBorders>
              <w:bottom w:val="single" w:sz="12" w:space="0" w:color="000000"/>
            </w:tcBorders>
            <w:tcMar>
              <w:bottom w:w="28" w:type="dxa"/>
            </w:tcMar>
            <w:vAlign w:val="center"/>
          </w:tcPr>
          <w:p>
            <w:pPr>
              <w:pStyle w:val="TableContents"/>
              <w:bidi w:val="0"/>
              <w:spacing w:before="0" w:after="283"/>
              <w:jc w:val="left"/>
              <w:rPr>
                <w:caps w:val="false"/>
                <w:smallCaps w:val="false"/>
                <w:strike w:val="false"/>
                <w:dstrike w:val="false"/>
                <w:sz w:val="20"/>
                <w:u w:val="single"/>
                <w:effect w:val="none"/>
              </w:rPr>
            </w:pPr>
            <w:r>
              <w:rPr>
                <w:caps w:val="false"/>
                <w:smallCaps w:val="false"/>
                <w:strike w:val="false"/>
                <w:dstrike w:val="false"/>
                <w:sz w:val="20"/>
                <w:u w:val="single"/>
                <w:effect w:val="none"/>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sz w:val="20"/>
              </w:rPr>
            </w:pPr>
            <w:r>
              <w:rPr>
                <w:sz w:val="20"/>
              </w:rPr>
              <w:t>Name:Wing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elects to convert $_________ principal amount of the Note (defined below) into that number of shares of Common Stock to be issued pursuant to the conversion of the Note (“Common Stock”) as set forth below, of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a British Virgin Islands company (the “Borrower”), according to the conditions of the promissory note of the Borrower dated as of June 22, 2026 (the “Note”), as of the date written below. No fee will be charged to the Holder for any conversion, except for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Common Stock issuable pursuant to this Notice of Conversion to the account of the undersigned or its nominee with DTC through its Deposit Withdrawal Agent Commission system (“DWAC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p>
      <w:pPr>
        <w:pStyle w:val="TextBody"/>
        <w:bidi w:val="0"/>
        <w:spacing w:before="0" w:after="0"/>
        <w:ind w:left="0" w:right="0" w:hanging="0"/>
        <w:jc w:val="left"/>
        <w:rPr>
          <w:caps w:val="false"/>
          <w:smallCaps w:val="false"/>
        </w:rPr>
      </w:pPr>
      <w:r>
        <w:rPr>
          <w:caps w:val="false"/>
          <w:smallCaps w:val="false"/>
        </w:rPr>
        <w:t> </w:t>
      </w:r>
    </w:p>
    <w:tbl>
      <w:tblPr>
        <w:tblW w:w="8817" w:type="dxa"/>
        <w:jc w:val="left"/>
        <w:tblInd w:w="0" w:type="dxa"/>
        <w:tblLayout w:type="fixed"/>
        <w:tblCellMar>
          <w:top w:w="0" w:type="dxa"/>
          <w:left w:w="0" w:type="dxa"/>
          <w:bottom w:w="0" w:type="dxa"/>
          <w:right w:w="0" w:type="dxa"/>
        </w:tblCellMar>
      </w:tblPr>
      <w:tblGrid>
        <w:gridCol w:w="75"/>
        <w:gridCol w:w="6920"/>
        <w:gridCol w:w="1822"/>
      </w:tblGrid>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left"/>
              <w:rPr>
                <w:sz w:val="20"/>
              </w:rPr>
            </w:pPr>
            <w:r>
              <w:rPr>
                <w:sz w:val="20"/>
              </w:rPr>
              <w:t>Date of Conversion:</w:t>
            </w:r>
          </w:p>
        </w:tc>
        <w:tc>
          <w:tcPr>
            <w:tcW w:w="182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left"/>
              <w:rPr>
                <w:sz w:val="20"/>
              </w:rPr>
            </w:pPr>
            <w:r>
              <w:rPr>
                <w:sz w:val="20"/>
              </w:rPr>
              <w:t>Applicable Conversion Price:</w:t>
            </w:r>
          </w:p>
        </w:tc>
        <w:tc>
          <w:tcPr>
            <w:tcW w:w="1822" w:type="dxa"/>
            <w:tcBorders/>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pBdr/>
              <w:bidi w:val="0"/>
              <w:spacing w:before="0" w:after="283"/>
              <w:ind w:left="0" w:right="0" w:hanging="540"/>
              <w:jc w:val="both"/>
              <w:rPr>
                <w:sz w:val="20"/>
              </w:rPr>
            </w:pPr>
            <w:r>
              <w:rPr>
                <w:sz w:val="20"/>
              </w:rPr>
              <w:t>Number of Shares of Common Stock to be Issued Pursuant to Conversion of the Note:</w:t>
            </w:r>
          </w:p>
        </w:tc>
        <w:tc>
          <w:tcPr>
            <w:tcW w:w="1822" w:type="dxa"/>
            <w:tcBorders>
              <w:bottom w:val="single" w:sz="1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1747"/>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822" w:type="dxa"/>
            <w:tcBorders>
              <w:bottom w:val="single" w:sz="1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1747"/>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sz w:val="20"/>
              </w:rPr>
            </w:pPr>
            <w:r>
              <w:rPr>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3" w:name="ea030132501ex10-65.htm"/>
      <w:bookmarkStart w:id="84" w:name="ksea030132501ex1065"/>
      <w:bookmarkEnd w:id="83"/>
      <w:bookmarkEnd w:id="84"/>
      <w:r>
        <w:rPr>
          <w:rFonts w:ascii="Times New Roman;Times;Serif" w:hAnsi="Times New Roman;Times;Serif"/>
          <w:b/>
          <w:i w:val="false"/>
          <w:caps w:val="false"/>
          <w:smallCaps w:val="false"/>
          <w:sz w:val="20"/>
        </w:rPr>
        <w:t>Exhibit 10.65</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xml:space="preserve"> (the “Agreement”), dated as of August 10,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with its address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with its address at 1800 Diagonal Road, Suite 623, Alexandria VA 22314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Lender are executing and delivering this Agreement in reliance upon the exemption from securities registration afforded by the rules and regulations as promulgated by the United States Securities and Exchange Commission (the “SEC”) under the Securities Act of 1933, as amended (the “1933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desires to purchase and the Company desires to issue and sell, upon the terms and conditions set forth in this Agreement, a convertible promissory note of the Company, in the form attached hereto as Exhibit A, in the aggregate principal amount of $100,000.00 (the “Note”);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Company and the Lender hereby agree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the Securities</w:t>
      </w:r>
      <w:r>
        <w:rPr>
          <w:rFonts w:ascii="Times New Roman;Times;Serif" w:hAnsi="Times New Roman;Times;Serif"/>
          <w:b w:val="false"/>
          <w:i w:val="false"/>
          <w:caps w:val="false"/>
          <w:smallCaps w:val="false"/>
          <w:sz w:val="20"/>
        </w:rPr>
        <w:t>. On the Closing Date (as defined below), the Company shall issue and sell to the Lender and the Lender agrees to purchase from the Company the Securities as is set forth immediately below the Lender’s name on the signature pages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On the Closing Date (as defined below), (i) the Lender shall pay the purchase price for the Securities be issued and sold to it at the Closing (as defined below) (the “Purchase Price”) by wire transfer of immediately available funds to the Company, in accordance with the Company’s written wiring instructions, against delivery of the Securities, and (ii) the Company shall deliver such duly executed Note on behalf of the Company against delivery of such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satisfaction (or written waiver) of the conditions thereto set forth in Section 6 and Section 7 below, the date and time of the issuance and sale of the Securities pursuant to this Agreement (the “Closing Date”) shall be 12:00 noon, Eastern Standard Time on or about August 10, 2026, or such other mutually agreed upon time. The closing of the transactions contemplated by this Agreement (the “Closing”) shall occur on the Closing Date at such location as may be agreed to by the parties.</w:t>
      </w:r>
    </w:p>
    <w:p>
      <w:pPr>
        <w:pStyle w:val="TextBody"/>
        <w:bidi w:val="0"/>
        <w:spacing w:before="0" w:after="0"/>
        <w:ind w:left="0" w:right="0" w:firstLine="1439"/>
        <w:jc w:val="left"/>
        <w:rPr>
          <w:caps w:val="false"/>
          <w:smallCaps w:val="false"/>
        </w:rPr>
      </w:pPr>
      <w:r>
        <w:rPr>
          <w:caps w:val="false"/>
          <w:smallCaps w:val="false"/>
        </w:rPr>
        <w:t> </w:t>
      </w:r>
    </w:p>
    <w:p>
      <w:pPr>
        <w:pStyle w:val="TextBody"/>
        <w:bidi w:val="0"/>
        <w:spacing w:before="0" w:after="0"/>
        <w:ind w:left="0" w:right="0" w:firstLine="143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Lender’s Representations and Warranties.</w:t>
      </w:r>
      <w:r>
        <w:rPr>
          <w:rFonts w:ascii="Times New Roman;Times;Serif" w:hAnsi="Times New Roman;Times;Serif"/>
          <w:b w:val="false"/>
          <w:i w:val="false"/>
          <w:caps w:val="false"/>
          <w:smallCaps w:val="false"/>
          <w:sz w:val="20"/>
        </w:rPr>
        <w:t xml:space="preserve"> The Lender represents and warrants to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As of the date hereof, the Lender is purchasing the Note and the shares of Class A Ordinary Shares of the Company (“Class A Ordinary Shares”) issuable upon conversion of or otherwise pursuant to the Note (such shares of Class A Ordinary Shares being collectively referred to herein as the “Conversion Shares” and, collectively with the Note, the “Securities”) for its own account and not with a present view towards the public sale or distribution thereof, except pursuant to sales registered or exempted from registration under the 1933 Act.</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Lender is an “accredited investor” as that term is defined in Rule 501(a) of Regulation D (an “Accredited Investor”). Lender, either alone or together with its representatives, has such knowledge, sophistication and experience in business and financial matters so as to be capable of evaluating the merits and risks of the prospective investment in the Note and the Conversion Shares, and has so evaluated the merits and risks of such investment. Lender is able to bear the economic risk of an investment in the Note and Conversion Share and, at the present time, is able to afford a complete loss of such investment. Lender acknowledges that it has had the opportunity to review the reports filed by the Company with the Securities and Exchange Commission, and has been afforded: (i) the opportunity to ask such questions as it has deemed necessary of, and to receive answers from, representatives of the Company concerning the terms and conditions of the offering of the Note and Conversion Shares and the merits and risks of investing in the Note and Conversion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Lender understands that the Securities are being offered and sold to it in reliance upon specific exemptions from the registration requirements of United States federal and state securities laws and that the Company is relying upon the truth and accuracy of, and the Lender’s compliance with, the representations, warranties, agreements, acknowledgments and understandings of the Lender set forth herein in order to determine the availability of such exemptions and the eligibility of the Lender to acquire the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Company has not disclosed to the Lender any material nonpublic information and will not disclose such information unless such information is disclosed to the public prior to or promptly following such disclosure to the Lender.</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Lender understands that the Securities have not been registered under the 1933 Act; and may bear a restrictive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INSTRUMENT HAVE NOT BEEN REGISTERED UNDER THE SECURITIES ACT OF 1933, AS AMENDED (THE “SECURITIES ACT”), OR UNDER ANY STATE SECURITIES LAWS, AND MAY NOT BE PLEDGED, SOLD, ASSIGNED, HYPOTHECATED OR OTHERWISE TRANSFERRED UNLESS (1) A REGISTRATION STATEMENT WITH RESPECT THERETO IS EFFECTIVE UNDER THE SECURITIES ACT AND ANY APPLICABLE STATE SECURITIES LAWS OR (2) THE ISSUER OF SUCH SECURITIES RECEIVES AN OPINION OF COUNSEL TO THE BUYER OF SUCH SECURITIES, WHICH COUNSEL AND OPINION ARE REASONABLY ACCEPTABLE TO THE ISSUER’S TRANSFER AGENT, THAT SUCH SECURITIES MAY BE PLEDGED, SOLD, ASSIGNED, HYPOTHECATED OR OTHERWISE TRANSFERRED WITHOUT AN EFFECTIVE REGISTRATION STATEMENT UNDER THE SECURITIES ACT AND APPLICABLE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without such legend to the Lender of any Security upon which it is stamped, if, unless otherwise required by applicable state securities laws, (a) such Security is registered for sale under an effective registration statement filed under the 1933 Act or otherwise may be sold pursuant to an exemption from registration without any restriction as to the number of securities as of a particular date that can then be immediately sold, or (b) such Lender provides the Company with an opinion of counsel, in form, substance and scope customary for opinions of counsel in comparable transactions, to the effect that a public sale or transfer of such Security may be made without registration under the 1933 Act, which opinion shall be accepted by the Company so that the sale or transfer is effected. The Lender agrees to sell all Securities, including those represented by a certificate(s) from which the legend has been removed, in compliance with applicable prospectus delivery requirements, if any. In the event that the Company does not reasonably accept the opinion of counsel that properly conforms to applicable securities laws provided by the Lender with respect to the transfer of any Securities pursuant to an exemption from registration, such as Rule 144, at the Deadline, it will be considered an Event of Default pursuant to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This Agreement has been duly executed and delivered on behalf of the Lender, and this Agreement constitutes a valid and binding agreement of the Lender enforceable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Lender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its Subsidiaries (as defined below), if any, is a corporation duly organized, validly existing and in good standing under the laws of the jurisdiction in which it is incorporated, with full power and authority (corporate and other) to own, lease, use and operate its properties and to carry on its business as and where now owned, leased, used, operated and conducted.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(i)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the Note by the Company and the consummation by it of the transactions contemplated hereby and thereby (including without limitation, the issuance of the Note has been duly authorized by the Company’s Board of Directors and no further consent or authorization of the Company, its Board of Directors, or its shareholders is required, (iii) this Agreement has been duly executed and delivered by the Company by its authorized representative, and such authorized representative is the true and official representative with authority to sign this Agreement and the other documents executed in connection herewith and bind the Company accordingly, and (iv) this Agreement constitutes, and upon execution and delivery by the Company of the Note, each of such instruments will constitute, a legal, valid and binding obligation of the Company enforceable against the Company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the date hereof, the authorized Class A Ordinary Shares of the Company consists of unlimited authorized shares, no par value per share, of which 3,457,842 shares are issued and outstanding. All of such outstanding shares of capital stock are, or upon issuance will be, duly authorized, validly issued, fully paid and non-assessable.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Securities are duly authorized and reserved for issuance in accordance with its respective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Lender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the Note by the Company and the consummation by the Company of the transactions contemplated hereby and thereby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are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The businesses of the Company and its Subsidiaries, if any, are not being conducted, and shall not be conducted so long as the Lender owns any of the Securities, in violation of any law, ordinance or regulation of any governmental entity.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This Note is subordinate to the currently outstanding Series A Preferred Stock, solely with respect to dividend rights and rights on the distribution of assets on any voluntary or involuntary liquidation, dissolution or winding up of the affairs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it with the SEC pursuant to the reporting requirements of the Exchange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or if amended, as of the dates of the amendments,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or if amended, as of the dates of the amendments,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The Company is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2024, except as set forth in the SEC Documents, there has been no material adverse change and no material adverse development in the assets, liabilities, business, properties, operations, financial condition, results of operations, prospects or Exchange Act reporting status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Except as set forth in the SEC Documents,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Company and its Subsidiaries are unaware of any facts or circumstances which might give rise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Lender. The issuance of the Securities to the Lender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Brokers</w:t>
      </w:r>
      <w:r>
        <w:rPr>
          <w:rFonts w:ascii="Times New Roman;Times;Serif" w:hAnsi="Times New Roman;Times;Serif"/>
          <w:b w:val="false"/>
          <w:i w:val="false"/>
          <w:caps w:val="false"/>
          <w:smallCaps w:val="false"/>
          <w:sz w:val="20"/>
        </w:rPr>
        <w:t>. The Company has taken no action which would give rise to any claim by any person for brokerage commissions, transaction fees or similar payments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If the Company breaches any of the material representations or warranties set forth in this Section 3 which is continuing after the applicable cure period as set forth in the Note, if any, and in addition to any other remedies available to the Lender pursuant to this Agreement, it will be considered an Event of default under Section 4.4 of the Note.</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Reasonable Commercial Efforts</w:t>
      </w:r>
      <w:r>
        <w:rPr>
          <w:rFonts w:ascii="Times New Roman;Times;Serif" w:hAnsi="Times New Roman;Times;Serif"/>
          <w:b w:val="false"/>
          <w:i w:val="false"/>
          <w:caps w:val="false"/>
          <w:smallCaps w:val="false"/>
          <w:sz w:val="20"/>
        </w:rPr>
        <w:t>. The Company shall use its reasonable commercial efforts to satisfy timely each of the conditions described in Section 7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w:t>
        <w:tab/>
        <w:t>The Company shall use the proceeds for general working capital purposes.</w:t>
      </w:r>
    </w:p>
    <w:p>
      <w:pPr>
        <w:pStyle w:val="TextBody"/>
        <w:bidi w:val="0"/>
        <w:spacing w:before="0" w:after="0"/>
        <w:ind w:left="0" w:right="0" w:firstLine="2159"/>
        <w:jc w:val="left"/>
        <w:rPr>
          <w:caps w:val="false"/>
          <w:smallCaps w:val="false"/>
        </w:rPr>
      </w:pPr>
      <w:r>
        <w:rPr>
          <w:caps w:val="false"/>
          <w:smallCaps w:val="false"/>
        </w:rPr>
        <w:t> </w:t>
      </w:r>
    </w:p>
    <w:p>
      <w:pPr>
        <w:pStyle w:val="TextBody"/>
        <w:bidi w:val="0"/>
        <w:spacing w:before="0" w:after="0"/>
        <w:ind w:left="0" w:right="0" w:firstLine="215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2159"/>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At the Closing, the Company’s obligation with respect to the transactions contemplated by this Agreement is to reimburse Lender’s expenses shall be $23,000.00 for Lender’s legal fees; due diligence fee and the Company’s investment bankers.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So long as the Lender beneficially owns any Note, the Company shall maintain its corporate existence and shall not sell all or substantially all of the Company’s assets in one or a series of transactions the result of which would render the Company a “shell company” as such term in defined in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If the Company breaches any of the material covenants set forth in this Section 4, and in addition to any other remedies available to the Lender pursuant to this Agreement which is continuing after the applicable cure period as set forth in the Note, it will be considered an event of default under Section 4.4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So long as the Lender beneficially owns the Note, the Company shall comply with the reporting requirements of the Exchange Act; and the Company shall continue to be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The Company has not engaged the Lender to perform “Dealer” actions</w:t>
      </w:r>
      <w:r>
        <w:rPr>
          <w:rFonts w:ascii="Times New Roman;Times;Serif" w:hAnsi="Times New Roman;Times;Serif"/>
          <w:b w:val="false"/>
          <w:i w:val="false"/>
          <w:caps w:val="false"/>
          <w:smallCaps w:val="false"/>
          <w:sz w:val="20"/>
        </w:rPr>
        <w:t>. The Lender and the Company hereby acknowledge and agree that the Company has not engaged the Lender to: (i) act as an underwriter; (ii) act as a market maker or specialist; (iii) act as “de facto” market maker; or (iv) conduct any other professional market activities such as providing investment advice, extending credit and lending securities in connection.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Shorting</w:t>
      </w:r>
      <w:r>
        <w:rPr>
          <w:rFonts w:ascii="Times New Roman;Times;Serif" w:hAnsi="Times New Roman;Times;Serif"/>
          <w:b w:val="false"/>
          <w:i w:val="false"/>
          <w:caps w:val="false"/>
          <w:smallCaps w:val="false"/>
          <w:sz w:val="20"/>
        </w:rPr>
        <w:t>. So long as any portion of the Note remains outstanding, the Holder agrees that neither it nor any of its affiliates shall, directly or indirectly, engage in any short sales of the Company’s Common Stock or otherwise take any action that would have the effect of decreasing the trading price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issue irrevocable instructions to its transfer agent to issue certificates, registered in the name of the Lender or its nominee, for the shares underlying any conversion of the Note upon default of the Note (the “Conversion Shares”) in such amounts as specified from time to time by the Lender to the Company upon conversion of the Note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 shares of Class A Ordinary Shares in the Reserved Amount as such term is defined in the Note) signed by the successor transfer agent to Company and the Company. Prior to registration of the Conversion Shares under the 1933 Act or the date on which the Conversion Shares may be sold pursuant to an exemption from registration, all such certificates shall bear the restrictive legend specified in Section 2(e)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Conversion Shares to be issued to the Lender upon conversion of or otherwise pursuant to the Note as and when required by the Note and this Agreement; and (iii) it will not fail to remove (or directs its transfer agent not to remove or impairs, delays, and/or hinders its transfer agent from removing) any restrictive legend (or to withdraw any stop transfer instructions in respect thereof) on any certificate for any Conversion Shares issued to the Lender upon conversion of or otherwise pursuant to the Note as and when required by the Note and/or this Agreement. If the Lender provides the Company and the Company’s transfer, at the cost of the Lender, with an opinion of counsel in form, substance and scope customary for opinions in comparable transactions, to the effect that a public sale or transfer of such Securities may be made without registration under the 1933 Act, the Company shall permit the transfer, and, in the case of the Conversion Shares, promptly instruct its transfer agent to issue one or more certificates, free from restrictive legend, in such name and in such denominations as specified by the Lender. The Company acknowledges that a breach by it of its obligations hereunder will cause irreparable harm to the Lender,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Lender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The obligation of the Company hereunder to issue and sell the Securities to the Lender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shall have executed this Agreement and delivered the same to the Company.</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delivered the Purchase Price in accordance with Section 1(b)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Lender shall be true and correct in all material respects as of the date when made and as of the Closing Date as though made at that time (except for representations and warranties that speak as of a specific date), and the Lender shall have performed, satisfied and complied in all material respects with the covenants, agreements and conditions required by this Agreement to be performed, satisfied or complied with by the Lender at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Lender’s Obligation to Purchase</w:t>
      </w:r>
      <w:r>
        <w:rPr>
          <w:rFonts w:ascii="Times New Roman;Times;Serif" w:hAnsi="Times New Roman;Times;Serif"/>
          <w:b w:val="false"/>
          <w:i w:val="false"/>
          <w:caps w:val="false"/>
          <w:smallCaps w:val="false"/>
          <w:sz w:val="20"/>
        </w:rPr>
        <w:t>. The obligation of the Lender hereunder to purchase the Securities at the Closing is subject to the satisfaction, at or before the Closing Date of each of the following conditions, provided that these conditions are for the Lender’s sole benefit and may be waived by the Lender at any time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executed this Agreement and delivered the same to the Lender.</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Lender the duly executed Note, in accordance with Section 1(b)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Lender, shall have been delivered to and acknowledged in writing by the Company’s Transfer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the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 The Lender shall have received a certificate or certificates, executed by the chief executive officer of the Company, dated as of the Closing Date, to the foregoing effect and as to such other matters as may be reasonably requested by the Lender including, but not limited to certificates with respect to the Board of Directors’ resolutions relating to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Exchange Act reporting status of the Company or the failure of the Company to be timely in its Exchange Act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Commonwealth of Virginia without regard to principles of conflicts of laws. Any action brought by either party against the other concerning the transactions contemplated by this Agreement shall be brought only in the Circuit Court of Fairfax County, Virginia or in the Alexandria Division of the United States District Court for the Eastern District of Virginia. The parties to this Agreement hereby irrevocably waive any objection to jurisdiction and venue of any action instituted hereunder and shall not assert any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Company and Lender waive trial by jury. The Lender shall be entitled to recover from the Company its reasonable attorney’s fees and costs. In the event that any provision of this Agreement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 Each party hereby irrevocably waives personal service of process and consents to process being served in any suit, action or proceeding in connection with this Agreement, the Note or any related document or agreement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shall constitute one and the same agreement and shall become effective when counterparts have been signed by each party and delivered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only and shall not form part of, or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instruments referenced herein contain the entire understanding of the parties with respect to the matters covered herein and therein and, except as specifically set forth herein or therein, neither the Company nor the Lender makes any representation, warranty, covenant or undertaking with respect to such matters. No provision of this Agreement may be waived or amended other than by an instrument in writing signed by the majority in interest of the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facsimile, addressed as set forth below or to such other address as such party shall have specified most recently by written notice. Any notice or other communication required or permitted to be given hereunder shall be deemed effective (a) upon hand delivery or delivery by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 as set forth in the heading of this Agreement. Each party shall provide notice to the other party of any change in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assigns. Neither the Company nor the Lender shall assign this Agreement or any rights or obligations hereunder without the prior written consent of the other. Notwithstanding the foregoing, the Lender may assign its rights hereunder to any person that purchases Securities in a private transaction from the Lender or to any of its “affiliates,” as that term is defined under the Exchange Act, without the consent of the Company.</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215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agreements and covenants set forth in this Agreement shall survive the closing hereunder notwithstanding any due diligence investigation conducted by or on behalf of the Lender. The Company agrees to indemnify and hold harmless the Lender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Lender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Lender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Lender and the Company have caused this Agreement to be duly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493"/>
        <w:gridCol w:w="3141"/>
        <w:gridCol w:w="75"/>
      </w:tblGrid>
      <w:tr>
        <w:trPr/>
        <w:tc>
          <w:tcPr>
            <w:tcW w:w="3634"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 </w:t>
            </w:r>
          </w:p>
        </w:tc>
        <w:tc>
          <w:tcPr>
            <w:tcW w:w="314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By:</w:t>
            </w:r>
          </w:p>
        </w:tc>
        <w:tc>
          <w:tcPr>
            <w:tcW w:w="3141"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 </w:t>
            </w:r>
          </w:p>
        </w:tc>
        <w:tc>
          <w:tcPr>
            <w:tcW w:w="3141"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 </w:t>
            </w:r>
          </w:p>
        </w:tc>
        <w:tc>
          <w:tcPr>
            <w:tcW w:w="3141"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 </w:t>
            </w:r>
          </w:p>
        </w:tc>
        <w:tc>
          <w:tcPr>
            <w:tcW w:w="314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b/>
              </w:rPr>
            </w:pPr>
            <w:r>
              <w:rPr>
                <w:b/>
              </w:rPr>
              <w:t>Vanquish Funding Group Inc.</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 </w:t>
            </w:r>
          </w:p>
        </w:tc>
        <w:tc>
          <w:tcPr>
            <w:tcW w:w="314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By:</w:t>
            </w:r>
          </w:p>
        </w:tc>
        <w:tc>
          <w:tcPr>
            <w:tcW w:w="3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 </w:t>
            </w:r>
          </w:p>
        </w:tc>
        <w:tc>
          <w:tcPr>
            <w:tcW w:w="3141" w:type="dxa"/>
            <w:tcBorders/>
            <w:vAlign w:val="center"/>
          </w:tcPr>
          <w:p>
            <w:pPr>
              <w:pStyle w:val="TableContents"/>
              <w:bidi w:val="0"/>
              <w:spacing w:before="0" w:after="283"/>
              <w:jc w:val="left"/>
              <w:rPr/>
            </w:pPr>
            <w:r>
              <w:rPr/>
              <w:t>Curt Kramer</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 </w:t>
            </w:r>
          </w:p>
        </w:tc>
        <w:tc>
          <w:tcPr>
            <w:tcW w:w="3141" w:type="dxa"/>
            <w:tcBorders/>
            <w:vAlign w:val="center"/>
          </w:tcPr>
          <w:p>
            <w:pPr>
              <w:pStyle w:val="TableContents"/>
              <w:bidi w:val="0"/>
              <w:spacing w:before="0" w:after="283"/>
              <w:jc w:val="left"/>
              <w:rPr/>
            </w:pPr>
            <w:r>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3605"/>
        <w:gridCol w:w="1235"/>
      </w:tblGrid>
      <w:tr>
        <w:trPr/>
        <w:tc>
          <w:tcPr>
            <w:tcW w:w="3605" w:type="dxa"/>
            <w:tcBorders/>
            <w:vAlign w:val="center"/>
          </w:tcPr>
          <w:p>
            <w:pPr>
              <w:pStyle w:val="TableContents"/>
              <w:bidi w:val="0"/>
              <w:spacing w:before="0" w:after="283"/>
              <w:jc w:val="center"/>
              <w:rPr/>
            </w:pPr>
            <w:r>
              <w:rPr/>
              <w:t>Aggregate Principal Amount of Note:</w:t>
            </w:r>
          </w:p>
        </w:tc>
        <w:tc>
          <w:tcPr>
            <w:tcW w:w="1235" w:type="dxa"/>
            <w:tcBorders/>
            <w:vAlign w:val="center"/>
          </w:tcPr>
          <w:p>
            <w:pPr>
              <w:pStyle w:val="TableContents"/>
              <w:bidi w:val="0"/>
              <w:spacing w:before="0" w:after="283"/>
              <w:jc w:val="center"/>
              <w:rPr/>
            </w:pPr>
            <w:r>
              <w:rPr/>
              <w:t>$100,000.00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5" w:name="ea030132501ex10-66.htm"/>
      <w:bookmarkStart w:id="86" w:name="ksea030132501ex1066"/>
      <w:bookmarkEnd w:id="85"/>
      <w:bookmarkEnd w:id="86"/>
      <w:r>
        <w:rPr>
          <w:rFonts w:ascii="Times New Roman;Times;Serif" w:hAnsi="Times New Roman;Times;Serif"/>
          <w:b/>
          <w:i w:val="false"/>
          <w:caps w:val="false"/>
          <w:smallCaps w:val="false"/>
          <w:sz w:val="20"/>
        </w:rPr>
        <w:t>Exhibit 10.66</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(WHICH COUNSEL SHALL BE SELECTED BY THE HOLDER), IN A GENERALLY ACCEPTABLE FORM, THAT REGISTRATION IS NOT REQUIRED UNDER SAID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 PRICE OF THIS NOTE IS $100,000.00</w:t>
      </w:r>
    </w:p>
    <w:p>
      <w:pPr>
        <w:pStyle w:val="TextBody"/>
        <w:bidi w:val="0"/>
        <w:spacing w:before="0" w:after="0"/>
        <w:ind w:left="0" w:right="0" w:hanging="0"/>
        <w:jc w:val="center"/>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2690"/>
        <w:gridCol w:w="2390"/>
      </w:tblGrid>
      <w:tr>
        <w:trPr/>
        <w:tc>
          <w:tcPr>
            <w:tcW w:w="2690" w:type="dxa"/>
            <w:tcBorders/>
            <w:vAlign w:val="center"/>
          </w:tcPr>
          <w:p>
            <w:pPr>
              <w:pStyle w:val="TableContents"/>
              <w:bidi w:val="0"/>
              <w:spacing w:before="0" w:after="283"/>
              <w:jc w:val="left"/>
              <w:rPr>
                <w:b/>
                <w:sz w:val="20"/>
              </w:rPr>
            </w:pPr>
            <w:r>
              <w:rPr>
                <w:b/>
                <w:sz w:val="20"/>
              </w:rPr>
              <w:t>Principal Amount: $100,000.00</w:t>
            </w:r>
          </w:p>
        </w:tc>
        <w:tc>
          <w:tcPr>
            <w:tcW w:w="2390" w:type="dxa"/>
            <w:tcBorders/>
            <w:vAlign w:val="center"/>
          </w:tcPr>
          <w:p>
            <w:pPr>
              <w:pStyle w:val="TableContents"/>
              <w:bidi w:val="0"/>
              <w:spacing w:before="0" w:after="283"/>
              <w:jc w:val="center"/>
              <w:rPr>
                <w:b/>
                <w:sz w:val="20"/>
              </w:rPr>
            </w:pPr>
            <w:r>
              <w:rPr>
                <w:b/>
                <w:sz w:val="20"/>
              </w:rPr>
              <w:t xml:space="preserve">Issue Date: August 10, 2026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CONVERTIBLE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(hereinafter called the “Borrower”), hereby promises to pay to the order of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or registered assigns (the “Holder”) the sum of $100,000.00 together with any interest as set forth herein, on May 15, 2027 (the “Maturity Date”), and to pay interest on the unpaid principal balance hereof at the rate of ten percent (10%) (the “Interest Rate”) per annum from the date hereof (the “Issue Date”) until the same becomes due and payable, whether at maturity or upon acceleration or by prepayment or otherwise. This Note may not be prepaid in whole or in part except as otherwise explicitly set forth herein. Any amount of principal or interest on this Note which is not paid when due shall bear interest at the rate of twenty two percent (22%) per annum (or the highest amount of legally permitted interest under applicable usury statutes) from the due date thereof until the same is paid (“Default Interest”). Interest shall be computed on the basis of a 365 day year and the actual number of days elapsed. Interest shall commence accruing on the Issue Date but shall not be payable until the Note becomes payable (whether at Maturity Date or upon acceleration or by prepayment). All payments due hereunder (to the extent not converted into Class A Ordinary Shares of the Borrower, no par value per share (the “Class A Ordinary Shares”) in accordance with the terms hereof) shall be made in lawful money of the United States of America. All payments shall be made at such address as the Holder shall hereafter give to the Borrower by written notice made in accordance with the provisions of this Note. Each capitalized term used herein, and not otherwise defined, shall have the meaning ascribed thereto in that certain Securities Purchase Agreement dated the date hereof, pursuant to which this Note was originally issued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apply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xml:space="preserve">. The Holder shall have the right from time to time, </w:t>
      </w:r>
      <w:r>
        <w:rPr>
          <w:rFonts w:ascii="Times New Roman;Times;Serif" w:hAnsi="Times New Roman;Times;Serif"/>
          <w:b w:val="false"/>
          <w:i w:val="false"/>
          <w:caps w:val="false"/>
          <w:smallCaps w:val="false"/>
          <w:sz w:val="20"/>
          <w:u w:val="single"/>
        </w:rPr>
        <w:t>and at any time during the period beginning on the date which is one hundred eighty (180) days following the date of this Note and ending on the later of: (i) the Maturity Date, or (ii) the date of payment of the Default Amount (as defined in Article III)</w:t>
      </w:r>
      <w:r>
        <w:rPr>
          <w:rFonts w:ascii="Times New Roman;Times;Serif" w:hAnsi="Times New Roman;Times;Serif"/>
          <w:b w:val="false"/>
          <w:i w:val="false"/>
          <w:caps w:val="false"/>
          <w:smallCaps w:val="false"/>
          <w:sz w:val="20"/>
        </w:rPr>
        <w:t xml:space="preserve">, each in respect of the remaining outstanding amount of this Note to convert all or any part of the outstanding and unpaid amount of this Note into fully paid and non-assessable shares of Class A Ordinary Shares, as such Class A Ordinary Shares exists on the Issue Date, or any shares of capital stock or other securities of the Borrower into which such Class A Ordinary Shares shall hereafter be changed or reclassified at the conversion price (the “Conversion Price”) determined as provided herein (a “Conversion”);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Holder be entitled to convert any portion of this Note in excess of that portion of this Note upon conversion of which the sum of (1) the number of shares of Class A Ordinary Shares beneficially owned by the Holder and its affiliates (other than shares of Class A Ordinary Shares which may be deemed beneficially owned through the ownership of the unconverted portion of the Notes or the unexercised or unconverted portion of any other security of the Borrower subject to a limitation on conversion or exercise analogous to the limitations contained herein) and (2) the number of shares of Class A Ordinary Shares issuable upon the conversion of the portion of this Note with respect to which the determination of this proviso is being made, would result in beneficial ownership by the Holder and its affiliates of more than 4.99% of the outstanding shares of Class A Ordinary Shares. For purposes of the proviso to the immediately preceding sentence, beneficial ownership shall be determined in accordance with Section 13(d) of the Securities Exchange Act of 1934, as amended (the “Exchange Act”), and Regulations 13D-G thereunder, except as otherwise provided in clause (1) of such proviso. </w:t>
      </w:r>
      <w:r>
        <w:rPr>
          <w:rFonts w:ascii="Times New Roman;Times;Serif" w:hAnsi="Times New Roman;Times;Serif"/>
          <w:b w:val="false"/>
          <w:i w:val="false"/>
          <w:caps w:val="false"/>
          <w:smallCaps w:val="false"/>
          <w:sz w:val="20"/>
          <w:u w:val="single"/>
        </w:rPr>
        <w:t>The beneficial ownership limitations on conversion as set forth in the section may NOT be waived by the Holder</w:t>
      </w:r>
      <w:r>
        <w:rPr>
          <w:rFonts w:ascii="Times New Roman;Times;Serif" w:hAnsi="Times New Roman;Times;Serif"/>
          <w:b w:val="false"/>
          <w:i w:val="false"/>
          <w:caps w:val="false"/>
          <w:smallCaps w:val="false"/>
          <w:sz w:val="20"/>
        </w:rPr>
        <w:t xml:space="preserve">. The number of shares of Class A Ordinary Shares to be issued upon each conversion of this Note shall be determined by dividing the Conversion Amount (as defined below) by the applicable Conversion Price then in effect on the date specified in the notice of conversion, in the form attached hereto as Exhibit A (the “Notice of Conversion”), delivered to the Borrower by the Holder in accordance with Section 1.4 below; provided that the Notice of Conversion is submitted by facsimile or e-mail (or by other means resulting in, or reasonably expected to result in, notice) to the Borrower before 6:00 p.m., New York, New York time on such conversion date (the “Conversion Date”); however, if the Notice of Conversion is sent after 6:00pm, New York, New York time the Conversion Date shall be the next business day. The term “Conversion Amount”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rates provided in this Note to the Conversion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at the Holder’s option, Default Interest, if any, on the amounts referred to in the immediately preceding clauses (1) and/or (2)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(4) at the Holder’s option, any amounts owed to the Holder pursuant to Sections 1.4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be entitled to deduct $1,500.00 from the conversion amount in each Notice of Conversion to cover Holder's deposit fees associated with each Notice of Conversion. Any additional expenses incurred by Holder with respect to the Borrower's transfer agent, for the issuance of the Class A Ordinary Shares into which this Note is convertible into, shall immediately and automatically be added to the balance of the Note at such time as the expenses are incurred by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shall equal 75% multiplied by the Market Price (as defined herein) (representing a discount rate of 25%). “Market Price” means the lowest Trading Price (as defined below) for the Class A Ordinary Shares during the ten (10) Trading Day period ending on the latest complete Trading Day prior to the Conversion Date. “Trading Price” means, for any security as of any date, the closing bid price on the OTCQB, OTCQX, Pink Sheets electronic quotation system or applicable trading market (the “OTC”) as reported by a reliable reporting service (“Reporting Service”) designated by the Holder (i.e. Bloomberg) or, if the OTC is not the principal trading market for such security, the closing bid price of such security on the principal securities exchange or trading market where such security is listed or traded or, if no closing bid price of such security is available in any of the foregoing manners, the average of the closing bid prices of any market makers for such security that are listed in the “pink sheets”. If the Trading Price cannot be calculated for such security on such date in the manner provided above, the Trading Price shall be the fair market value as mutually determined by the Borrower and the holders of a majority in interest of the Notes being converted for which the calculation of the Trading Price is required in order to determine the Conversion Price of such Notes. “Trading Day” shall mean any day on which the Class A Ordinary Shares is tradable for any period on the OTC, or on the principal securities exchange or other securities market on which the Class A Ordinary Shares is then being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Borrower covenants that during the period the conversion right exists, the Borrower will reserve from its authorized and unissued Class A Ordinary Shares a sufficient number of shares, free from preemptive rights, to provide for the issuance of Class A Ordinary Shares upon the full conversion of this Note issued pursuant to the Purchase Agreement. The Borrower is required at all times to have authorized and reserved four times the number of shares that is actually issuable upon full conversion of the Note (based on the Conversion Price of the Note in effect from time to time)(the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Class A Ordinary Shares into which the Notes shall be convertible at the then current Conversion Price, the Borrower shall at the same time make proper provision so that thereafter there shall be a sufficient number of shares of Class A Ordinary Shares authorized and reserved, free from preemptive rights, for conversion of the outstanding Note. The Borrower (i) acknowledges that it has irrevocably instructed its transfer agent to issue certificates for the Class A Ordinary Shares issuable upon conversion of this Note, and (ii) agrees that its issuance of this Note shall constitute full authority to its officers and agents who are charged with the duty of executing stock certificates to execute and issue the necessary certificates for shares of Class A Ordinary Shares in accordance with the terms and conditions of this Note. If, at any time the Borrower does not maintain the Reserved Amount it will be considered an Event of Default under Section 3.2 of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A</w:t>
      </w:r>
      <w:r>
        <w:rPr>
          <w:rFonts w:ascii="Times New Roman;Times;Serif" w:hAnsi="Times New Roman;Times;Serif"/>
          <w:b w:val="false"/>
          <w:i w:val="false"/>
          <w:caps w:val="false"/>
          <w:smallCaps w:val="false"/>
          <w:sz w:val="20"/>
          <w:u w:val="single"/>
        </w:rPr>
        <w:t>s set forth in Section 1.1 hereof, from time to time, and at any time during the period beginning on the date which is one hundred eighty (180) days following the date of this Note and ending on the later of: (i) the Maturity Date and (ii) the date of payment of the Default Amount</w:t>
      </w:r>
      <w:r>
        <w:rPr>
          <w:rFonts w:ascii="Times New Roman;Times;Serif" w:hAnsi="Times New Roman;Times;Serif"/>
          <w:b w:val="false"/>
          <w:i w:val="false"/>
          <w:caps w:val="false"/>
          <w:smallCaps w:val="false"/>
          <w:sz w:val="20"/>
        </w:rPr>
        <w:t>, this Note may be converted by the Holder in whole or in part at any time from time to time after the Issue Date, by (A) submitting to the Borrower a Notice of Conversion (by facsimile, e-mail or other reasonable means of communication dispatched on the Conversion Date prior to 6:00 p.m., New York, New York time) and (B) subject to Section 1.4(b), surrendering this Note at the principal office of the Borrower (upon payment in full of any amounts owed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Notwithstanding anything to the contrary set forth herein, upon conversion of 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Class A Ordinary Shares Upon Conversion</w:t>
      </w:r>
      <w:r>
        <w:rPr>
          <w:rFonts w:ascii="Times New Roman;Times;Serif" w:hAnsi="Times New Roman;Times;Serif"/>
          <w:b w:val="false"/>
          <w:i w:val="false"/>
          <w:caps w:val="false"/>
          <w:smallCaps w:val="false"/>
          <w:sz w:val="20"/>
        </w:rPr>
        <w:t>. Upon receipt by the Borrower from the Holder of a facsimile transmission or e-mail (or other reasonable means of communication) of a Notice of Conversion meeting the requirements for conversion as provided in this Section 1.4, the Borrower shall issue and deliver or cause to be issued and delivered to or upon the order of the Holder certificates for the Class A Ordinary Shares issuable upon such conversion within three (3) business days after such receipt (the “Deadline”) (and, solely in the case of conversion of the entire unpaid principal amount hereof, surrender of this Note) in accordance with the terms hereof and the Purchase Agreement. Upon receipt by the Borrower of a Notice of Conversion, the Holder shall be deemed to be the holder of record of the Class A Ordinary Shares issuable upon such conversion, the outstanding principal amount and the amount of accrued and unpaid interest on this Note shall be reduced to reflect such conversion, and, unless the Borrower defaults on its obligations hereunder, all rights with respect to the portion of this Note being so converted shall forthwith terminate except the right to receive the Class A Ordinary Shares or other securities, cash or other assets, as herein provided, on such conversion. If the Holder shall have given a Notice of Conversion as provided herein, the Borrower’s obligation to issue and deliver the certificates for Class A Ordinary Shares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Class A Ordinary Shares by Electronic Transfer</w:t>
      </w:r>
      <w:r>
        <w:rPr>
          <w:rFonts w:ascii="Times New Roman;Times;Serif" w:hAnsi="Times New Roman;Times;Serif"/>
          <w:b w:val="false"/>
          <w:i w:val="false"/>
          <w:caps w:val="false"/>
          <w:smallCaps w:val="false"/>
          <w:sz w:val="20"/>
        </w:rPr>
        <w:t>. In lieu of delivering physical certificates representing the Class A Ordinary Shares issuable upon conversion, provided the Borrower is participating in the Depository Trust Company (“DTC”) Fast Automated Securities Transfer (“FAST”) program, upon request of the Holder and its compliance with the provisions set forth herein, the Borrower shall use its best efforts to cause its transfer agent to electronically transmit the Class A Ordinary Shares issuable upon conversion to the Holder by crediting the account of Holder’s Prime Broker with DTC through its Deposit and Withdrawal at Custodian (“DWAC”)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Failure to Deliver Class A Ordinary Shares Prior to Deadline</w:t>
      </w:r>
      <w:r>
        <w:rPr>
          <w:rFonts w:ascii="Times New Roman;Times;Serif" w:hAnsi="Times New Roman;Times;Serif"/>
          <w:b w:val="false"/>
          <w:i w:val="false"/>
          <w:caps w:val="false"/>
          <w:smallCaps w:val="false"/>
          <w:sz w:val="20"/>
        </w:rPr>
        <w:t>. Without in any way limiting the Holder’s right to pursue other remedies, including actual damages and/or equitable relief, the parties agree that if delivery of the Class A Ordinary Shares issuable upon conversion of this Note is not delivered by the Deadline due to action and/or inaction of the Borrower, the Borrower shall pay to the Holder $2,000 per day in cash, for each day beyond the Deadline that the Borrower fails to deliver such Class A Ordinary Shares (the “Fail to Deliver Fee”); provided; however that the Fail to Deliver Fee shall not be due if the failure is a result of a third party (i.e., transfer agent; and not the result of any failure to pay such transfer agent) despite the best efforts of the Borrower to effect delivery of such Class A Ordinary Shares.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Class A Ordinary Shares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Section 1.4(e) are justified.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shares of Class A Ordinary Shares issuable upon conversion of this Note may not be sold or transferred unless: (i) such shares are sold pursuant to an effective registration statement under the Act or (ii) the Borrower or its transfer agent shall have been furnished with an opinion of counsel (which opinion shall be in form, substance and scope customary for opinions of counsel in comparable transactions) to the effect that the shares to be sold or transferred may be sold or transferred pursuant to an exemption from such registration (such as Rule 144 or a successor rule) (“Rule 144”); or (iii) such shares are transferred to an “affiliate” (as defined in Rule 144) of the Borrower who agrees to sell or otherwise transfer the shares only in accordance with this Section 1.5 and who is an Accredited Investor (as defined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legend on certificates representing shares of Class A Ordinary Shares issuable upon conversion of this Note shall be removed and the Borrower shall issue to the Holder a new certificate therefore free of any transfer legend if the Borrower or its transfer agent shall have received an opinion of counsel from Holder’s counsel, in form, substance and scope customary for opinions of counsel in comparable transactions, to the effect that (i) a public sale or transfer of such Class A Ordinary Shares may be made without registration under the Act, which opinion shall be accepted by the Borrower so that the sale or transfer is effected; or (ii) in the case of the Class A Ordinary Shares issuable upon conversion of this Note, such security is registered for sale by the Holder under an effective registration statement filed under the Act; or otherwise may be sold pursuant to an exemption from registration. In the event that the Borrower does not reasonably accept the opinion of counsel provided by the Holder with respect to the transfer of Securities pursuant to an exemption from registration (such as Rule 144), at the Deadline, it will be considered an Event of Default pursuant to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Except with respect to any transactions disclosed by the Borrower in any of its filings with the SEC prior to the date of this Note, at the option of the Holder, the sale, conveyance or disposition of all or 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be deemed to be an Event of Default (as defined in Article III) pursuant to which the Borrower shall be required to pay to the Holder upon the consummation of and as a condition to such transaction an amount equal to the Default Amount (as defined in Article III). “Person” shall mean any individual, corporation, limited liability company, partnership, association, trust or other entity or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the Note, there shall be any merger, consolidation, exchange of shares, recapitalization, reorganization, or other similar event, as a result of which shares of Class A Ordinary Shares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Class A Ordinary Shares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Section 1.6(b) unless (a) it first gives, to the extent practicable, ten (10) days prior written notice (but in any event at least five (5)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Note. The above provisions shall similarly apply to successive consolidations, mergers, sales, transfers or share exchanges.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If the Borrower shall declare or make any distribution of its assets (or rights to acquire its assets) to holders of Class A Ordinary Shares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Class A Ordinary Shares issuable upon such conversion had such Holder been the holder of such shares of Class A Ordinary Shares on the record date for the determination of shareholders entitled to such Distribution. 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Notwithstanding anything to the contrary contained in this Note, at any time during the periods set forth on the table immediately following this paragraph (the “Prepayment Periods”) or as otherwise agreed to between the Borrower and the Holder, the Borrower shall have the right, exercisable on not more than three (3) Trading Days prior written notice to the Holder of the Note to prepay the outstanding Note (principal and accrued interest), in full, in accordance with this Section 1.7. Any notice of prepayment hereunder (an “Optional Prepayment Notice”) shall be delivered to the Holder of the Note at its registered addresses and shall state: (1) that the Borrower is exercising its right to prepay the Note, and (2) the date of prepayment which shall be not more than three (3) Trading Days from the date of the Optional Prepayment Notice. On the date fixed for prepayment (the “Optional Prepayment Date”), the Borrower shall make payment of the Optional Prepayment Amount (as defined below) to Holder, or upon the direction of the Holder as specified by the Holder in a writing to the Borrower (which shall direction to be sent to Borrower by the Holder at least one (1) business day prior to the Optional Prepayment Date). If the Borrower exercises its right to prepay the Note, the Borrower shall make payment to the Holder of an amount in cash equal to the percentage (“Prepayment Percentage”) as set forth in the table immediately following this paragraph opposite the applicable Prepayment Period, multiplied by the sum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Optional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 1.4 hereof (the “Optional Prepayment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30" w:type="dxa"/>
          <w:left w:w="108" w:type="dxa"/>
          <w:bottom w:w="30" w:type="dxa"/>
          <w:right w:w="0" w:type="dxa"/>
        </w:tblCellMar>
      </w:tblPr>
      <w:tblGrid>
        <w:gridCol w:w="7947"/>
        <w:gridCol w:w="2258"/>
      </w:tblGrid>
      <w:tr>
        <w:trPr/>
        <w:tc>
          <w:tcPr>
            <w:tcW w:w="7947"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u w:val="single"/>
              </w:rPr>
            </w:pPr>
            <w:r>
              <w:rPr>
                <w:b/>
                <w:sz w:val="20"/>
                <w:u w:val="single"/>
              </w:rPr>
              <w:t>Prepayment Period</w:t>
            </w:r>
          </w:p>
        </w:tc>
        <w:tc>
          <w:tcPr>
            <w:tcW w:w="2258"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before="0" w:after="283"/>
              <w:ind w:left="0" w:right="0" w:firstLine="720"/>
              <w:jc w:val="center"/>
              <w:rPr>
                <w:b/>
                <w:sz w:val="20"/>
                <w:u w:val="single"/>
              </w:rPr>
            </w:pPr>
            <w:r>
              <w:rPr>
                <w:b/>
                <w:sz w:val="20"/>
                <w:u w:val="single"/>
              </w:rPr>
              <w:t>Prepayment Percentage</w:t>
            </w:r>
          </w:p>
        </w:tc>
      </w:tr>
      <w:tr>
        <w:trPr/>
        <w:tc>
          <w:tcPr>
            <w:tcW w:w="7947" w:type="dxa"/>
            <w:tcBorders>
              <w:left w:val="single" w:sz="8" w:space="0" w:color="000000"/>
              <w:bottom w:val="single" w:sz="8" w:space="0" w:color="000000"/>
            </w:tcBorders>
            <w:tcMar>
              <w:top w:w="0" w:type="dxa"/>
            </w:tcMar>
            <w:vAlign w:val="center"/>
          </w:tcPr>
          <w:p>
            <w:pPr>
              <w:pStyle w:val="TableContents"/>
              <w:bidi w:val="0"/>
              <w:spacing w:before="0" w:after="283"/>
              <w:jc w:val="both"/>
              <w:rPr>
                <w:sz w:val="20"/>
              </w:rPr>
            </w:pPr>
            <w:r>
              <w:rPr>
                <w:sz w:val="20"/>
              </w:rPr>
              <w:t>1) the period beginning on the Issue Date and ending on the date which is one hundred ninety (90) days following the Issue Date.</w:t>
            </w:r>
          </w:p>
        </w:tc>
        <w:tc>
          <w:tcPr>
            <w:tcW w:w="2258"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center"/>
              <w:rPr>
                <w:sz w:val="20"/>
              </w:rPr>
            </w:pPr>
            <w:r>
              <w:rPr>
                <w:sz w:val="20"/>
              </w:rPr>
              <w:t>120%</w:t>
            </w:r>
          </w:p>
        </w:tc>
      </w:tr>
      <w:tr>
        <w:trPr/>
        <w:tc>
          <w:tcPr>
            <w:tcW w:w="7947" w:type="dxa"/>
            <w:tcBorders>
              <w:left w:val="single" w:sz="8" w:space="0" w:color="000000"/>
              <w:bottom w:val="single" w:sz="8" w:space="0" w:color="000000"/>
            </w:tcBorders>
            <w:tcMar>
              <w:top w:w="0" w:type="dxa"/>
            </w:tcMar>
            <w:vAlign w:val="center"/>
          </w:tcPr>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period beginning on date which is ninety-one (91) days following the Issue Date and ending on the date which is one hundred eighty (180) days following the Issue Date.</w:t>
            </w:r>
          </w:p>
        </w:tc>
        <w:tc>
          <w:tcPr>
            <w:tcW w:w="2258"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center"/>
              <w:rPr>
                <w:sz w:val="20"/>
              </w:rPr>
            </w:pPr>
            <w:r>
              <w:rPr>
                <w:sz w:val="20"/>
              </w:rPr>
              <w:t>125%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CERTAIN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So long as the Borrower shall have any obligation under this Note, the Borrower shall not, without the Holder’s written consent, sell, lease or otherwise dispose of any significant portion of its assets outside the ordinary course of business. Any consent to the disposition of any assets may be conditioned on a specified use of the proceeds of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Registration: Piggyback Rights</w:t>
      </w:r>
      <w:r>
        <w:rPr>
          <w:rFonts w:ascii="Times New Roman;Times;Serif" w:hAnsi="Times New Roman;Times;Serif"/>
          <w:b w:val="false"/>
          <w:i w:val="false"/>
          <w:caps w:val="false"/>
          <w:smallCaps w:val="false"/>
          <w:sz w:val="20"/>
        </w:rPr>
        <w:t>. If at any time during the period that this Note is outstanding, the Borrower shall determine to file with the SEC a registration statement relating to an offering for its own account or the account of others of any its Class A Ordinary Shares (“Registration Statement”)(other than on Form S-4 or Form S-8 or their then-equivalents relating to equity securities to be issued solely in connection with any acquisition of any entity or business or equity securities issuable in connection with stock option or other employee benefit plans), the Borrower shall send to the written notice of such determination and, unless objected to in writing by the Holder by written notice delivered to the Borrower within five (5) days after the date of such notice from the Borrower, the Borrower shall include in such Registration Statement all shares issuable upon conversion of this Note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of default (each, an “Event of Default”) shall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and Interest</w:t>
      </w:r>
      <w:r>
        <w:rPr>
          <w:rFonts w:ascii="Times New Roman;Times;Serif" w:hAnsi="Times New Roman;Times;Serif"/>
          <w:b w:val="false"/>
          <w:i w:val="false"/>
          <w:caps w:val="false"/>
          <w:smallCaps w:val="false"/>
          <w:sz w:val="20"/>
        </w:rPr>
        <w:t>. The Borrower fails to pay the principal hereof or interest thereon when due on this Note, whether at maturity or upon acceleration and such breach continues for a period of five (5) days after written notice from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The Borrower fails to issue shares of Class A Ordinary Shares to the Holder (or announces or threatens in writing that it will not honor its obligation to do so) upon exercise by the Holder of the conversion rights of the Holder in accordance with the terms of this Note, fails to transfer or cause its transfer agent to transfer (issue) (electronically or in certificated form) any certificate for shares of Class A Ordinary Shares issued to the Holder upon conversion of or otherwise pursuant to this Note as and when required by this Note, the Borrower directs its transfer agent not to transfer or delays, impairs, and/or hinders its transfer agent in transferring (or issuing) (electronically or in certificated form) any certificate for shares of Class A Ordinary Shares to be issued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shares of Class A Ordinary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three (3) business days after the Holder shall have delivered a Notice of Conversion. It is an obligation of the Borrower to remain current in its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paid by the Borrower to the Holder within forty-eight (48) hours of a demand from the Holder. Notwithstanding anything contained herein to the contrary, if such failure to timely issue shares of Class A Ordinary Shares to the Holder upon conversion is not a result of the action or inaction of the Borrower, direct or indirect, such failure to issue will not be an event of default (i.e., act of God).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The Borrower breaches any material covenant or other material term or condition contained in this Note and any collateral documents including but not limited to the Purchase Agreement and such breach continues for a period of twenty (20) days after written notice thereof to the Borrower from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Any representation or warranty of the Borrower made herein or in any agreement, statement or certificate given in writing pursuant hereto or in connection herewith (including, without limitation, the Purchase Agreement), shall be false or misleading in any material respect when made and the breach of which has (or with the passage of time will have)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Delisting of Class A Ordinary Shares</w:t>
      </w:r>
      <w:r>
        <w:rPr>
          <w:rFonts w:ascii="Times New Roman;Times;Serif" w:hAnsi="Times New Roman;Times;Serif"/>
          <w:b w:val="false"/>
          <w:i w:val="false"/>
          <w:caps w:val="false"/>
          <w:smallCaps w:val="false"/>
          <w:sz w:val="20"/>
        </w:rPr>
        <w:t>. The Borrower shall fail to maintain the listing of the Class A Ordinary Shares on the Nasdaq National Market, the Nasdaq SmallCap Market, the New York Stock Exchange, or the NYSE American Stock Exchange (collectively, the “Exchanges”) or the quotation platforms maintained by the OTC Markets Group or an equivalent replacement exchange (collectively with the Exchanges,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The Borrower shall fail to comply with the reporting requirements of the Exchange Act; and/or the Borrower shall cease to be subject to the reporting requirements of the Exchange Act.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Any dissolution, liquidation, or winding up of Borrower or any substantial portion of its business.</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Any cessation of operations by Borrower which would result in the Borrower becoming a “shell company” as such term is defined in Rule 144.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w:t>
        <w:tab/>
        <w:t>The restatement of any financial statements filed by the Borrower with the SEC at any time after 180 days after the Issuance Date for any date or period until this Note is no longer outstanding, if the result of such restatement would, by comparison to the un-restated financial statement, have constituted a material adverse effect on the rights of the Holder with respect to this Note or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Class A Ordinary Shares in the Reserved Amount) signed by the successor transfer agent to Borrower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Notwithstanding anything to the contrary contained in this Note or the other related or companion documents, a breach or default by the Borrower of any covenant or other term or condition contained in any of the Other Agreements, after the passage of all applicable notice and cure or grace periods, shall, at the option of the Holder, be considered a default under this Note and the Other Agreements, in which event the Holder shall be entitled (but in no event required) to apply all rights and remedies of the Holder under the terms of this Note and the Other Agreements by reason of a default under said Other Agreement or hereunder. “Other Agreements” means, collectively, all agreements and instruments between, among or by: (1) the Borrower, and, or for the benefit of, (2) the Holder and any affiliate of the Holder, including, without limitation, promissory notes; provided, however, the term “Other Agreements” shall not include the related or companion documents to this Note. Each of the loan transactions will be cross-defaulted with each other loan transaction and with all other existing and future debt of Borrower to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continuation of any Event of Default specified in Section 3.1 (solely with respect to failure to pay the principal hereof or interest thereon when due at the Maturity Date), the Note shall become immediately due and payable and the Borrower shall pay to the Holder, in full satisfaction of its obligations hereunder, an amount equal to the Default Amount (as defined herein). UPON THE OCCURRENCE AND DURING THE CONTINUATION OF ANY EVENT OF DEFAULT SPECIFIED IN SECTION 3.2, THE NOTE SHALL BECOME IMMEDIATELY DUE AND PAYABLE AND THE BORROWER SHALL PAY TO THE HOLDER, IN FULL SATISFACTION OF ITS OBLIGATIONS HEREUNDER, AN AMOUNT EQUAL TO: (Y) THE DEFAULT AMOUNT (AS DEFINED HEREIN); MULTIPLIED BY (Z) TWO (2). Upon the occurrence and during the continuation of any Event of Default specified in this Article III (other than Section 3.2 as set forth above), the Note shall become immediately due and payable and the Borrower shall pay to the Holder, in full satisfaction of its obligations hereunder, an amount equal to 150%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date of payment (the “Mandatory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and/or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Sections 1.3 and 1.4(g) hereof (the then outstanding principal amount of this Note to the date of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amounts referred to in clauses (x), (y) and (z) shall collectively be known as the “Default Amount”) and all other amounts payable hereunder shall immediately become due and payable, all without demand, presentment or notice, all of which hereby are expressly waived, together with all costs, including, without limitation, legal fees and expenses, of collection, and the Holder shall be entitled to exercise all other rights and remedies available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pay the Default Amount within five (5) business days of written notice that such amount is due and payable, then the Holder shall have the right at any time, so long as the Borrower remains in default (and so long and to the extent that there are sufficient authorized shares), to require the Borrower, upon written notice, to immediately issue, in lieu of the Default Amount, the number of shares of Class A Ordinary Shares of the Borrower equal to the Default Amount divided by the Conversion Price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or delivery by electronic mail,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 Thailand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Wing Fung Alfred Siu, Chief Executive Officer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Diagonal Road, Suite 623</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Alexandria VA 22314</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Curt Kramer, President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ckramer6@bloomberg.net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Note and any provision hereof may only be amended by an instrument in writing signed by the Borrower and the Holder. The term “Note” and all reference thereto, as used throughout this instrument, shall mean this instrument (and the other Notes issued pursuant to the Purchase Agreement) as originally executed, or if later amended or supplemented, then as so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Each transferee of this Note must be an “accredited investor” (as defined in Rule 501(a) of the Securities and Exchange Commission). Notwithstanding anything in this Note to the contrary, this Note may be pledged as collateral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and may be assigned by the Holder without the consent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If default is made in the payment of this Note, the Borrower shall pay the Holder hereof costs of collection, including reasonable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governed by and construed in accordance with the laws of the Commonwealth of Virginia without regard to principles of conflicts of laws. Any action brought by either party against the other concerning the transactions contemplated by this Note shall be brought only in the Circuit Court of Fairfax County, Virginia or in the Alexandria Division of the United States District Court for the Eastern District of Virginia. The parties to this Note hereby irrevocably waive any objection to jurisdiction and venue of any action instituted hereunder and shall not assert any objection or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Borrower and Holder waive trial by jury. The Holder shall be entitled to recover from the Borrower its reasonable attorney's fees and costs incurred in connection with or related to any Event of Default by the Borrower, as defined in Article III hereof. In the event that any provision of this Note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hereof or any agreement delivered in connection herewith. Each party hereby irrevocably waives personal service of process and consents to process being served in any suit, action or proceeding in connection with this Note, any agreement or any other document delivered in connection with this Note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its acceptance of this Note, each party agrees to be bound by the applicable terms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has caused this Note to be signed in its name by its duly authorized officer this on August 10, 2026</w:t>
      </w:r>
    </w:p>
    <w:p>
      <w:pPr>
        <w:pStyle w:val="TextBody"/>
        <w:bidi w:val="0"/>
        <w:spacing w:before="0" w:after="0"/>
        <w:ind w:left="0" w:right="0" w:hanging="0"/>
        <w:jc w:val="left"/>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408"/>
        <w:gridCol w:w="2491"/>
        <w:gridCol w:w="75"/>
      </w:tblGrid>
      <w:tr>
        <w:trPr/>
        <w:tc>
          <w:tcPr>
            <w:tcW w:w="289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tc>
        <w:tc>
          <w:tcPr>
            <w:tcW w:w="75" w:type="dxa"/>
            <w:tcBorders/>
            <w:vAlign w:val="center"/>
          </w:tcPr>
          <w:p>
            <w:pPr>
              <w:pStyle w:val="TableContents"/>
              <w:bidi w:val="0"/>
              <w:spacing w:before="0" w:after="283"/>
              <w:jc w:val="left"/>
              <w:rPr/>
            </w:pPr>
            <w:r>
              <w:rPr/>
              <w:t> </w:t>
            </w:r>
          </w:p>
        </w:tc>
      </w:tr>
      <w:tr>
        <w:trPr/>
        <w:tc>
          <w:tcPr>
            <w:tcW w:w="2899"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91"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Wing Fung Alfred Siu</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both"/>
              <w:rPr>
                <w:caps w:val="false"/>
                <w:smallCaps w:val="false"/>
              </w:rPr>
            </w:pPr>
            <w:r>
              <w:rPr>
                <w:caps w:val="false"/>
                <w:smallCaps w:val="false"/>
              </w:rPr>
              <w:t> </w:t>
            </w:r>
          </w:p>
        </w:tc>
        <w:tc>
          <w:tcPr>
            <w:tcW w:w="24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Wing Fung Alfred Siu</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both"/>
              <w:rPr>
                <w:caps w:val="false"/>
                <w:smallCaps w:val="false"/>
              </w:rPr>
            </w:pPr>
            <w:r>
              <w:rPr>
                <w:caps w:val="false"/>
                <w:smallCaps w:val="false"/>
              </w:rPr>
              <w:t> </w:t>
            </w:r>
          </w:p>
        </w:tc>
        <w:tc>
          <w:tcPr>
            <w:tcW w:w="24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 Note (defined below) into that number of shares of Class A Ordinary Shares to be issued pursuant to the conversion of the Note (“Class A Ordinary Shares”) as set forth below, of NEWGENIVF GROUP LIMITED, a British Virgin Islands corporation (the “Borrower”) according to the conditions of the convertible note of the Borrower dated as of August 10, 2026 (the “Note”), as of the date written below. No fee will be charged to the Holder for any conversion, except for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Borrower shall electronically transmit the Class A Ordinary Shares issuable pursuant to this Notice of Conversion to the account of the undersigned or its nominee with DTC through its Deposit Withdrawal Agent Commission system (“DWAC Transfer”).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undersigned hereby requests that the Borrower issue a certificate or certificates for the number of shares of Class A Ordinary Shares set forth below (which numbers are based on the Holder’s calculation attached hereto) in the name(s) specified immediately below or, if additional space is necessary, on an attachment hereto:</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7047"/>
        <w:gridCol w:w="3083"/>
      </w:tblGrid>
      <w:tr>
        <w:trPr/>
        <w:tc>
          <w:tcPr>
            <w:tcW w:w="75" w:type="dxa"/>
            <w:tcBorders/>
            <w:vAlign w:val="center"/>
          </w:tcPr>
          <w:p>
            <w:pPr>
              <w:pStyle w:val="TableContents"/>
              <w:bidi w:val="0"/>
              <w:spacing w:before="0" w:after="283"/>
              <w:jc w:val="left"/>
              <w:rPr/>
            </w:pPr>
            <w:r>
              <w:rPr/>
              <w:t> </w:t>
            </w:r>
          </w:p>
        </w:tc>
        <w:tc>
          <w:tcPr>
            <w:tcW w:w="7047" w:type="dxa"/>
            <w:tcBorders/>
            <w:vAlign w:val="center"/>
          </w:tcPr>
          <w:p>
            <w:pPr>
              <w:pStyle w:val="TableContents"/>
              <w:bidi w:val="0"/>
              <w:spacing w:before="0" w:after="283"/>
              <w:jc w:val="left"/>
              <w:rPr/>
            </w:pPr>
            <w:r>
              <w:rPr/>
              <w:t>Date of conversion:</w:t>
            </w:r>
          </w:p>
        </w:tc>
        <w:tc>
          <w:tcPr>
            <w:tcW w:w="30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7047" w:type="dxa"/>
            <w:tcBorders/>
            <w:vAlign w:val="center"/>
          </w:tcPr>
          <w:p>
            <w:pPr>
              <w:pStyle w:val="TableContents"/>
              <w:bidi w:val="0"/>
              <w:spacing w:before="0" w:after="283"/>
              <w:jc w:val="left"/>
              <w:rPr/>
            </w:pPr>
            <w:r>
              <w:rPr/>
              <w:t>Applicable Conversion Price:</w:t>
            </w:r>
          </w:p>
        </w:tc>
        <w:tc>
          <w:tcPr>
            <w:tcW w:w="3083" w:type="dxa"/>
            <w:tcBorders/>
            <w:vAlign w:val="center"/>
          </w:tcPr>
          <w:p>
            <w:pPr>
              <w:pStyle w:val="TableContents"/>
              <w:bidi w:val="0"/>
              <w:spacing w:before="0" w:after="283"/>
              <w:jc w:val="left"/>
              <w:rPr/>
            </w:pPr>
            <w:r>
              <w:rPr/>
              <w:t>$ ________________________________</w:t>
            </w:r>
          </w:p>
        </w:tc>
      </w:tr>
      <w:tr>
        <w:trPr/>
        <w:tc>
          <w:tcPr>
            <w:tcW w:w="75" w:type="dxa"/>
            <w:tcBorders/>
            <w:vAlign w:val="center"/>
          </w:tcPr>
          <w:p>
            <w:pPr>
              <w:pStyle w:val="TableContents"/>
              <w:bidi w:val="0"/>
              <w:spacing w:before="0" w:after="283"/>
              <w:ind w:left="0" w:right="0" w:hanging="180"/>
              <w:jc w:val="left"/>
              <w:rPr/>
            </w:pPr>
            <w:r>
              <w:rPr/>
              <w:t> </w:t>
            </w:r>
          </w:p>
        </w:tc>
        <w:tc>
          <w:tcPr>
            <w:tcW w:w="7047" w:type="dxa"/>
            <w:tcBorders/>
            <w:vAlign w:val="center"/>
          </w:tcPr>
          <w:p>
            <w:pPr>
              <w:pStyle w:val="TableContents"/>
              <w:bidi w:val="0"/>
              <w:spacing w:before="0" w:after="283"/>
              <w:jc w:val="left"/>
              <w:rPr/>
            </w:pPr>
            <w:r>
              <w:rPr/>
              <w:t>Number of shares of Class A Ordinary Shares to be issued pursuant to conversion of the Notes:</w:t>
            </w:r>
          </w:p>
        </w:tc>
        <w:tc>
          <w:tcPr>
            <w:tcW w:w="308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7047" w:type="dxa"/>
            <w:tcBorders/>
            <w:vAlign w:val="center"/>
          </w:tcPr>
          <w:p>
            <w:pPr>
              <w:pStyle w:val="TableContents"/>
              <w:bidi w:val="0"/>
              <w:spacing w:before="0" w:after="283"/>
              <w:jc w:val="left"/>
              <w:rPr/>
            </w:pPr>
            <w:r>
              <w:rPr/>
              <w:t>Amount of Principal Balance due remaining under the Note after this conversion:  </w:t>
            </w:r>
          </w:p>
        </w:tc>
        <w:tc>
          <w:tcPr>
            <w:tcW w:w="308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524" w:type="dxa"/>
        <w:jc w:val="left"/>
        <w:tblInd w:w="0" w:type="dxa"/>
        <w:tblLayout w:type="fixed"/>
        <w:tblCellMar>
          <w:top w:w="0" w:type="dxa"/>
          <w:left w:w="0" w:type="dxa"/>
          <w:bottom w:w="0" w:type="dxa"/>
          <w:right w:w="0" w:type="dxa"/>
        </w:tblCellMar>
      </w:tblPr>
      <w:tblGrid>
        <w:gridCol w:w="1118"/>
        <w:gridCol w:w="1331"/>
        <w:gridCol w:w="75"/>
      </w:tblGrid>
      <w:tr>
        <w:trPr/>
        <w:tc>
          <w:tcPr>
            <w:tcW w:w="244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tc>
        <w:tc>
          <w:tcPr>
            <w:tcW w:w="75" w:type="dxa"/>
            <w:tcBorders/>
            <w:vAlign w:val="center"/>
          </w:tcPr>
          <w:p>
            <w:pPr>
              <w:pStyle w:val="TableContents"/>
              <w:bidi w:val="0"/>
              <w:spacing w:before="0" w:after="283"/>
              <w:jc w:val="left"/>
              <w:rPr/>
            </w:pPr>
            <w:r>
              <w:rPr/>
              <w:t> </w:t>
            </w:r>
          </w:p>
        </w:tc>
      </w:tr>
      <w:tr>
        <w:trPr/>
        <w:tc>
          <w:tcPr>
            <w:tcW w:w="2449"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1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31" w:type="dxa"/>
            <w:tcBorders>
              <w:bottom w:val="single" w:sz="12"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1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331"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1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31"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1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331" w:type="dxa"/>
            <w:tcBorders>
              <w:bottom w:val="single" w:sz="12"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7" w:name="ea030132501ex10-69.htm"/>
      <w:bookmarkStart w:id="88" w:name="ksea030132501ex1069"/>
      <w:bookmarkEnd w:id="87"/>
      <w:bookmarkEnd w:id="88"/>
      <w:r>
        <w:rPr>
          <w:rFonts w:ascii="Times New Roman;Times;Serif" w:hAnsi="Times New Roman;Times;Serif"/>
          <w:b/>
          <w:i w:val="false"/>
          <w:caps w:val="false"/>
          <w:smallCaps w:val="false"/>
          <w:sz w:val="20"/>
        </w:rPr>
        <w:t>Exhibit 10.69</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August 17,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with headquarters located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HINTERLAND PARTNERS LLC</w:t>
      </w:r>
      <w:r>
        <w:rPr>
          <w:rFonts w:ascii="Times New Roman;Times;Serif" w:hAnsi="Times New Roman;Times;Serif"/>
          <w:b w:val="false"/>
          <w:i w:val="false"/>
          <w:caps w:val="false"/>
          <w:smallCaps w:val="false"/>
          <w:sz w:val="20"/>
        </w:rPr>
        <w:t>, a Delaware limited liability company, with its address at 800 N King St., Suite 304-2803, Wilmington, DE 19801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Section 4(a)(2) of the Securities Act of 1933, as amended (the “1933 Act”) and Rule 506(b) promulgated by the United States Securities and Exchange Commission (the “SEC”)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desires to purchase from the Company, and the Company desires to issue and sell to the Buyer, upon the terms and conditions set forth in this Agreement, a promissory note of the Company, in the aggregate principal amount of $250,000.00 (as the principal amount thereof may be increased pursuant to the terms thereof, and together with any note(s) issued in replacement thereof or as a dividend thereon or otherwise with respect thereto in accordance with the terms thereof,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“Note”), convertible into Class A ordinary shares of the Company, no par value per share (the “Common Stock”), upon the terms and subject to the limitations and conditions set forth in such Note;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the Note as is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agreements and covenants herein contained, and for other good and valuable consideration, the receipt and sufficiency of which is hereby acknowledged, the Company and the Buyer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Note.</w:t>
      </w:r>
      <w:r>
        <w:rPr>
          <w:rFonts w:ascii="Times New Roman;Times;Serif" w:hAnsi="Times New Roman;Times;Serif"/>
          <w:b w:val="false"/>
          <w:i w:val="false"/>
          <w:caps w:val="false"/>
          <w:smallCaps w:val="false"/>
          <w:sz w:val="20"/>
        </w:rPr>
        <w:t xml:space="preserve"> On the Closing Date (as defined below), the Company shall issue and sell to the Buyer, and the Buyer agrees to purchase from the Company, the Note, as further provided herein. As used in this Agreement, the term “business day” shall mean any day other than a Saturday, Sunday, or a day on which commercial banks in the city of New York, New York are authorized or required by law or executive order to remain closed.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On the Closing Date: (i) the Buyer shall pay the purchase price of $232,500.00 (the “Purchase Price”) for the Note, to be issued and sold to it at the Closing (as defined below), by wire transfer of immediately available funds to the Company, in accordance with the Company’s written wiring instructions, against delivery of the Note, and (ii) the Company shall deliver such duly executed Note on behalf of the Company, to the Buyer, against delivery of such Purchase Price. On the Closing Date, the Buyer shall withhold (i) $6,000.00 from the Purchase Price to cover the Buyer’s legal fees in connection with the transactions contemplated by this Agreement and (ii) $5,000.00 from the Purchase Price to be paid to Darkriver Management LLC to cover the Holder's due diligence costs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satisfaction (or written waiver) of the conditions thereto set forth in Section 6 and Section 7 below, the date and time of the issuance and sale of the Note pursuant to this Agreement (the “Closing Date”) shall be on the date that the Purchase Price for the Note is paid by Buyer pursuant to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(the “Closing”) shall occur on the Closing Date at such location as may be agreed to by the parties (including via exchange of electronic 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as of the Closing Date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Closing Date, the Buyer is purchasing the Note (the Note, , and shares of Common Stock issuable upon conversion of or otherwise pursuant to the Note (the “Conversion Shares”) shall collectively be referred to herein as the “Securities”) for its own account and not with a present view towards the public sale or distribution thereof, except pursuant to sales registered or exempted from registration under the 1933 Act; provided, however, that by making the representations herein, the Buyer does not agree to hold any of the Securities for any minimum or other specific term and reserves the right to dispose of the Securities at any time in accordance with or pursuant to a registration statement or an exemption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The Buyer is an “accredited investor” as that term is defined in Rule 501(a) of Regulation D (an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xml:space="preserve">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Buyer and its advisors, if any, have been, and for so long as the Note remains outstanding will continue to be, furnished with all materials relating to the business, finances and operations of the Company and materials relating to the offer and sale of the Securities which have been requested by the Buyer or its advisors. The Buyer and its advisors, if any, have been, and for so long as the Note remains outstanding will continue to be, afforded the opportunity to ask questions of the Company regarding its business and affairs. Notwithstanding the foregoing, the Company has not disclosed to the Buyer any material nonpublic information regarding the Company or otherwise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xml:space="preserve"> The Buyer understands that no United States federal or state agency or any other government or governmental agency has passed upon or made any recommendation or endorsement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Company, an opinion of counsel (which may be the Legal Counsel Opinion (as defined below)) that shall be in form, substance and scope customary for opinions of counsel in comparable transactions to the effect that the Securities to be sold or transferred may be sold or transferred pursuant to an exemption from such registration, which opinion shall be accepted by the Company,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(d) the Securities are sold pursuant to Rule 144 or other applicable exemption, or (e) the Securities are sold pursuant to Regulation S under the 1933 Act (or a successor rule) (“Regulation S”), and the Buyer shall have delivered to the Company, at the cost of the Company, an opinion of counsel that shall be in form, substance and scope customary for opinions of counsel in corporate transactions, which opinion shall be accepted by the Company; (ii) any sale of such Securities made in reliance on Rule 144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 Notwithstanding the foregoing or anything else contained herein to the contrary, the Securities may be pledged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secured by the Securities, and such pledge of Securities shall not be deemed to be a transfer, sale or assignment of the Securities hereunder, and the Buyer in effecting such pledge of Securities shall not be required to provide the Company with any notice thereof or otherwise make any delivery to the Company pursuant to this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Buyer understands that until such time as the Note and/or Conversion Shares have been registered under the 1933 Act or may be sold pursuant to Rule 144, Rule 144A under the 1933 Act, Regulation S, or other applicable exemption without any restriction as to the number of securities as of a particular date that can then be immediately sold, the Securities may bear a restrictive legend in substantially the following form (and a stop-transfer order may be placed against transfer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RULE 144A, REGULATION S, OR OTHER APPLICABLE EXEMPTION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or book entry statement for the applicable shares of Common Stock without such legend to the holder of any Security upon which it is stamped or (as requested by such holder) issue the applicable shares of Common Stock to such holder by electronic delivery by crediting the account of such holder’s broker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if, unless otherwise required by applicable state securities laws, (a) such Security is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Buyer provides the Legal Counsel Opinion (as contemplated by and in accordance with Section 4(l) hereof) to the effect that a public sale or transfer of such Security may be made without registration under the 1933 Act, which opinion shall be accepted by the Company so that the sale or transfer is effected. The Company shall be responsible for the fees of its transfer agent and all DTC fees associated with any such issuance. The Buyer agrees to sell all Securities, including those represented by a certificate(s) from which the legend has been removed, in compliance with applicable prospectus delivery requirements, if any. In the event that the Company does not accept the opinion of counsel provided by the Buyer with respect to the transfer of Securities pursuant to an exemption from registration, such as Rule 144, Rule 144A, Regulation S, or other applicable exemption at the Deadline (as defined in the Note), it will be considered an Event of Default pursuant to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This Agreement has been duly and validly authorized by the Buyer and has been duly executed and delivered on behalf of the Buyer, and this Agreement constitutes a valid and binding agreement of the Buyer enforceable in accordance with its terms, except as enforcement may be limited by bankruptcy, insolvency, reorganization, moratorium or other similar laws affecting creditors’ rights generally and except as may be limited by the exercise of judicial discretion in applying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represents and warrants to the Buyer as of the Closing Date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(as defined below), if any, is a corporation duly organized, validly existing and in good standing under the laws of the jurisdiction in which it is incorporated or formed, with full power and authority (corporate and other) to own, lease, use and operate its properties and to carry on its business as and where now owned, leased, used, operated and conducted. The SEC Documents set forth a list of all of the Subsidiaries of the Company and the jurisdiction in which each is incorporated. The Company and each of its Subsidiaries is duly qualified to do business and is in good standing in every jurisdiction in which its ownership or use of property or the nature of the business conducted by it makes such qualification necessary except where the failure to be so qualified or in good standing would not have a Material Adverse Effect.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The Company and Subsidiaries have all requisite corporate power and authority to enter into and perform the Transaction Documents and to consummate the transactions contemplated hereby and thereby and to issue the Securities, in accordance with the terms hereof and thereof. The Company represents and warrants that (i) the execution and delivery of the Transaction Documents, the Note, and Conversion Shares by the Company and the consummation by it of the transactions contemplated hereby and thereby (including without limitation, the issuance of the Note as well as the issuance and reservation for issuance of the Conversion Shares issuable upon conversion of the Note) have been duly authorized by the Company’s Board of Directors and no further consent or authorization of the Company, its Board of Directors, its shareholders, or its debt holders is required, (i) the Transaction Documents (together with any other instruments executed in connection herewith or therewith) have been duly executed and delivered by the Company and Subsidiaries by its authorized representatives, and such authorized representatives are the true and official representative with authority to sign the Transaction Documents and the other instruments documents executed in connection herewith or therewith and bind the Company and Subsidiaries accordingly, and (iii) the Transaction Documents constitute, and upon execution and delivery by the Company and Subsidiaries as applicable, each of such instruments will constitute, a legal, valid and binding obligation of the Company and Subsidiaries, enforceable against the Company and Subsidiaries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 Governing Documents.</w:t>
      </w:r>
      <w:r>
        <w:rPr>
          <w:rFonts w:ascii="Times New Roman;Times;Serif" w:hAnsi="Times New Roman;Times;Serif"/>
          <w:b w:val="false"/>
          <w:i w:val="false"/>
          <w:caps w:val="false"/>
          <w:smallCaps w:val="false"/>
          <w:sz w:val="20"/>
        </w:rPr>
        <w:t xml:space="preserve"> As of August 17, 2026, the authorized capital stock of the Company consists of: (i) unlimited authorized shares of Common Stock, of which 6,287,870shares were issued and outstanding, (ii) unlimited authorized shares of Class B ordinary shares, of which 37,925 shares were issued and outstanding, and (iii) unlimited authorized shares of preferred stock, of which 0 shares were issued and outstanding. All of such outstanding shares of capital stock of the Company and the Conversion Shares are, or upon issuance will be, duly authorized, validly issued, fully paid and non-assessable. No shares of capital stock of the Company are subject to preemptive rights or any other similar rights of the shareholders of the Company or any liens or encumbrances imposed through the actions or failure to act of the Company. As of the effective date of this Agreement, other than as publicly announced prior to such date and reflected in the SEC Documents of the Company, (i) there are no outstanding options, warrants, scrip, rights to subscribe for, puts, calls, rights of first refusal, agreements, understandings, claims or other commitments or rights of any character whatsoever relating to, or securities or rights convertible into or exchangeable for any shares of capital stock of the Company or any of its Subsidiaries, or arrangements by which the Company or any of its Subsidiaries is or may become bound to issue additional shares of capital stock of the Company or any of its Subsidiaries, (ii) there are no agreements or arrangements under which the Company or any of its Subsidiaries is obligated to register the sale of any of its or their securities under the 1933 Act and (iii) there are no anti-dilution or price adjustment provisions contained in any security issued by the Company (or in any agreement providing rights to security holders) that will be triggered by the issuance of any of the Securities. The Company has furnished to the Buyer true and correct copies of the Company’s Certificate of Incorporation as in effect on the date hereof (“Certificate of Incorporation”), the Company’s By-laws, as in effect on the date hereof (the “By-laws”), and the terms of all securities convertible into or exercisable for Common Stock of the Company and the material rights of the holders thereof in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Conversion Shares.</w:t>
      </w:r>
      <w:r>
        <w:rPr>
          <w:rFonts w:ascii="Times New Roman;Times;Serif" w:hAnsi="Times New Roman;Times;Serif"/>
          <w:b w:val="false"/>
          <w:i w:val="false"/>
          <w:caps w:val="false"/>
          <w:smallCaps w:val="false"/>
          <w:sz w:val="20"/>
        </w:rPr>
        <w:t xml:space="preserve"> The Conversion Shares are duly authorized and reserved for issuance and, upon conversion of the Note in accordance with its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xml:space="preserve"> The Company understands and acknowledges the potentially dilutive effect of the Conversion Shares upon the conversion of the Note to the Common Stock. The Company further acknowledges that its obligation to issue, upon conversion of the Note, the Conversion Shares, are absolute and unconditional regardless of the dilutive effect that such issuance may have on the ownership interests of other shareholders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Documents by the Company and Subsidiaries, and the consummation by the Company and Subsidiaries of the transactions contemplated hereby and thereby (including, without limitation, the issuance and reservation for issuance of the Conversion Shares)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note, evidence of indebtedness,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is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or (iv) trigger any anti-dilution and/or ratchet provision contained in any other contract in which the Company is a party thereto or any security issued by the Company. Neither the Company nor any of its Subsidiaries is in violation of its Certificate of Incorporation, By-laws or other organizational documents and neither the Company nor any of its Subsidiaries is in default (and no event has occurred which with notice or lapse of time or both could put the Company or any of its Subsidiaries in default) under, and neither the Company nor any of its Subsidiaries has taken any action or failed to take any action that would give to others any rights of termination, amendment, acceleration or cancellation of, any agreement, indenture or instrument to which the Company or any of its Subsidiaries is a party or by which any property or assets of the Company or any of its Subsidiaries is bound or affected, except for possible defaults as would not, individually or in the aggregate, have a Material Adverse Effect. The businesses of the Company and its Subsidiaries, if any, are not being conducted, and shall not be conducted so long as the Buyer owns any of the Securities, in violation of any law, ordinance or regulation of any governmental entity. Except as specifically contemplated by this Agreement and as required under the 1933 Act and any applicable state securities laws, the Company is not required to obtain any consent, authorization or order of, or make any filing or registration with, any court, governmental agency, regulatory agency, self-regulatory organization or stock market or any third party in order for it to execute, deliver or perform any of its obligations under this Agreement and the Note in accordance with the terms hereof or thereof or to issue and sell the Note in accordance with the terms hereof and, upon conversion of the Note, issue Conversion Shares. All consents, authorizations, orders, filings and registrations which the Company is required to obtain pursuant to the preceding sentence have been obtained or effected on or prior to the date hereof. The Company is not in violation of the listing requirements of the Principal Market (as defined herein) and does not reasonably anticipate that the Common Stock will be delisted by the Principal Market in the foreseeable future. The Company and its Subsidiaries are unaware of any facts or circumstances which might give rise to any of the foregoing. The “Principal Market” shall mean the principal securities exchange or trading market where such Common Stock is listed or traded, including but not limited to any tier of the OTC Markets, any tier of the NASDAQ Stock Market (including NASDAQ Capital Market), or the NYSE American, or any successor to such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financial statements of the Company included in the SEC Documents, the Company has no liabilities, contingent or otherwise, other than (i) liabilities incurred in the ordinary course of business subsequent to December 31, 2025,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The Company is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2025, there has been no material adverse change and no material adverse development in the assets, liabilities, business, properties, operations, financial condition, results of operations, prospects or 1934 Act reporting status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SEC Documents contain a complete list and summary description of any pending or, to the knowledge of the Company, threatened proceeding against or affecting the Company or any of its Subsidiaries, without regard to whether it would have a Material Adverse Effect. The Company and its Subsidiaries are unaware of any facts or circumstances which might give rise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each of its Subsidiaries owns or possesses the requisite licenses or rights to use all patents, patent applications, patent rights, inventions, know-how, trade secrets, trademarks, trademark applications, service marks, service names, trade names and copyrights (“Intellectual Property”) necessary to enable it to conduct its business as now operated (and, as presently contemplated to be operated in the future); there is no claim or action by any person pertaining to, or proceeding pending, or to the Company’s knowledge threatened, which challenges the right of the Company or of a Subsidiary with respect to any Intellectual Property necessary to enable it to conduct its business as now operated (and, as presently contemplated to be operated in the future); to the best of the Company’s knowledge, the Company’s or its Subsidiaries’ current and intended products, services and processes do not infringe on any Intellectual Property or other rights held by any person; and the Company is unaware of any facts or circumstances which might give rise to any of the foregoing. The Company and each of its Subsidiaries have taken reasonable security measures to protect the secrecy, confidentiality and value of their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Materially Adverse Contracts, Etc.</w:t>
      </w:r>
      <w:r>
        <w:rPr>
          <w:rFonts w:ascii="Times New Roman;Times;Serif" w:hAnsi="Times New Roman;Times;Serif"/>
          <w:b w:val="false"/>
          <w:i w:val="false"/>
          <w:caps w:val="false"/>
          <w:smallCaps w:val="false"/>
          <w:sz w:val="20"/>
        </w:rPr>
        <w:t xml:space="preserve"> Neither the Company nor any of its Subsidiaries is subject to any charter, corporate or other legal restriction, or any judgment, decree, order, rule or regulation which in the judgment of the Company’s officers has or is expected in the future to have a Material Adverse Effect. Neither the Company nor any of its Subsidiaries is a party to any contract or agreement which in the judgment of the Company’s officers has or is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and each of its Subsidiaries has made or filed all federal, state and foreign income and all other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for arm’s length transactions pursuant to which the Company or any of its Subsidiaries makes payments in the ordinary course of business upon terms no less favorable than the Company or any of its Subsidiaries could obtain from third parties and other than the grant of stock options described in the SEC Documents, none of the officers, directors, or employees of the Company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pursuant to Section 2(d) hereof and otherwise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1934 Act are being incorporated into an effective registration statement filed by the Company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xml:space="preserve"> The Company acknowledges and agrees that the Buyer is acting solely in the capacity of arm’s length purchaser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Buyer’s purchase of the Securities. The Company further represents to the Buyer that the Company’s decision to enter into this Agreement has been based solely on the independent evaluation of the Company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 The issuance of the Securities to the Buyer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Brokers; No Solicitation.</w:t>
      </w:r>
      <w:r>
        <w:rPr>
          <w:rFonts w:ascii="Times New Roman;Times;Serif" w:hAnsi="Times New Roman;Times;Serif"/>
          <w:b w:val="false"/>
          <w:i w:val="false"/>
          <w:caps w:val="false"/>
          <w:smallCaps w:val="false"/>
          <w:sz w:val="20"/>
        </w:rPr>
        <w:t xml:space="preserve"> Except in the ordinary course of business, the Company has taken no action which would give rise to any claim by any person for brokerage commissions, transaction fees or similar payments relating to this Agreement or the transactions contemplated hereby. The Company represents and warrants that neither the Buyer nor its employee(s), member(s), beneficial owner(s), or partner(s) solicited the Company to enter into this Agreement and consummate the transactions described in this Agreement. The Company represents and warrants that neither the Buyer nor its employee(s), member(s), beneficial owner(s), or partner(s) is required to be registered as a broker-dealer under the Securities Exchange Act of 1934 in order to (i) enter into or consummate the transactions encompassed by this Agreement, the Note, and the related transaction documents entered into in connection herewith (the “Transaction Documents”), (ii) fulfill the Buyer’s obligations under the Transaction Documents, or (iii) exercise any of the Buyer’s rights under the Transaction Documents (including but not limited to the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xml:space="preserve">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“Company Permits”),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Since December 31, 2025,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to the Company’s knowledge, with respect to the Company or any of its Subsidiaries or any predecessor of the Company, no past or present violations of Environmental Laws (as defined below), releases of any material into the environment, actions, activities, circumstances, conditions, events, incidents, or contractual obligations which may give rise to any common law environmental liability or any liability under the Comprehensive Environmental Response, Compensation and Liability Act of 1980 or similar federal, state, local or foreign laws and neither the Company nor any of its Subsidiaries has received any notice with respect to any of the foregoing, nor is any action pending or, to the Company’s knowledge, threatened in connection with any of the foregoing.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those that are or were stored, used or disposed of in compliance with applicable law, no Hazardous Materials are contained on or about any real property currently owned, leased or used by the Company or any of its Subsidiaries, and no Hazardous Materials were released on or about any real property previously owned, leased or used by the Company or any of its Subsidiaries during the period the property was owned, leased or used by the Company or any of its Subsidiaries, except in the normal course of the Company’s or any of its Subsidiaries’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underground storage tanks on or under any real property owned, leased or used by the Company or any of its Subsidiaries that are not in compliance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xml:space="preserv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Upon written request the Company will provide to the Buyer true and correct copies of all policies relating to directors’ and officers’ liability coverage, errors and omissions coverage, and commercial general liability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of its Subsidiaries, nor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The Company (after giving effect to the transactions contemplated by this Agreement) is solvent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its assets have a fair market value in excess of the amount required to pay its probable liabilities on its existing debts as they become absolute and matured) and currently the Company has no information that would lead it to reasonably conclude that the Company would not, after giving effect to the transaction contemplated by this Agreement, have the ability to, nor does it intend to take any action that would impair its ability to, pay its debts from time to time incurred in connection therewith as such debts mature. The Company’s financial statements for its most recent fiscal year end and interim financial statements have been prepared assuming the Company will continue as a going concern, which contemplates the realization of assets and the satisfaction of liabilities in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xml:space="preserve">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or that could reasonably be expected to cause or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Illegal or Unauthorized Payments; Political Contributions</w:t>
      </w:r>
      <w:r>
        <w:rPr>
          <w:rFonts w:ascii="Times New Roman;Times;Serif" w:hAnsi="Times New Roman;Times;Serif"/>
          <w:b w:val="false"/>
          <w:i w:val="false"/>
          <w:caps w:val="false"/>
          <w:smallCaps w:val="false"/>
          <w:sz w:val="20"/>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The Company agrees that if the Company breaches any of the material representations or warranties set forth in this Section 3 which is continuing after the applicable cure period as set forth in the Note, if any, and in addition to any other remedies available to the Buyer pursuant to this Agreement, it will be considered an Event of Default under Section 3.4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COVENANTS, AGREEMENTS AND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xml:space="preserve"> The parties shall use their best efforts to satisfy timely each of the conditions described in Section 6 and 7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The Company agrees to file a Form D with respect to the Securities if required under Regulation D and to provide a copy thereof to the Buyer promptly after such filing. The Company shall, on or before the Closing Date, take such action as the Company shall reasonably determine is necessary to qualify the Securities for sale to the Buyer at the applicable closing pursuant to this Agreement under applicable securities or “blue sky” laws of the states of the United States (or to obtain an exemption from such qualification), and shall provide evidence of any such action so taken to the Buyer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Purchase Price for business development and general working capital, and not in violation or contravention of any applicable law, rule or regulation.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Buyer in order to enforce any right or remedy under this Agreement, the Note and any document, agreement or instrument contemplated thereby. Notwithstanding any provision to the contrary contained in this Agreement, the Note and any document, agreement or instrument contemplated thereby, it is expressly agreed and provided that the total liability of the Company under this Agreement, the Note or any document, agreement or instrument contemplated thereby for payments which under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applicable law in the nature of interest that the Company may be obligated to pay under this Agreement, the Note and any document, agreement or instrument contemplated thereby exceed such Maximum Rate. It is agreed that if the maximum contract rate of interest allowed by law applicable to this Agreement, the Note and any document, agreement or instrument contemplated thereby is increased or decreased by statute or any official governmental action subsequent to the date hereof, the new maximum contract rate of interest allowed by law will be the Maximum Rate applicable to this Agreement, the Note and any document, agreement or instrument contemplated thereby from the effective date thereof forward, unless such application is precluded by applicable law. If under any circumstances whatsoever, interest in excess of the Maximum Rate is paid by the Company to the Buyer with respect to indebtedness evidenced by this Agreement, the Note and any document, agreement or instrument contemplated thereby, such excess shall be applied by the Buyer to the unpaid principal balance of any such indebtedness or be refunded to the Company, the manner of handling such excess to be at the Buyer’s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 on Activities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Buyer’s prior written consent, which consent shall not be unreasonably withheld or delayed, sell, divest, acquire, or dispose of all or substantially all of its assets other than in the ordinary course of business, or in the event of a Fundamental Transaction and subject to the conditions set out under Section 4(h)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will, so long as the Buyer owns any of the Securities, maintain the listing and trading of its Common Stock on the Principal Market or any equivalent replacement exchange or electronic quotation system (including but not limited to the Pink Sheets electronic quotation system)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from the Principal Market and any other exchanges or electronic quotation systems on which the Common Stock is then traded regarding the continued eligibility of the Common Stock for listing on such exchanges and quotation systems if requested in writing by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The Company will, so long as the Buyer beneficially owns any of the Securities, maintain its corporate existence and shall not sell all or substantially all of the Company’s assets, except in the event of a Fundamental Transaction (as defined in the Note), where the surviving or successor entity in such transaction (i) assumes the Company’s obligations under the Transaction Documents and (ii) is a publicly traded corporation whose Common Stock is listed for trading or quotation on the Principal Market, any tier of the NASDAQ Stock Market, the New York Stock Exchange or the NYSE American.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xml:space="preserve">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Compliance with 1934 Act; Public Information Failures.</w:t>
      </w:r>
      <w:r>
        <w:rPr>
          <w:rFonts w:ascii="Times New Roman;Times;Serif" w:hAnsi="Times New Roman;Times;Serif"/>
          <w:b w:val="false"/>
          <w:i w:val="false"/>
          <w:caps w:val="false"/>
          <w:smallCaps w:val="false"/>
          <w:sz w:val="20"/>
        </w:rPr>
        <w:t xml:space="preserve"> For so long as the Buyer beneficially owns the Note or any Conversion Shares, the Company shall comply with the reporting requirements of the 1934 Act; and the Company shall continue to be subject to the reporting requirements of the 1934 Act.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Legal Counsel Opinions</w:t>
      </w:r>
      <w:r>
        <w:rPr>
          <w:rFonts w:ascii="Times New Roman;Times;Serif" w:hAnsi="Times New Roman;Times;Serif"/>
          <w:b w:val="false"/>
          <w:i w:val="false"/>
          <w:caps w:val="false"/>
          <w:smallCaps w:val="false"/>
          <w:sz w:val="20"/>
        </w:rPr>
        <w:t>. Upon the reasonable request of the Buyer from to time to time, the Company shall use its commercially reasonable efforts to supply to the Company's transfer agent and the Buyer a legal opinion letter of its counsel to the effect that the resale of the Conversion Shares by the Buyer is exempt from the registration requirements of the 1933 Act pursuant to Rule 144 (provided the requirements of Rule 144 are satisfied). The Company shall have no obligation to provide any opinion with respect to any exemption from registration other than Rule 144. In the event the Buyer desires to sell Conversion Shares pursuant to an exemption other than Rule 144, the Buyer may, at its sole cost and expense, secure its own legal counsel to issue an opinion to the transfer agent; provided that such opinion shall be in form, substance and scope reasonably acceptable to the Company and its counsel, provided, further, that the Company shall not be responsible for any costs or expenses incurred by the Buyer in connection with obtaining any such opinion.</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neither it, nor any other person acting on its behalf will provide the Buyer or its agents or counsel with any information that constitutes, or the Company reasonably believes constitutes, material non-public information, unless prior thereto the Buyer shall have consented to the receipt of such information and agreed with the Company to keep such information confidential. The Company understands and confirms that the Buyer shall be relying on the foregoing covenant in effecting transactions in securities of the Company. To the extent that the Company delivers any material, non-public information to the Buyer without such Buyer’s consent, the Company hereby covenants and agrees that such Buyer shall not have any duty of confidentiality to the Company, any of its Subsidiaries, or any of their respective officers, directors, agents, employees or affiliates, not to trade on the basis of, such material, non- public information, provided that the Buyer shall remain subject to applicable law. To the extent that any notice provided, information provided, or any other communications made by the Company, to the Buyer, constitutes or contains material non-public information regarding the Company or any Subsidiaries, the Company shall simultaneously file such notice or other material information with the SEC pursuant to a Current Report on Form 8-K. In addition to any other remedies provided by this Agreement or the related transaction documents, if the Company provides any material non-public information to the Buyer without their prior written consent, and it fails to immediately (no later than that business day) file a Form 8-K disclosing this material non-public information, it shall pay the Buyer as partial liquidated damages and not as a penalty a sum equal to $3,000 per day beginning with the day the information is disclosed to the Buyer and ending and including the day the Form 8-K disclosing this information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Buyer is currently, or ever has been, a broker-dealer under the Securities Exchange Act of 1934.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xml:space="preserve"> The Company acknowledges and agrees that if the Company breaches any of the material covenants set forth in this Section 4 which is continuing after the applicable cure period in the Note, if any, in addition to any other remedies available to the Buyer pursuant to this Agreement, it will be considered an Event of Default under Section 3.3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issue irrevocable instructions to the Company’s transfer agent to issue certificates and/or issue shares electronically at the Buyer’s option, registered in the name of the Buyer or its nominee, upon conversion of the Note, the Conversion Shares, in such amounts as specified from time to time by the Buyer to the Company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reserved shares of Common Stock in the Reserved Amount (as defined in the Note)) signed by the successor transfer agent to the Company and the Company. Prior to registration of the Conversion Shares under the 1933 Act or the date on which the Conversion Shares may be sold pursuant to Rule 144, Rule 144A, Regulation S, or other applicable exemption without any restriction as to the number of Securities as of a particular date that can then be immediately sold, all such certificates or book entry shares shall bear the restrictive legend specified in Section 2(g)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Securities to be issued to the Buyer upon conversion of or otherwise pursuant to the Note as and when required by the Note and this Agreement; (iii) it will not fail to remove (or directs its transfer agent not to remove or impairs, delays, and/or hinders its transfer agent from removing) any restrictive legend (or to withdraw any stop transfer instructions in respect thereof) on any certificate for any Securities issued to the Buyer upon conversion of or otherwise pursuant to the Note as and when required by the Note and/or this Agreement and (iv) it will provide any required corporate resolutions and issuance approvals to its transfer agent within one (1) business day of each conversion of the Note. Nothing in this Section shall affect in any way the Buyer’s obligations and agreement set forth in Section 2(g) hereof to comply with all applicable prospectus delivery requirements, if any, upon re-sale of the Securities. If the Buyer provides the Company, at the cost of the Company, with (i) an opinion of counsel in form, substance and scope customary for opinions in comparable transactions, to the effect that a public sale or transfer of such Securities may be made without registration under the 1933 Act and such sale or transfer is effected or (ii) the Buyer provides reasonable assurances that the Securities can be sold pursuant to 144, Rule 144A, Regulation S, or other applicable exemption, the Company shall permit the transfer, and, in the case of the Securities, promptly instruct its transfer agent to issue one or more certificates, free from restrictive legend, in such name and in such denominations as specified by the Buyer.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xml:space="preserve"> The obligation of the Company hereunder to issue and sell the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have executed the Transaction Documents and delivered the same to the Company.</w:t>
      </w:r>
    </w:p>
    <w:p>
      <w:pPr>
        <w:pStyle w:val="TextBody"/>
        <w:bidi w:val="0"/>
        <w:spacing w:before="0" w:after="0"/>
        <w:ind w:left="0" w:right="0" w:firstLine="2188"/>
        <w:jc w:val="both"/>
        <w:rPr>
          <w:caps w:val="false"/>
          <w:smallCaps w:val="false"/>
        </w:rPr>
      </w:pPr>
      <w:r>
        <w:rPr>
          <w:caps w:val="false"/>
          <w:smallCaps w:val="false"/>
        </w:rPr>
        <w:t> </w:t>
      </w:r>
    </w:p>
    <w:p>
      <w:pPr>
        <w:pStyle w:val="TextBody"/>
        <w:bidi w:val="0"/>
        <w:spacing w:before="0" w:after="0"/>
        <w:ind w:left="0" w:right="0" w:firstLine="21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delivered the Purchase Price in accordance with Section 1(b)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Buyer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Buyer shall have delivered to the Company all information reasonably necessary and requested by the Company to comply with applicable federal and state securities laws in connection with the Agreement, which shall include, but not be limited to, the Buyer's principal place of business or domicile for tax and securities law purposes and sufficient information to verify the Buyer's status as an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Buyer’s Obligation to Purchase.</w:t>
      </w:r>
      <w:r>
        <w:rPr>
          <w:rFonts w:ascii="Times New Roman;Times;Serif" w:hAnsi="Times New Roman;Times;Serif"/>
          <w:b w:val="false"/>
          <w:i w:val="false"/>
          <w:caps w:val="false"/>
          <w:smallCaps w:val="false"/>
          <w:sz w:val="20"/>
        </w:rPr>
        <w:t xml:space="preserve"> The obligation of the Buyer hereunder to purchase the Note, on the Closing Date, is subject to the satisfaction, at or before the Closing Date, of each of the following conditions, provided that these conditions are for the Buyer’s sole benefit and may be waived by the Buyer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Subsidiaries, as applicable, shall have executed the Transaction Documents and delivered the same to the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Buyer the duly executed Note in such denominations as the Buyer shall request and in accordance with Section 1(b)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5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Buyer, shall have been delivered to and acknowledged in writing by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Trading in the Common Stock on the Principal Market shall not have been suspended by the SEC, FINRA or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Buyer (i) a certificate evidencing the formation and good standing of the Company in such entity’s jurisdiction of formation issued by the Secretary of State (or comparable office) of such jurisdiction, as of a date within ten (10) days of the Closing Date and (ii) resolutions adopted by the Company’s Board of Directors at a duly called meeting or by unanimous written consent authorizing this Agreement and all other documents, instruments and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Arbitration of Claims; Governing Law; Venue</w:t>
      </w:r>
      <w:r>
        <w:rPr>
          <w:rFonts w:ascii="Times New Roman;Times;Serif" w:hAnsi="Times New Roman;Times;Serif"/>
          <w:b w:val="false"/>
          <w:i w:val="false"/>
          <w:caps w:val="false"/>
          <w:smallCaps w:val="false"/>
          <w:sz w:val="20"/>
        </w:rPr>
        <w:t xml:space="preserve">. The Company and Buyer shall submit all Claims (as defined in Exhibit B of this Purchase Agreement) (the “Claims”) arising under this Agreement or any other agreement between the Company and Buyer or their respective affiliates (including but not limited to the Transaction Documents) or any Claim relating to the relationship of the Company and Buyer or their respective affiliates to binding arbitration pursuant to the arbitration provisions set forth in Exhibit B of the Purchase Agreement (the “Arbitration Provisions”). The Company and Buyer hereby acknowledge and agree that the Arbitration Provisions are unconditionally binding on the Company and Buyer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Buyer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Buyer consent to and expressly agree that the exclusive venue for arbitration of any Claims arising under this Agreement or any other agreement between the Company and Buyer or their respective affiliates (including but not limited to the Transaction Documents) or any Claim relating to the relationship of the Company and Buyer or their respective affiliates shall be in State of Delaware. Without modifying the Company’s and Buyer’s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or otherwise related to Buyer in any way (specifically including, without limitation, any action where Company seeks to obtain an injunction, temporary restraining order, or otherwise prohibit the Company’s transfer agent from issuing shares of Common Stock to Buyer for any reason)), each party hereto hereby (i) consents to and expressly submits to the exclusive personal jurisdiction of any state or federal court sitting in State of Delaware,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Buyer for any reason) outside of any state or federal court sitting in State of Delaware,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Buyer to realize on any collateral or any other security, or to enforce a judgment or other court ruling in favor of the Buyer,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but all of which shall constitute one and the same agreement and shall become effective when counterparts have been signed by each party and delivered to the other party. A facsimile or .pdf signature shall be considered due execution and shall be binding upon the signatory thereto with the same force and effect as if the signature were an original, not a facsimile or .pdf signature. Delivery of a counterpart signature hereto by facsimile or email/.pdf transmission shall be deemed validly delivery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xml:space="preserve"> This Agreement shall be deemed to be jointly drafted by the Company and the Buyer and shall not be construed against any person as the drafter hereof. The headings of this Agreement are for convenience of reference only and shall not form part of, or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Agreement, the Note, or any other agreement or instrument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Agreement, the Note, or any other agreement, certificate, instrument or document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the Note,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or any agreement or instrument contemplated hereby may be waived or amended other than by an instrument in writing signed by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HINTERLAND PARTNERS LLC</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N King St., Suite 304-2803</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DE 19801</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patrick@hinterlandllc.com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assigns. The Company shall not assign this Agreement or any rights or obligations hereunder without the prior written consent of the Buyer. The Buyer may assign its rights hereunder to any “accredited investor” (as defined in Rule 501(a) of the 1933 Act) in a private transaction from the Buyer or to any of its “affiliates,” as that term is defined under the 1934 Act, without the consent of the Company but shall provide prior notice to the Company of such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The Company, and the Buyer shall have the right to review a reasonable period of time before issuance of any press releases, SEC, Principal Market or FINRA filings, or any other public statements with respect to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without the prior approval of the Buyer, to make any press release or SEC, Principal Market (or other applicable trading market) or FINRA filings with respect to such transactions as is required by applicable law and regulations (although the Buyer shall be consulted by the Company in connection with any such press release prior to its release and shall be provided with a copy thereof and be given an opportunity to comment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xml:space="preserve">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Buyer’s execution and delivery of this Agreement and acquiring the Securities hereunder, and in addition to all of the Company’s other obligations under this Agreement or the Note, the Company shall defend, protect, indemnify and hold harmless the Buyer and its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the Note or any other agreement, certificate, instrument or document contemplated hereby or thereby, (b) any breach of any covenant, agreement or obligation of the Company contained in this Agreement, the Note or any other agreement,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this Agreement, the Note or any other agreement, certificate, instrument or document contemplated hereby or thereby, (ii) any transaction financed or to be financed in whole or in part, directly or indirectly, with the proceeds of the issuance of the Securities, or (iii) the status of the Buyer or holder of the Securities as an investor in the Company pursuant to the transactions contemplated by this Agreement. To the extent that the foregoing undertaking by the Company may be unenforceable for any reason, the Company shall make the maximum contribution to the payment and satisfaction of each of the Indemnified Liabilities that is permissible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the Note, or any other agreement, certificate, instrument or document contemplated hereby or thereby will be inadequate and agrees, in the event of a breach or threatened breach by the Company of the provisions of this Agreement, the Note, or any other agreement, certificate, instrument or document contemplated hereby or thereby, that the Buyer shall be entitled, in addition to all other available remedies at law or in equity, and in addition to the penalties assessable herein, to an injunction or injunctions restraining, preventing or curing any breach of this Agreement, the Note, or any other agreement, certificate, instrument or document contemplated hereby or thereby, and to enforce specifically the terms and provisions hereof and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(i) Company makes a payment or payments to the Buyer hereunder, pursuant to the Note or pursuant to any other agreement, certificate, instrument or document contemplated hereby or thereby, or (ii) the Buyer enforces or exercises its rights hereunder or pursuant to the Note, or pursuant to any other agreement, certificate, instrument or document contemplated hereby or thereby,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Buyer,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Buyer a dollar amount equal to the amount that was for any reason (i) subsequently invalidated, declared to be fraudulent or preferential, set aside, recovered from, or disgorged by the Buyer,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Buyer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Buyer existing hereunder are cumulative to, and not exclusive of, any rights or remedies otherwise available.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380"/>
        <w:gridCol w:w="590"/>
        <w:gridCol w:w="2540"/>
        <w:gridCol w:w="75"/>
      </w:tblGrid>
      <w:tr>
        <w:trPr/>
        <w:tc>
          <w:tcPr>
            <w:tcW w:w="380" w:type="dxa"/>
            <w:tcBorders/>
            <w:vAlign w:val="center"/>
          </w:tcPr>
          <w:p>
            <w:pPr>
              <w:pStyle w:val="TableContents"/>
              <w:bidi w:val="0"/>
              <w:spacing w:before="0" w:after="283"/>
              <w:jc w:val="left"/>
              <w:rPr>
                <w:sz w:val="20"/>
              </w:rPr>
            </w:pPr>
            <w:r>
              <w:rPr>
                <w:sz w:val="20"/>
              </w:rPr>
              <w:t xml:space="preserve">By: </w:t>
            </w:r>
          </w:p>
        </w:tc>
        <w:tc>
          <w:tcPr>
            <w:tcW w:w="313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2540" w:type="dxa"/>
            <w:tcBorders/>
            <w:vAlign w:val="center"/>
          </w:tcPr>
          <w:p>
            <w:pPr>
              <w:pStyle w:val="TableContents"/>
              <w:bidi w:val="0"/>
              <w:spacing w:before="0" w:after="283"/>
              <w:jc w:val="left"/>
              <w:rPr>
                <w:sz w:val="20"/>
              </w:rPr>
            </w:pPr>
            <w:r>
              <w:rPr>
                <w:sz w:val="20"/>
              </w:rPr>
              <w:t>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25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HINTERLAND PARTNERS LLC</w:t>
      </w:r>
    </w:p>
    <w:p>
      <w:pPr>
        <w:pStyle w:val="TextBody"/>
        <w:bidi w:val="0"/>
        <w:spacing w:before="0" w:after="0"/>
        <w:ind w:left="0" w:right="0" w:hanging="0"/>
        <w:jc w:val="left"/>
        <w:rPr>
          <w:caps w:val="false"/>
          <w:smallCaps w:val="false"/>
        </w:rPr>
      </w:pPr>
      <w:r>
        <w:rPr>
          <w:caps w:val="false"/>
          <w:smallCaps w:val="false"/>
        </w:rPr>
        <w:t> </w:t>
      </w:r>
    </w:p>
    <w:tbl>
      <w:tblPr>
        <w:tblW w:w="3735" w:type="dxa"/>
        <w:jc w:val="left"/>
        <w:tblInd w:w="0" w:type="dxa"/>
        <w:tblLayout w:type="fixed"/>
        <w:tblCellMar>
          <w:top w:w="0" w:type="dxa"/>
          <w:left w:w="0" w:type="dxa"/>
          <w:bottom w:w="0" w:type="dxa"/>
          <w:right w:w="0" w:type="dxa"/>
        </w:tblCellMar>
      </w:tblPr>
      <w:tblGrid>
        <w:gridCol w:w="380"/>
        <w:gridCol w:w="590"/>
        <w:gridCol w:w="2690"/>
        <w:gridCol w:w="75"/>
      </w:tblGrid>
      <w:tr>
        <w:trPr/>
        <w:tc>
          <w:tcPr>
            <w:tcW w:w="380" w:type="dxa"/>
            <w:tcBorders/>
            <w:vAlign w:val="center"/>
          </w:tcPr>
          <w:p>
            <w:pPr>
              <w:pStyle w:val="TableContents"/>
              <w:bidi w:val="0"/>
              <w:spacing w:before="0" w:after="283"/>
              <w:jc w:val="left"/>
              <w:rPr>
                <w:sz w:val="20"/>
              </w:rPr>
            </w:pPr>
            <w:r>
              <w:rPr>
                <w:sz w:val="20"/>
              </w:rPr>
              <w:t xml:space="preserve">By: </w:t>
            </w:r>
          </w:p>
        </w:tc>
        <w:tc>
          <w:tcPr>
            <w:tcW w:w="328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Patrick Hassani</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2690" w:type="dxa"/>
            <w:tcBorders/>
            <w:vAlign w:val="center"/>
          </w:tcPr>
          <w:p>
            <w:pPr>
              <w:pStyle w:val="TableContents"/>
              <w:bidi w:val="0"/>
              <w:spacing w:before="0" w:after="283"/>
              <w:jc w:val="left"/>
              <w:rPr>
                <w:sz w:val="20"/>
              </w:rPr>
            </w:pPr>
            <w:r>
              <w:rPr>
                <w:sz w:val="20"/>
              </w:rPr>
              <w:t>PATRICK HASSANI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2690" w:type="dxa"/>
            <w:tcBorders/>
            <w:vAlign w:val="center"/>
          </w:tcPr>
          <w:p>
            <w:pPr>
              <w:pStyle w:val="TableContents"/>
              <w:bidi w:val="0"/>
              <w:spacing w:before="0" w:after="283"/>
              <w:jc w:val="left"/>
              <w:rPr>
                <w:sz w:val="20"/>
              </w:rPr>
            </w:pPr>
            <w:r>
              <w:rPr>
                <w:sz w:val="20"/>
              </w:rPr>
              <w:t>CHIEF INVESTMENT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[attached hereto]</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Each party consents to and expressly agrees that the exclusive venue for arbitration of any dispute arising out of or relating to any of the Transaction Documents or the relationship of the parties or their affiliates shall be in State of Delaware. For purposes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means any disputes, claims, demands, causes of action, requests for injunctive relief, requests for specific performance, questions regarding severability of any provisions of the Transaction Documents,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The parties to this Agreement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hereby agree that the Claims may be arbitrated in one or more Arbitrations pursuant to these Arbitration Provisions (one for an injunction or injunctions and a separate one for all other Claims). The parties hereby agree that the arbitration provisions set forth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Arbitration Provisions</w:t>
      </w:r>
      <w:r>
        <w:rPr>
          <w:rFonts w:ascii="Times New Roman;Times;Serif" w:hAnsi="Times New Roman;Times;Serif"/>
          <w:b w:val="false"/>
          <w:i w:val="false"/>
          <w:caps w:val="false"/>
          <w:smallCaps w:val="false"/>
          <w:sz w:val="20"/>
        </w:rPr>
        <w:t>”)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These Arbitration Provisions shall also survive any termination or expiration of the Agreement. Any capitalized term not defined in these Arbitration Provisions shall have the meaning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Except as otherwise provided herein, all Claims must be submitted to arbitration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 to be conducted exclusively in State of Delaware and pursuant to the terms set forth in these Arbitration Provisions. Subject to the arbitration appeal right provided for in Paragraph 5 below (the “</w:t>
      </w:r>
      <w:r>
        <w:rPr>
          <w:rFonts w:ascii="Times New Roman;Times;Serif" w:hAnsi="Times New Roman;Times;Serif"/>
          <w:b/>
          <w:i w:val="false"/>
          <w:caps w:val="false"/>
          <w:smallCaps w:val="false"/>
          <w:sz w:val="20"/>
        </w:rPr>
        <w:t>Appeal Right</w:t>
      </w:r>
      <w:r>
        <w:rPr>
          <w:rFonts w:ascii="Times New Roman;Times;Serif" w:hAnsi="Times New Roman;Times;Serif"/>
          <w:b w:val="false"/>
          <w:i w:val="false"/>
          <w:caps w:val="false"/>
          <w:smallCaps w:val="false"/>
          <w:sz w:val="20"/>
        </w:rPr>
        <w:t>”), the parties agree that the award of the arbitrator rendered pursuant to Paragraph 4 below (the “</w:t>
      </w:r>
      <w:r>
        <w:rPr>
          <w:rFonts w:ascii="Times New Roman;Times;Serif" w:hAnsi="Times New Roman;Times;Serif"/>
          <w:b/>
          <w:i w:val="false"/>
          <w:caps w:val="false"/>
          <w:smallCaps w:val="false"/>
          <w:sz w:val="20"/>
        </w:rPr>
        <w:t>Arbitration Award</w:t>
      </w:r>
      <w:r>
        <w:rPr>
          <w:rFonts w:ascii="Times New Roman;Times;Serif" w:hAnsi="Times New Roman;Times;Serif"/>
          <w:b w:val="false"/>
          <w:i w:val="false"/>
          <w:caps w:val="false"/>
          <w:smallCaps w:val="false"/>
          <w:sz w:val="20"/>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(with respect to monetary awards) at the rate specified in the Note for Default Interest both before and after the Arbitration Award. Judgment upon the Arbitration Award will be entered and enforced by any state or federal court sitting in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The Arbitration Act</w:t>
      </w:r>
      <w:r>
        <w:rPr>
          <w:rFonts w:ascii="Times New Roman;Times;Serif" w:hAnsi="Times New Roman;Times;Serif"/>
          <w:b w:val="false"/>
          <w:i w:val="false"/>
          <w:caps w:val="false"/>
          <w:smallCaps w:val="false"/>
          <w:sz w:val="20"/>
        </w:rPr>
        <w:t>. The parties hereby incorporate herein the provisions and procedures set forth in the Delaware Uniform Arbitration Act, Title 10 Chapter 57 (as amended or superseded from time to time, the “</w:t>
      </w:r>
      <w:r>
        <w:rPr>
          <w:rFonts w:ascii="Times New Roman;Times;Serif" w:hAnsi="Times New Roman;Times;Serif"/>
          <w:b/>
          <w:i w:val="false"/>
          <w:caps w:val="false"/>
          <w:smallCaps w:val="false"/>
          <w:sz w:val="20"/>
        </w:rPr>
        <w:t>Arbitration Act</w:t>
      </w:r>
      <w:r>
        <w:rPr>
          <w:rFonts w:ascii="Times New Roman;Times;Serif" w:hAnsi="Times New Roman;Times;Serif"/>
          <w:b w:val="false"/>
          <w:i w:val="false"/>
          <w:caps w:val="false"/>
          <w:smallCaps w:val="false"/>
          <w:sz w:val="20"/>
        </w:rPr>
        <w:t>”). Notwithstanding the foregoing, pursuant to, and to the maximum extent permitted by,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Arbitration Proceedings</w:t>
      </w:r>
      <w:r>
        <w:rPr>
          <w:rFonts w:ascii="Times New Roman;Times;Serif" w:hAnsi="Times New Roman;Times;Serif"/>
          <w:b w:val="false"/>
          <w:i w:val="false"/>
          <w:caps w:val="false"/>
          <w:smallCaps w:val="false"/>
          <w:sz w:val="20"/>
        </w:rPr>
        <w:t>. Arbitration between the parties will be subject to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caps w:val="false"/>
          <w:smallCaps w:val="false"/>
          <w:sz w:val="20"/>
        </w:rPr>
        <w:t>Initiation of Arbitration</w:t>
      </w:r>
      <w:r>
        <w:rPr>
          <w:rFonts w:ascii="Times New Roman;Times;Serif" w:hAnsi="Times New Roman;Times;Serif"/>
          <w:b w:val="false"/>
          <w:i w:val="false"/>
          <w:caps w:val="false"/>
          <w:smallCaps w:val="false"/>
          <w:sz w:val="20"/>
        </w:rPr>
        <w:t>. The parties agree that a party may initiate Arbitration by giving written notice to the other party (“</w:t>
      </w:r>
      <w:r>
        <w:rPr>
          <w:rFonts w:ascii="Times New Roman;Times;Serif" w:hAnsi="Times New Roman;Times;Serif"/>
          <w:b/>
          <w:i w:val="false"/>
          <w:caps w:val="false"/>
          <w:smallCaps w:val="false"/>
          <w:sz w:val="20"/>
        </w:rPr>
        <w:t>Arbitration Notice</w:t>
      </w:r>
      <w:r>
        <w:rPr>
          <w:rFonts w:ascii="Times New Roman;Times;Serif" w:hAnsi="Times New Roman;Times;Serif"/>
          <w:b w:val="false"/>
          <w:i w:val="false"/>
          <w:caps w:val="false"/>
          <w:smallCaps w:val="false"/>
          <w:sz w:val="20"/>
        </w:rPr>
        <w:t xml:space="preserve">”) in the same manner that notice is permitted under Section 8(f) of the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Arbitration Notice may not be given by email or fax. Arbitration will be deemed initiated as of the date that the Arbitration Notice is deemed physically delivered to such other party under Section 8(f) of the Agreement (the “</w:t>
      </w:r>
      <w:r>
        <w:rPr>
          <w:rFonts w:ascii="Times New Roman;Times;Serif" w:hAnsi="Times New Roman;Times;Serif"/>
          <w:b/>
          <w:i w:val="false"/>
          <w:caps w:val="false"/>
          <w:smallCaps w:val="false"/>
          <w:sz w:val="20"/>
        </w:rPr>
        <w:t>Service Date</w:t>
      </w:r>
      <w:r>
        <w:rPr>
          <w:rFonts w:ascii="Times New Roman;Times;Serif" w:hAnsi="Times New Roman;Times;Serif"/>
          <w:b w:val="false"/>
          <w:i w:val="false"/>
          <w:caps w:val="false"/>
          <w:smallCaps w:val="false"/>
          <w:sz w:val="20"/>
        </w:rPr>
        <w:t>”). After the Service Date, information may be delivered, and notices may be given, by email or fax pursuant to Section 8(f) of the Agreement or any other method permitted thereunder. The Arbitration Notice must describe the nature of the controversy, the remedies sought, and the election to commence Arbitration proceedings. All Claims in the Arbitration Notice must be pleaded consistent with the Delaware Rules of Civil Procedure.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caps w:val="false"/>
          <w:smallCaps w:val="false"/>
          <w:sz w:val="20"/>
        </w:rPr>
        <w:t>Selection and Payment of Arbitrator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Service Date, Buyer shall select and submit to Company the names of four (4) arbitrators that are designated as “neutrals” or qualified arbitrators by American Arbitration Association (“AAA”) (https://www.adr.org/) or other arbitration service provider agreed upon by the parties (such four (4) designated persons hereunder are referred to herein as the “</w:t>
      </w:r>
      <w:r>
        <w:rPr>
          <w:rFonts w:ascii="Times New Roman;Times;Serif" w:hAnsi="Times New Roman;Times;Serif"/>
          <w:b/>
          <w:i w:val="false"/>
          <w:caps w:val="false"/>
          <w:smallCaps w:val="false"/>
          <w:sz w:val="20"/>
        </w:rPr>
        <w:t>Proposed Arbitrators</w:t>
      </w:r>
      <w:r>
        <w:rPr>
          <w:rFonts w:ascii="Times New Roman;Times;Serif" w:hAnsi="Times New Roman;Times;Serif"/>
          <w:b w:val="false"/>
          <w:i w:val="false"/>
          <w:caps w:val="false"/>
          <w:smallCaps w:val="false"/>
          <w:sz w:val="20"/>
        </w:rPr>
        <w:t>”). Within five (5) calendar days after Buyer has submitted to Company the names of the Proposed Arbitrators, Company must select, by written notice to Buyer, one (1) of the Proposed Arbitrators to act as the arbitrator for the parties under these Arbitration Provisions. If Company fails to select one of the Proposed Arbitrators in writing within such 5-day period, then Buyer may select the arbitrator from the Proposed Arbitrators by providing written notice of such selection to Company. The date that the Proposed Arbitrator selected pursuant to this Paragraph 4.2 agrees in writing (including via email) delivered to both parties to serve as the arbitrator hereunder is referred to herein as the “</w:t>
      </w:r>
      <w:r>
        <w:rPr>
          <w:rFonts w:ascii="Times New Roman;Times;Serif" w:hAnsi="Times New Roman;Times;Serif"/>
          <w:b/>
          <w:i w:val="false"/>
          <w:caps w:val="false"/>
          <w:smallCaps w:val="false"/>
          <w:sz w:val="20"/>
        </w:rPr>
        <w:t>Arbitration Commencement Date</w:t>
      </w:r>
      <w:r>
        <w:rPr>
          <w:rFonts w:ascii="Times New Roman;Times;Serif" w:hAnsi="Times New Roman;Times;Serif"/>
          <w:b w:val="false"/>
          <w:i w:val="false"/>
          <w:caps w:val="false"/>
          <w:smallCaps w:val="false"/>
          <w:sz w:val="20"/>
        </w:rPr>
        <w:t>”. If an arbitrator resigns or is unable to act during the Arbitration, a replacement arbitrator shall be chosen by Buyer in accordance with this Paragraph 4.2 to continue the Arbitration. If AAA or other arbitration service provider agreed upon by the parties ceases to exist or to provide a list of neutrals and there is no successor thereto, then the arbitrator shall be selected under the then prevailing rules of the American Arbitration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caps w:val="false"/>
          <w:smallCaps w:val="false"/>
          <w:sz w:val="20"/>
        </w:rPr>
        <w:t>Applicability of Certain Delaware Rules</w:t>
      </w:r>
      <w:r>
        <w:rPr>
          <w:rFonts w:ascii="Times New Roman;Times;Serif" w:hAnsi="Times New Roman;Times;Serif"/>
          <w:b w:val="false"/>
          <w:i w:val="false"/>
          <w:caps w:val="false"/>
          <w:smallCaps w:val="false"/>
          <w:sz w:val="20"/>
        </w:rPr>
        <w:t>. The parties agree that the Arbitration shall be conducted generally in accordance with the Delaware Rules of Civil Procedure and the Delaware Rules of Evidence. More specifically, the Delaware Rules of Civil Procedure shall apply, without limitation, to the filing of any pleadings, motions or memoranda, the conducting of discovery, and the taking of any depositions. The Delaware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Delaware Rules of Civil Procedure or the Delaware Rules of Evidence and these Arbitration Provisions, these Arbitration Provisions shall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caps w:val="false"/>
          <w:smallCaps w:val="false"/>
          <w:sz w:val="20"/>
        </w:rPr>
        <w:t>Answer and Default</w:t>
      </w:r>
      <w:r>
        <w:rPr>
          <w:rFonts w:ascii="Times New Roman;Times;Serif" w:hAnsi="Times New Roman;Times;Serif"/>
          <w:b w:val="false"/>
          <w:i w:val="false"/>
          <w:caps w:val="false"/>
          <w:smallCaps w:val="false"/>
          <w:sz w:val="20"/>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Discovery</w:t>
      </w:r>
      <w:r>
        <w:rPr>
          <w:rFonts w:ascii="Times New Roman;Times;Serif" w:hAnsi="Times New Roman;Times;Serif"/>
          <w:b w:val="false"/>
          <w:i w:val="false"/>
          <w:caps w:val="false"/>
          <w:smallCaps w:val="false"/>
          <w:sz w:val="20"/>
        </w:rPr>
        <w:t>. The parties agree that discovery shall be conducted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Dispositive Motions</w:t>
      </w:r>
      <w:r>
        <w:rPr>
          <w:rFonts w:ascii="Times New Roman;Times;Serif" w:hAnsi="Times New Roman;Times;Serif"/>
          <w:b w:val="false"/>
          <w:i w:val="false"/>
          <w:caps w:val="false"/>
          <w:smallCaps w:val="false"/>
          <w:sz w:val="20"/>
        </w:rPr>
        <w:t>. Each party shall have the right to submit dispositive motions pursuant to the Delaware Rules of Civil Procedure (a “</w:t>
      </w:r>
      <w:r>
        <w:rPr>
          <w:rFonts w:ascii="Times New Roman;Times;Serif" w:hAnsi="Times New Roman;Times;Serif"/>
          <w:b/>
          <w:i w:val="false"/>
          <w:caps w:val="false"/>
          <w:smallCaps w:val="false"/>
          <w:sz w:val="20"/>
        </w:rPr>
        <w:t>Dispositive Motion</w:t>
      </w:r>
      <w:r>
        <w:rPr>
          <w:rFonts w:ascii="Times New Roman;Times;Serif" w:hAnsi="Times New Roman;Times;Serif"/>
          <w:b w:val="false"/>
          <w:i w:val="false"/>
          <w:caps w:val="false"/>
          <w:smallCaps w:val="false"/>
          <w:sz w:val="20"/>
        </w:rPr>
        <w:t>”). The party submitting the Dispositive Motion may, but is not required to, deliver to the arbitrator and to the other party a memorandum in support (the “</w:t>
      </w:r>
      <w:r>
        <w:rPr>
          <w:rFonts w:ascii="Times New Roman;Times;Serif" w:hAnsi="Times New Roman;Times;Serif"/>
          <w:b/>
          <w:i w:val="false"/>
          <w:caps w:val="false"/>
          <w:smallCaps w:val="false"/>
          <w:sz w:val="20"/>
        </w:rPr>
        <w:t>Memorandum in Support</w:t>
      </w:r>
      <w:r>
        <w:rPr>
          <w:rFonts w:ascii="Times New Roman;Times;Serif" w:hAnsi="Times New Roman;Times;Serif"/>
          <w:b w:val="false"/>
          <w:i w:val="false"/>
          <w:caps w:val="false"/>
          <w:smallCaps w:val="false"/>
          <w:sz w:val="20"/>
        </w:rPr>
        <w:t>”) of the Dispositive Motion. Within seven (7) calendar days of delivery of the Memorandum in Support, the other party shall deliver to the arbitrator and to the other party a memorandum in opposition to the Memorandum in Support (the “</w:t>
      </w:r>
      <w:r>
        <w:rPr>
          <w:rFonts w:ascii="Times New Roman;Times;Serif" w:hAnsi="Times New Roman;Times;Serif"/>
          <w:b/>
          <w:i w:val="false"/>
          <w:caps w:val="false"/>
          <w:smallCaps w:val="false"/>
          <w:sz w:val="20"/>
        </w:rPr>
        <w:t>Memorandum in Opposition</w:t>
      </w:r>
      <w:r>
        <w:rPr>
          <w:rFonts w:ascii="Times New Roman;Times;Serif" w:hAnsi="Times New Roman;Times;Serif"/>
          <w:b w:val="false"/>
          <w:i w:val="false"/>
          <w:caps w:val="false"/>
          <w:smallCaps w:val="false"/>
          <w:sz w:val="20"/>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Times;Serif" w:hAnsi="Times New Roman;Times;Serif"/>
          <w:b/>
          <w:i w:val="false"/>
          <w:caps w:val="false"/>
          <w:smallCaps w:val="false"/>
          <w:sz w:val="20"/>
        </w:rPr>
        <w:t>Reply Memorandum</w:t>
      </w:r>
      <w:r>
        <w:rPr>
          <w:rFonts w:ascii="Times New Roman;Times;Serif" w:hAnsi="Times New Roman;Times;Serif"/>
          <w:b w:val="false"/>
          <w:i w:val="false"/>
          <w:caps w:val="false"/>
          <w:smallCaps w:val="false"/>
          <w:sz w:val="20"/>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caps w:val="false"/>
          <w:smallCaps w:val="false"/>
          <w:sz w:val="20"/>
        </w:rPr>
        <w:t>Authorization; Timing; Scheduling Order</w:t>
      </w:r>
      <w:r>
        <w:rPr>
          <w:rFonts w:ascii="Times New Roman;Times;Serif" w:hAnsi="Times New Roman;Times;Serif"/>
          <w:b w:val="false"/>
          <w:i w:val="false"/>
          <w:caps w:val="false"/>
          <w:smallCaps w:val="false"/>
          <w:sz w:val="20"/>
        </w:rPr>
        <w:t>. Subject to all other portions of these Arbitration Provisions, the parties hereby authorize and direct the arbitrator to take such actions and make such rulings as may be necessary to carry out the parties’ intent for the Arbitration proceedings to be efficient and expeditious. The parties hereby agree that an Arbitration Award must be made within one hundred twenty (120) calendar days after the Arbitration Commencement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caps w:val="false"/>
          <w:smallCaps w:val="false"/>
          <w:sz w:val="20"/>
        </w:rPr>
        <w:t>Relief</w:t>
      </w:r>
      <w:r>
        <w:rPr>
          <w:rFonts w:ascii="Times New Roman;Times;Serif" w:hAnsi="Times New Roman;Times;Serif"/>
          <w:b w:val="false"/>
          <w:i w:val="false"/>
          <w:caps w:val="false"/>
          <w:smallCaps w:val="false"/>
          <w:sz w:val="20"/>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Arbitration Appeal</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caps w:val="false"/>
          <w:smallCaps w:val="false"/>
          <w:sz w:val="20"/>
        </w:rPr>
        <w:t xml:space="preserve">Initiation of Appeal. </w:t>
      </w:r>
      <w:r>
        <w:rPr>
          <w:rFonts w:ascii="Times New Roman;Times;Serif" w:hAnsi="Times New Roman;Times;Serif"/>
          <w:b w:val="false"/>
          <w:i w:val="false"/>
          <w:caps w:val="false"/>
          <w:smallCaps w:val="false"/>
          <w:sz w:val="20"/>
        </w:rPr>
        <w:t>Following the entry of the Arbitration Award, either party (the “</w:t>
      </w:r>
      <w:r>
        <w:rPr>
          <w:rFonts w:ascii="Times New Roman;Times;Serif" w:hAnsi="Times New Roman;Times;Serif"/>
          <w:b/>
          <w:i w:val="false"/>
          <w:caps w:val="false"/>
          <w:smallCaps w:val="false"/>
          <w:sz w:val="20"/>
        </w:rPr>
        <w:t>Appellant</w:t>
      </w:r>
      <w:r>
        <w:rPr>
          <w:rFonts w:ascii="Times New Roman;Times;Serif" w:hAnsi="Times New Roman;Times;Serif"/>
          <w:b w:val="false"/>
          <w:i w:val="false"/>
          <w:caps w:val="false"/>
          <w:smallCaps w:val="false"/>
          <w:sz w:val="20"/>
        </w:rPr>
        <w:t>”) shall have a period of thirty (30) calendar days in which to notify the other party (the “</w:t>
      </w:r>
      <w:r>
        <w:rPr>
          <w:rFonts w:ascii="Times New Roman;Times;Serif" w:hAnsi="Times New Roman;Times;Serif"/>
          <w:b/>
          <w:i w:val="false"/>
          <w:caps w:val="false"/>
          <w:smallCaps w:val="false"/>
          <w:sz w:val="20"/>
        </w:rPr>
        <w:t>Appellee</w:t>
      </w:r>
      <w:r>
        <w:rPr>
          <w:rFonts w:ascii="Times New Roman;Times;Serif" w:hAnsi="Times New Roman;Times;Serif"/>
          <w:b w:val="false"/>
          <w:i w:val="false"/>
          <w:caps w:val="false"/>
          <w:smallCaps w:val="false"/>
          <w:sz w:val="20"/>
        </w:rPr>
        <w:t>”), in writing, that the Appellant elects to appeal (the “</w:t>
      </w:r>
      <w:r>
        <w:rPr>
          <w:rFonts w:ascii="Times New Roman;Times;Serif" w:hAnsi="Times New Roman;Times;Serif"/>
          <w:b/>
          <w:i w:val="false"/>
          <w:caps w:val="false"/>
          <w:smallCaps w:val="false"/>
          <w:sz w:val="20"/>
        </w:rPr>
        <w:t>Appeal</w:t>
      </w:r>
      <w:r>
        <w:rPr>
          <w:rFonts w:ascii="Times New Roman;Times;Serif" w:hAnsi="Times New Roman;Times;Serif"/>
          <w:b w:val="false"/>
          <w:i w:val="false"/>
          <w:caps w:val="false"/>
          <w:smallCaps w:val="false"/>
          <w:sz w:val="20"/>
        </w:rPr>
        <w:t>”) the Arbitration Award (such notice, an “</w:t>
      </w:r>
      <w:r>
        <w:rPr>
          <w:rFonts w:ascii="Times New Roman;Times;Serif" w:hAnsi="Times New Roman;Times;Serif"/>
          <w:b/>
          <w:i w:val="false"/>
          <w:caps w:val="false"/>
          <w:smallCaps w:val="false"/>
          <w:sz w:val="20"/>
        </w:rPr>
        <w:t>Appeal Notice</w:t>
      </w:r>
      <w:r>
        <w:rPr>
          <w:rFonts w:ascii="Times New Roman;Times;Serif" w:hAnsi="Times New Roman;Times;Serif"/>
          <w:b w:val="false"/>
          <w:i w:val="false"/>
          <w:caps w:val="false"/>
          <w:smallCaps w:val="false"/>
          <w:sz w:val="20"/>
        </w:rPr>
        <w:t>”) to a panel of arbitrators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caps w:val="false"/>
          <w:smallCaps w:val="false"/>
          <w:sz w:val="20"/>
        </w:rPr>
        <w:t xml:space="preserve">Fees and Costs. </w:t>
      </w:r>
      <w:r>
        <w:rPr>
          <w:rFonts w:ascii="Times New Roman;Times;Serif" w:hAnsi="Times New Roman;Times;Serif"/>
          <w:b w:val="false"/>
          <w:i w:val="false"/>
          <w:caps w:val="false"/>
          <w:smallCaps w:val="false"/>
          <w:sz w:val="20"/>
        </w:rPr>
        <w:t>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Except as otherwise expressly provided for in these Arbitration Provisions, these Arbitration Provisions shall be governed by the laws of the State of Delaware without regard to the conflict of laws principles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headings of these Arbitration Provisions are for convenience of reference only and shall not form part of, or affect the interpretation of, these Arbitration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caps w:val="false"/>
          <w:smallCaps w:val="false"/>
          <w:sz w:val="20"/>
        </w:rPr>
        <w:t>Waiver</w:t>
      </w:r>
      <w:r>
        <w:rPr>
          <w:rFonts w:ascii="Times New Roman;Times;Serif" w:hAnsi="Times New Roman;Times;Serif"/>
          <w:b w:val="false"/>
          <w:i w:val="false"/>
          <w:caps w:val="false"/>
          <w:smallCaps w:val="false"/>
          <w:sz w:val="20"/>
        </w:rPr>
        <w:t>. No waiver of any provision of these Arbitration Provisions shall be effective unless it is in the form of a writing signed by the party granting the waiver.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caps w:val="false"/>
          <w:smallCaps w:val="false"/>
          <w:sz w:val="20"/>
        </w:rPr>
        <w:t>Time is of the Essence</w:t>
      </w:r>
      <w:r>
        <w:rPr>
          <w:rFonts w:ascii="Times New Roman;Times;Serif" w:hAnsi="Times New Roman;Times;Serif"/>
          <w:b w:val="false"/>
          <w:i w:val="false"/>
          <w:caps w:val="false"/>
          <w:smallCaps w:val="false"/>
          <w:sz w:val="20"/>
        </w:rPr>
        <w:t>. Time is expressly made of the essence with respect to each and every provision of these Arbitration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9" w:name="ea030132501ex10-70.htm"/>
      <w:bookmarkStart w:id="90" w:name="ksea030132501ex1070"/>
      <w:bookmarkEnd w:id="89"/>
      <w:bookmarkEnd w:id="90"/>
      <w:r>
        <w:rPr>
          <w:rFonts w:ascii="Times New Roman;Times;Serif" w:hAnsi="Times New Roman;Times;Serif"/>
          <w:b/>
          <w:i w:val="false"/>
          <w:caps w:val="false"/>
          <w:smallCaps w:val="false"/>
          <w:sz w:val="20"/>
        </w:rPr>
        <w:t>Exhibit 10.70</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OR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3980"/>
        <w:gridCol w:w="2345"/>
      </w:tblGrid>
      <w:tr>
        <w:trPr/>
        <w:tc>
          <w:tcPr>
            <w:tcW w:w="3980" w:type="dxa"/>
            <w:tcBorders/>
            <w:vAlign w:val="center"/>
          </w:tcPr>
          <w:p>
            <w:pPr>
              <w:pStyle w:val="TableContents"/>
              <w:bidi w:val="0"/>
              <w:spacing w:before="0" w:after="283"/>
              <w:jc w:val="left"/>
              <w:rPr>
                <w:b/>
                <w:sz w:val="20"/>
              </w:rPr>
            </w:pPr>
            <w:r>
              <w:rPr>
                <w:b/>
                <w:sz w:val="20"/>
              </w:rPr>
              <w:t>Principal Amount: $250,000.00</w:t>
            </w:r>
          </w:p>
        </w:tc>
        <w:tc>
          <w:tcPr>
            <w:tcW w:w="2345" w:type="dxa"/>
            <w:tcBorders/>
            <w:vAlign w:val="center"/>
          </w:tcPr>
          <w:p>
            <w:pPr>
              <w:pStyle w:val="TableContents"/>
              <w:bidi w:val="0"/>
              <w:spacing w:before="0" w:after="283"/>
              <w:jc w:val="right"/>
              <w:rPr>
                <w:b/>
                <w:sz w:val="20"/>
              </w:rPr>
            </w:pPr>
            <w:r>
              <w:rPr>
                <w:b/>
                <w:sz w:val="20"/>
              </w:rPr>
              <w:t>Issue Date: August 17, 2026</w:t>
            </w:r>
          </w:p>
        </w:tc>
      </w:tr>
      <w:tr>
        <w:trPr/>
        <w:tc>
          <w:tcPr>
            <w:tcW w:w="3980" w:type="dxa"/>
            <w:tcBorders/>
            <w:vAlign w:val="center"/>
          </w:tcPr>
          <w:p>
            <w:pPr>
              <w:pStyle w:val="TableContents"/>
              <w:bidi w:val="0"/>
              <w:spacing w:before="0" w:after="283"/>
              <w:jc w:val="left"/>
              <w:rPr>
                <w:b/>
                <w:sz w:val="20"/>
              </w:rPr>
            </w:pPr>
            <w:r>
              <w:rPr>
                <w:b/>
                <w:sz w:val="20"/>
              </w:rPr>
              <w:t>Actual Amount of Purchase Price: $232,500.00</w:t>
            </w:r>
          </w:p>
        </w:tc>
        <w:tc>
          <w:tcPr>
            <w:tcW w:w="234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(hereinafter called the “Borrower” or the “Company”), hereby promises to pay to the order of </w:t>
      </w:r>
      <w:r>
        <w:rPr>
          <w:rFonts w:ascii="Times New Roman;Times;Serif" w:hAnsi="Times New Roman;Times;Serif"/>
          <w:b/>
          <w:i w:val="false"/>
          <w:caps w:val="false"/>
          <w:smallCaps w:val="false"/>
          <w:sz w:val="20"/>
        </w:rPr>
        <w:t>HINTERLAND PARTNERS LLC</w:t>
      </w:r>
      <w:r>
        <w:rPr>
          <w:rFonts w:ascii="Times New Roman;Times;Serif" w:hAnsi="Times New Roman;Times;Serif"/>
          <w:b w:val="false"/>
          <w:i w:val="false"/>
          <w:caps w:val="false"/>
          <w:smallCaps w:val="false"/>
          <w:sz w:val="20"/>
        </w:rPr>
        <w:t>, a Delaware limited liability company, or registered assigns (the “Holder”), in the form of lawful money of the United States of America, the principal sum of $250,000.00 (the “Principal Amount”) (subject to adjustment herein), which includes the purchase price of $232,500.00 plus an original issue discount in the amount of $17,500.00 (the “OID”), and to pay a one-time interest charge on the Principal Amount hereof at the rate of ten percent (10%) (the “Interest Rate”) (which is equal to $25,000.00 and shall be guaranteed and earned in full as of the date hereof (the “Issue Date”)), when such amounts become due and payable, whether at maturity or upon acceleration or by prepayment or otherwise, as further provided herein. The maturity date shall be twelve (12) months from the Issue Date (the “Maturity Date”), and is the date upon which the Principal Amount (which includes the OID) and any accrued and unpaid interest and other fees, shall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prepaid or repaid in whole or in part except as otherwise explicitly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Principal Amount or interest on this Note which is not paid when due shall bear interest at the rate of the lesser of (i) sixteen percent (16%) per annum and (ii) the maximum amount permitted by law from the due date thereof until the same is paid (“Default Interest”). Interest and Default Interest shall be computed on the basis of a 365-day year and the actual number of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(to the extent not converted into Class A ordinary shares of the Borrower, no par value per share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herein, and not otherwise defined, shall have the meaning ascribed thereto in that certain Securities Purchase Agreement, dated as of the Issue Date, pursuant to which this Note was originally issued (the “Purchase Agreement”). As used in this Note, the term “business day” shall mean any day other than a Saturday, Sunday or a day on which commercial banks in the city of New York, New York are authorized or required by law or executive order to remain closed. As used herein, the term “Trading Day” means any day that shares of Common Stock are listed for trading or quotation on the Principal Market (as defined in the Purchase Agreement), provided, however, that if the Common Stock is not then listed or quoted on any Principal Market, then any calendar day.</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also apply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pPr>
      <w:r>
        <w:rPr/>
        <w:t xml:space="preserve">1.1 </w:t>
      </w:r>
      <w:r>
        <w:rPr>
          <w:u w:val="single"/>
        </w:rPr>
        <w:t>Conversion Right.</w:t>
      </w:r>
      <w:r>
        <w:rPr/>
        <w:t xml:space="preserve"> The Holder shall have the right, on any calendar day, at any time on or following the date that is one hundred eighty (180) calendar days after the Issue Date, to convert all or any portion of the then outstanding and unpaid Principal Amount and interest (including any Default Interest)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determined as provided herein (a “Conversion”), by submitting to the Borrower a Notice of Conversion (as defined in this Note) by facsimile, e-mail or other reasonable means of communication dispatched on the Conversion Date (as defined in this Note) prior to 11:59 p.m., New York, New York time; </w:t>
      </w:r>
      <w:r>
        <w:rPr>
          <w:i/>
        </w:rPr>
        <w:t>provided, however</w:t>
      </w:r>
      <w:r>
        <w:rPr/>
        <w:t xml:space="preserve">, that notwithstanding anything to the contrary contained herein, the Holder shall not have the right to convert any portion of this Note, pursuant to Section 1 or otherwise, to the extent that after giving effect to such issuance after conversion as set forth on the applicable Notice of Conversion, the Holder (together with the Holder’s affiliates (the “Affiliates”), and any other Persons (as defined below)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nonconverted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Securities Exchange Act of 1934, as amended (the “1934 Act”) and the rules and regulations promulgated thereunder, it being acknowledged by the Holder that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Section 1.1,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“Beneficial Ownership Limitation” shall be 4.99% of the number of shares of the Common Stock outstanding at the time of the respective calculation hereunder, provided, however, that the Holder may from time to time increase or decrease the Beneficial Ownership Limitation to any other percentage not in excess of 9.99% by delivering written notice of such to the Company, with such increase or decrease not effective until the sixty-first (61st) day after delivery of such written notice. “Person” and “Persons” means an individual, a limited liability company, a partnership, a joint venture, a corporation, a trust, an unincorporated organization, any other entity and any governmental entity or any department or agency thereof. The limitations contained in this paragraph shall apply to a successor holder of this Note. The number of Conversion Shares to be issued upon each conversion of this Note shall be determined by dividing the Conversion Amount (as defined below) by the applicable Conversion Price then in effect on the date specified in the notice of conversion, in the form attached hereto as </w:t>
      </w:r>
      <w:r>
        <w:rPr>
          <w:u w:val="single"/>
        </w:rPr>
        <w:t>Exhibit A</w:t>
      </w:r>
      <w:r>
        <w:rPr/>
        <w:t xml:space="preserve"> (the “Notice of Conversion”), delivered to the Borrower by the Holder in accordance with the terms of this Note; provided that the Notice of Conversion is submitted by facsimile or e-mail (or by other means resulting in, or reasonably expected to result in, notice) to the Borrower before 11:59 p.m., New York, New York time on such conversion date (the “Conversion Date”). The term “Conversion Amount” means, with respect to any conversion of this Note, the sum of (1) the Principal Amount of this Note to be converted in such conversion </w:t>
      </w:r>
      <w:r>
        <w:rPr>
          <w:u w:val="single"/>
        </w:rPr>
        <w:t>plus</w:t>
      </w:r>
      <w:r>
        <w:rPr/>
        <w:t xml:space="preserve"> (2) at the Holder’s option, accrued and unpaid interest, if any, on such Principal Amount at the Interest Rate to the Conversion Date, </w:t>
      </w:r>
      <w:r>
        <w:rPr>
          <w:u w:val="single"/>
        </w:rPr>
        <w:t>plus</w:t>
      </w:r>
      <w:r>
        <w:rPr/>
        <w:t xml:space="preserve"> (3) at the Holder’s option, Default Interest, if any, on the amounts referred to in the immediately preceding clauses (1) and/or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Calculation of Conversion Price.</w:t>
      </w:r>
      <w:r>
        <w:rPr>
          <w:rFonts w:ascii="Times New Roman;Times;Serif" w:hAnsi="Times New Roman;Times;Serif"/>
          <w:b w:val="false"/>
          <w:i w:val="false"/>
          <w:caps w:val="false"/>
          <w:smallCaps w:val="false"/>
          <w:sz w:val="20"/>
        </w:rPr>
        <w:t xml:space="preserve"> The per share conversion price into which Principal Amount and interest (including any Default Interest) under this Note shall be convertible into shares of Common Stock hereunder as further described in this Note (the “Conversion Price”) shall equal the Market Price (as defined in this Note), subject to adjustment as provided in this Note. “Market Price” shall mean 85% of the lowest traded price of the Common Stock on the Principal Market during the ten (10) Trading Day period immediately preceding the respective Conversion Date, provided, however, that at all times on and after the date that an Event of Default (as defined in this Note) occurs under this Note, Market Price shall instead mean 70% of the lowest traded price of the Common Stock on the Principal Market on any Trading Day during the fifteen (15) Trading Days prior to the respective Conversion Date.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“Additional Principal”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Holder shall be entitled to deduct $1,200.00 from the conversion amount of not less than $50,000 in each Notice of Conversion to cover Holder’s fees associated with each Notice of Conversion. All such Conversion Price determinations are to be appropriately adjusted for any stock dividend, stock split, stock combination, rights offerings, reclassification or similar transaction that proportionately decreases or increases the Common Stock. If the Company, at any time while this Note is outstanding: (i) pays a stock dividend or otherwise makes a distribution or distributions payable in shares of Common Stock on shares of Common Stock or any Common Stock Equivalents,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Price shall be multiplied by a fraction of which the numerator shall be the number of shares of Common Stock (excluding any treasury shares of the Company) outstanding immediately before such event, and of which the denominator shall be the number of shares of Common Stock outstanding immediately after such event. Any adjustment made pursuant to the immediately preceding sentence shall become effective immediately after the record date for the determination of shareholders entitled to receive such dividend or distribution and shall become effective immediately after the effective date in the case of a subdivision, combination or re-classification. “Common Stock Equivalents” means any securities of the Company or the Company’s Subsidiaries (as defined in the Purchase Agreement)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while this Note is outstanding, with the prior written consent of the Holder, reduce the then applicable Conversion Price to any amount and for any period of time deemed appropriate by the Board of Directors of the Company. For the avoidance of doubt, the Holder shall not be required to effectuate such conversion in the event of any reduction in Conversion Price by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and Reserved Shares.</w:t>
      </w:r>
      <w:r>
        <w:rPr>
          <w:rFonts w:ascii="Times New Roman;Times;Serif" w:hAnsi="Times New Roman;Times;Serif"/>
          <w:b w:val="false"/>
          <w:i w:val="false"/>
          <w:caps w:val="false"/>
          <w:smallCaps w:val="false"/>
          <w:sz w:val="20"/>
        </w:rPr>
        <w:t xml:space="preserve"> The Borrower shall use commercially reasonable endeavors to ensure that at all times beginning on the Issue Date and continuing until the Note is extinguished in the entirety, the Borrower will reserve from its authorized and unissued Common Stock a sufficient number of shares, free from preemptive rights, to provide for the issuance of a number of Conversion Shares equal to the greater of: (a) 3,800,000 shares of Common Stock or (b) the sum of (i) the number of Conversion Shares issuable upon the full conversion of this Note at a conversion price equal to the Conversion Price (assuming no payment of Principal Amount or interest)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(ii) four (4) (the “Reserved Amount”). For the avoidance of doubt, the Reserved Amount shall be required to be reserved by the Borrower pursuant to this Section even if the Note is not yet convertible into Common Stock by the Holder under Section 1.1 of this Note. The Borrower represents that upon issuance, the Conversion Shares will be duly and validly issued, fully paid, as applicable, and non-assessable. The Borrower (i) acknowledges that it has irrevocably instructed its transfer agent to issue certificates for the Conversion Shares or instructions to have the Conversion Shares issued as contemplated by Section 1.4(e) hereof, and (ii) agrees that its issuance of this Note shall constitute full authority to its officers and agents who are charged with the duty of executing stock certificates or cause the Company to electronically issue shares of Common Stock to execute and issue the necessary certificates for the Conversion Shares or cause the Conversion Shares to be issued as contemplated by Section 1.4(e) hereof in accordance with the terms and conditions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xml:space="preserve"> Notwithstanding anything to the contrary set forth herein, upon conversion of this Note in accordance with the terms hereof, the Holder shall not be required to physically surrender this Note to the Borrower unless the entire unpaid Principal Amount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rFonts w:ascii="Times New Roman;Times;Serif" w:hAnsi="Times New Roman;Times;Serif"/>
          <w:b w:val="false"/>
          <w:i/>
          <w:caps w:val="false"/>
          <w:smallCaps w:val="false"/>
          <w:sz w:val="20"/>
        </w:rPr>
        <w:t xml:space="preserve">prima facie, </w:t>
      </w:r>
      <w:r>
        <w:rPr>
          <w:rFonts w:ascii="Times New Roman;Times;Serif" w:hAnsi="Times New Roman;Times;Serif"/>
          <w:b w:val="false"/>
          <w:i w:val="false"/>
          <w:caps w:val="false"/>
          <w:smallCaps w:val="false"/>
          <w:sz w:val="20"/>
        </w:rPr>
        <w:t>be controlling and determinative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Borrower shall not be required to pay any tax which may be payable in respect of any transfer involved in the issue and delivery of shares of Common Stock or other securities or property on conversion of this Note in a name other than that of the Holder (or in street name), and the Borrower shall not be required to issue or deliver any such shares or other securities or property unless and until the person or persons (other than the Holder or the custodian in whose street name such shares are to be held for the Holder’s account) requesting the issuance thereof shall have paid to the Borrower the amount of any such tax or shall have established to the satisfaction of the Borrower that such tax has been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Common Stock Upon Conversion</w:t>
      </w:r>
      <w:r>
        <w:rPr>
          <w:rFonts w:ascii="Times New Roman;Times;Serif" w:hAnsi="Times New Roman;Times;Serif"/>
          <w:b w:val="false"/>
          <w:i w:val="false"/>
          <w:caps w:val="false"/>
          <w:smallCaps w:val="false"/>
          <w:sz w:val="20"/>
        </w:rPr>
        <w:t>. Upon receipt by the Borrower from the Holder of an e-mail (or other reasonable means of communication) of a Notice of Conversion meeting the requirements for conversion as provided in this Section 1.4, the Borrower shall issue and deliver or cause to be issued and delivered to or upon the order of the Holder certificates for the Conversion Shares (or cause the electronic delivery of the Conversion Shares as contemplated by Section 1.4(e) hereof) within one (1) Trading Day after such receipt (the “Deadline”) (and, solely in the case of conversion of the entire unpaid Principal Amount and interest (including any Default Interest) under this Note, surrender of this Note). If the Company shall fail for any reason or for no reason to issue to the Holder on or prior to the Deadline a certificate for the number of Conversion Shares or to which the Holder is entitled hereunder and register such Conversion Shares on the Company’s share register or to credit the Holder’s balance account with DTC (as defined below) for such number of Conversion Shares to which the Holder is entitled upon the Holder’s conversion of this Note (a “Conversion Failure”), then, in addition to all other remedies available to the Holder, (i) the Company shall pay in cash to the Holder on each day after the Deadline and during such Conversion Failure an amount equal to 2.0% of the product of (A) the sum of the number of Conversion Shares not issued to the Holder on or prior to the Deadline and to which the Holder is entitled and (B) the closing sale price of the Common Stock on the Trading Day immediately preceding the last possible date which the Company could have issued such Conversion Shares to the Holder without violating this Section 1.4(c); and (ii) the Holder, upon written notice to the Company, may void all or any portion of such Notice of Conversion; provided that the voiding of all or any portion of a Notice of Conversion shall not affect the Company’s obligations to make any payments which have accrued prior to the date of such notice. In addition to the foregoing, if on or prior to the Deadline the Company shall fail to issue and deliver a certificate to the Holder and register such Conversion Shares on the Company’s share register or credit the Holder’s balance account with DTC for the number of Conversion Shares to which the Holder is entitled upon the Holder’s exercise hereunder or pursuant to the Company’s obligation pursuant to clause (ii) below, and if on or after such Trading Day the Holder purchases (in an open market transaction or otherwise) shares of Common Stock to deliver in satisfaction of a sale by the Holder of shares of Common Stock issuable upon such exercise that the Holder anticipated receiving from the Company, then the Company shall, within two (2) Trading Days after the Holder’s request and in the Holder’s discretion, either (i) pay cash to the Holder in an amount equal to the Holder’s total purchase price (including brokerage commissions and other reasonable and customary out-of-pocket expenses, if any) for the shares of Common Stock so purchased (the “Buy-In Price”), at which point the Company’s obligation to deliver such certificate (and to issue such Conversion Shares) or credit such Holder’s balance account with DTC for such Conversion Shares shall terminate, or (ii) promptly honor its obligation to deliver to the Holder a certificate or certificates representing such Conversion Shares or credit such Holder’s balance account with DTC and pay cash to the Holder in an amount equal to the excess (if any) of the Buy-In Price over the product of (A) such number of shares of Common Stock, times (B) the closing sales price of the Common Stock on the date of exercise.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Conversion Shares (or to electronically deliver such Conversion Shares) upon the conversion of this Note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Obligation of Borrower to Deliver Common Stock.</w:t>
      </w:r>
      <w:r>
        <w:rPr>
          <w:rFonts w:ascii="Times New Roman;Times;Serif" w:hAnsi="Times New Roman;Times;Serif"/>
          <w:b w:val="false"/>
          <w:i w:val="false"/>
          <w:caps w:val="false"/>
          <w:smallCaps w:val="false"/>
          <w:sz w:val="20"/>
        </w:rPr>
        <w:t xml:space="preserve"> At the time that the Holder submits the Notice of Conversion to the Borrower, the Holder shall be deemed to be the holder of record of the Conversion Shares issuable upon such conversion, the outstanding Principal Amount and the amount of accrued and unpaid interest (including any Default Interest) under this Note shall be reduced to reflect such conversion, and, unless the Borrower defaults on its obligations under this Article I,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the Conversion Shares (or cause the electronic delivery of the Conversion Shares as contemplated by Section 1.4(e) hereof)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sent to the Borrower before 11:59 p.m., New York, New York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Conversion Shares by Electronic Transfer</w:t>
      </w:r>
      <w:r>
        <w:rPr>
          <w:rFonts w:ascii="Times New Roman;Times;Serif" w:hAnsi="Times New Roman;Times;Serif"/>
          <w:b w:val="false"/>
          <w:i w:val="false"/>
          <w:caps w:val="false"/>
          <w:smallCaps w:val="false"/>
          <w:sz w:val="20"/>
        </w:rPr>
        <w:t>. In lieu of delivering physical certificates representing the Conversion Shares issuable upon conversion hereof, provided the Borrower is participating in the Depository Trust Company (“DTC”) Fast Automated Securities Transfer or Deposit/Withdrawal at Custodian programs, upon request of the Holder and its compliance with the provisions contained in Section 1.1 and in this Section 1.4, the Borrower shall use its best efforts to cause its transfer agent to electronically transmit the Conversion Shares issuable upon conversion hereof to the Holder by crediting the account of Holder’s Prime Broker with DTC through its Deposit Withdrawal Agent Commission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Conversion Shares issuable upon conversion of this Note may not be sold or transferred unless (i) such shares are sold pursuant to an effective registration statement under the 1933 Act or (ii) the Borrower or its transfer agent shall have been furnished with an opinion of counsel (which opinion shall be the Legal Counsel Opinion (as defined in the Purchase Agreement)) to the effect that the shares to be sold or transferred may be sold or transferred pursuant to an exemption from such registration or (iii) such shares are sold or transferred pursuant to Rule 144, Rule 144A, Regulation S, or other applicable exemption, or (iv) such shares are transferred to an “affiliate” (as defined in Rule 144) of the Borrower who agrees to sell or otherwise transfer the shares only in accordance with this Section 1.5 and who is an Accredited Investor (as defined in the Purchase Agreement). Except as otherwise provided in the Purchase Agreement (and subject to the removal provisions set forth below), until such time as the Conversion Shares have been registered under the 1933 Act or otherwise may be sold pursuant to Rule 144, Rule 144A, Regulation S, or other applicable exemption without any restriction as to the number of securities as of a particular date that can then be immediately sold, each certificate for the Conversion Shares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to the Holder a certificate for the applicable Conversion Shares without such legend upon which it is stamped or (as requested by the Holder) issue the applicable Conversion Shares by electronic delivery by crediting the account of such holder’s broker with DTC, if, unless otherwise required by applicable state securities laws: (a) such Conversion Shares are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Holder provides the Legal Counsel Opinion (as contemplated by and in accordance with Section 4(l) of the Purchase Agreement) to the effect that a public sale or transfer of such Conversion Shares may be made without registration under the 1933 Act, which opinion shall be accepted by the Company so that the sale or transfer is effected. The Company shall be responsible for the fees of its transfer agent and all DTC fees associated with any such issuance. The Holder agrees to sell all Conversion Shares, including those represented by a certificate(s) from which the legend has been removed, in compliance with applicable prospectus delivery requirements, if any. In the event that the Company does not accept the opinion of counsel provided by the Holder with respect to the transfer of Conversion Shares pursuant to an exemption from registration, such as Rule 144, Rule 144A, Regulation S, or other applicable exemption, at the Deadline, notwithstanding that the conditions of Rule 144, Rule 144A, Regulation S, or other applicable exemption, as applicable, have been met, it will be considered an Event of Default under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At the option of the Holder, the sale, conveyance or disposition of all or substantially all of the assets of the Borrower, or the consolidation, merger or other business combination of the Borrower with or into any other Person (as defined below) or Persons when the Borrower is not the survivor shall be treated pursuant to Section 1.6(b) hereof. “Person” shall mean any individual, corporation, limited liability company, partnership, association, trust or other entity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this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(each a “Fundamental Transaction”),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effectuate any transaction described in this Section 1.6(b) unless (a) it first gives, to the extent practicable, at least twenty (20) days prior written notice (but in any event at least ten (10)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(b) the resulting successor or acquiring entity (if not the Borrower) assumes by written instrument the obligations of this Section 1.6(b), and (c) the resulting successor or acquiring entity (if not the Borrower) is a publicly traded corporation whose common stock is listed for trading or quotation on any tier of the NASDAQ Stock Market, the New York Stock Exchange or the NYSE American. The above provisions shall similarly apply to successive consolidations, mergers, sales, transfers or share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xml:space="preserve"> If the Borrower shall declare or make any distribution of its assets (or rights to acquire its assets) to holders of Common Stock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shareholders entitled to such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If, at any time when all or any portion of this Note is issued and outstanding, the Borrower issues any convertible securities or rights to purchase stock, warrants, securities or other property (the “Purchase Rights”)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Section 1.6 of this Note, the Borrower shall, at its expense and within one (1) calendar day after the occurrence of each respective adjustment or readjustment of the Conversion Price, compute such adjustment or readjustment and prepare and furnish to the Holder a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In addition, the Borrower shall, within one (1) calendar day after each written request from the Holder, furnish to such Holder a like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For the avoidance of doubt, each adjustment or readjustment of the Conversion Price as a result of the events described in Section 1.6 of this Note shall occur without any action by the Holder and regardless of whether the Borrower complied with the notification provisions in Section 1.6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the Holder, (i) the Conversion Shares covered thereby shall be deemed converted into shares of Common Stock and (ii) the Holder’s rights as the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the Holder has not received certificates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the Note has not been surrendered, adjust its records to reflect that such portion of this Note has not been converted. In all cases, the Holder shall retain all of its rights and remedies for the Borrower’s failure to convert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At any time prior to the date that an Event of Default occurs under this Note, the Borrower shall have the right, exercisable on three (3) Trading Days prior written notice to the Holder of the Note, to prepay the outstanding Principal Amount and interest then due under this Note in accordance with this Section 1.8. Any notice of prepayment hereunder (an “Optional Prepayment Notice”) shall be delivered to the Holder of the Note at its registered addresses and shall state: (1) that the Borrower is exercising its right to prepay the Note, and (2) the date of prepayment which shall be three (3) Trading Days from the date of the Optional Prepayment Notice (the “Optional Prepayment Date”). The Holder shall have the right, during the period beginning on the date of Holder’s receipt of the Optional Prepayment Notice and until the Holder’s actual receipt of the full prepayment amount on the Optional Prepayment Date, to instead convert all or any portion of the Note pursuant to the terms of this Note, including the amount of this Note to be prepaid by the Borrower in accordance with this Section 1.8, even if the Note is not yet convertible into Common Stock by the Holder under Section 1.1 of this Note. On the Optional Prepayment Date, the Borrower shall make payment of the amounts designated below to or upon the order of the Holder as specified by the Holder in writing to the Borrower. If the Borrower exercises its right to prepay the Note in accordance with this Section 1.8, the Borrower shall make payment to the Holder of an amount in cash equal to the sum of: (w) the prepayment percentage set forth in the table immediately following this paragraph for the applicable prepayment period set forth in the table immediately following this paragraph (“Prepayment Percentage”) multiplied by the Principal Amount then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the Prepayment Percentage multiplied by the accrued and unpaid interest on the Principal Amount to the Optional Prepayment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30" w:type="dxa"/>
          <w:left w:w="108" w:type="dxa"/>
          <w:bottom w:w="30" w:type="dxa"/>
          <w:right w:w="0" w:type="dxa"/>
        </w:tblCellMar>
      </w:tblPr>
      <w:tblGrid>
        <w:gridCol w:w="7839"/>
        <w:gridCol w:w="2366"/>
      </w:tblGrid>
      <w:tr>
        <w:trPr/>
        <w:tc>
          <w:tcPr>
            <w:tcW w:w="7839" w:type="dxa"/>
            <w:tcBorders>
              <w:top w:val="single" w:sz="8" w:space="0" w:color="000000"/>
              <w:left w:val="single" w:sz="8" w:space="0" w:color="000000"/>
              <w:bottom w:val="single" w:sz="8" w:space="0" w:color="000000"/>
            </w:tcBorders>
            <w:vAlign w:val="center"/>
          </w:tcPr>
          <w:p>
            <w:pPr>
              <w:pStyle w:val="TableContents"/>
              <w:bidi w:val="0"/>
              <w:spacing w:before="0" w:after="0"/>
              <w:ind w:left="0" w:right="0" w:hanging="1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Prepayment Period</w:t>
            </w:r>
          </w:p>
        </w:tc>
        <w:tc>
          <w:tcPr>
            <w:tcW w:w="2366"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before="0" w:after="283"/>
              <w:ind w:left="0" w:right="0" w:firstLine="720"/>
              <w:jc w:val="center"/>
              <w:rPr>
                <w:b/>
                <w:sz w:val="20"/>
              </w:rPr>
            </w:pPr>
            <w:r>
              <w:rPr>
                <w:b/>
                <w:sz w:val="20"/>
              </w:rPr>
              <w:t>Prepayment Percentage</w:t>
            </w:r>
          </w:p>
        </w:tc>
      </w:tr>
      <w:tr>
        <w:trPr/>
        <w:tc>
          <w:tcPr>
            <w:tcW w:w="7839" w:type="dxa"/>
            <w:tcBorders>
              <w:left w:val="single" w:sz="8" w:space="0" w:color="000000"/>
              <w:bottom w:val="single" w:sz="8" w:space="0" w:color="000000"/>
            </w:tcBorders>
            <w:tcMar>
              <w:top w:w="0" w:type="dxa"/>
            </w:tcMar>
            <w:vAlign w:val="center"/>
          </w:tcPr>
          <w:p>
            <w:pPr>
              <w:pStyle w:val="TableContents"/>
              <w:bidi w:val="0"/>
              <w:spacing w:before="0" w:after="283"/>
              <w:jc w:val="both"/>
              <w:rPr>
                <w:sz w:val="20"/>
              </w:rPr>
            </w:pPr>
            <w:r>
              <w:rPr>
                <w:sz w:val="20"/>
              </w:rPr>
              <w:t>1. The period beginning on the Issue Date and continuing through the date that is 90 calendar days after the Issue Date</w:t>
            </w:r>
          </w:p>
        </w:tc>
        <w:tc>
          <w:tcPr>
            <w:tcW w:w="2366"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ind w:left="0" w:right="0" w:firstLine="720"/>
              <w:jc w:val="center"/>
              <w:rPr>
                <w:sz w:val="20"/>
              </w:rPr>
            </w:pPr>
            <w:r>
              <w:rPr>
                <w:sz w:val="20"/>
              </w:rPr>
              <w:t>120%</w:t>
            </w:r>
          </w:p>
        </w:tc>
      </w:tr>
      <w:tr>
        <w:trPr/>
        <w:tc>
          <w:tcPr>
            <w:tcW w:w="7839" w:type="dxa"/>
            <w:tcBorders>
              <w:left w:val="single" w:sz="8" w:space="0" w:color="000000"/>
              <w:bottom w:val="single" w:sz="8" w:space="0" w:color="000000"/>
            </w:tcBorders>
            <w:tcMar>
              <w:top w:w="0" w:type="dxa"/>
            </w:tcMar>
            <w:vAlign w:val="center"/>
          </w:tcPr>
          <w:p>
            <w:pPr>
              <w:pStyle w:val="TableContents"/>
              <w:bidi w:val="0"/>
              <w:spacing w:before="0" w:after="283"/>
              <w:jc w:val="both"/>
              <w:rPr>
                <w:sz w:val="20"/>
              </w:rPr>
            </w:pPr>
            <w:r>
              <w:rPr>
                <w:sz w:val="20"/>
              </w:rPr>
              <w:t>2. The period beginning on the date that is 91 calendar days after the Issue Date and continuing until the date that an Event of Default occurs under this Note</w:t>
            </w:r>
          </w:p>
        </w:tc>
        <w:tc>
          <w:tcPr>
            <w:tcW w:w="2366"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center"/>
              <w:rPr>
                <w:sz w:val="20"/>
              </w:rPr>
            </w:pPr>
            <w:r>
              <w:rPr>
                <w:sz w:val="20"/>
              </w:rPr>
              <w:t>125%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RANKING AND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This Note shall be an unsecured obligation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Distributions on Capital Stock.</w:t>
      </w:r>
      <w:r>
        <w:rPr>
          <w:rFonts w:ascii="Times New Roman;Times;Serif" w:hAnsi="Times New Roman;Times;Serif"/>
          <w:b w:val="false"/>
          <w:i w:val="false"/>
          <w:caps w:val="false"/>
          <w:smallCaps w:val="false"/>
          <w:sz w:val="20"/>
        </w:rPr>
        <w:t xml:space="preserve"> So long as the Borrower shall have any obligation under this Note, the Borrower shall not without the Holder’s written consent (a) pay, declare or set apart for such payment, any dividend or other distribution (whether in cash, property or other securities) on shares of capital stock other than dividends on shares of Common Stock solely in the form of additional shares of Common Stock or (b) directly or indirectly or through any subsidiary make any other payment or distribution in respect of its capital stock except for distributions pursuant to any shareholders’ rights plan which is approved by a majority of the Borrower’s disinterested directors.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Holder’s prior written consent, which consent shall not be unreasonably withheld or delayed, sell, divest, acquire, or dispose of all or substantially all of its assets other than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considered an event of default if any of the following events listed in this Article III (each, an “Event of Default”) shall occur on or after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xml:space="preserve"> The Borrower fails to pay the Principal Amount hereof or interest thereon when due on this Note, whether at maturity, upon acceleration or otherwise, or fails to fully comply with Section 1.10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xml:space="preserve"> The Borrower (i) fails to issue Conversion Shares to the Holder (or announces or threatens in writing that it will not honor its obligation to do so) upon exercise by the Holder of the conversion rights of the Holder in accordance with the terms of this Note, (ii) fails to transfer or cause its transfer agent to transfer (issue) (electronically or in certificated form) any certificate for the Conversion Shares issuable to the Holder upon conversion of or otherwise pursuant to this Note as and when required by this Note, (iii) fails to reserve the Reserved Amount at all times, (iv) the Borrower directs its transfer agent not to transfer or delays, impairs, and/or hinders its transfer agent in transferring (or issuing) (electronically or in certificated form) any certificate for the Conversion Shares issuable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Conversion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Trading Days after the Holder shall have delivered a Notice of Conversion, and/or (v) fails to remain current in its obligations to its transfer agent (including but not limited to payment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added to the principal balance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Agreements and Covenants.</w:t>
      </w:r>
      <w:r>
        <w:rPr>
          <w:rFonts w:ascii="Times New Roman;Times;Serif" w:hAnsi="Times New Roman;Times;Serif"/>
          <w:b w:val="false"/>
          <w:i w:val="false"/>
          <w:caps w:val="false"/>
          <w:smallCaps w:val="false"/>
          <w:sz w:val="20"/>
        </w:rPr>
        <w:t xml:space="preserve"> The Borrower breaches any covenant, agreement, or other term or condition contained in the Purchase Agreement, this Note, Irrevocable Transfer Agent Instructions, or in any agreement, statement or certificate given in writing pursuant hereto or in connection herewith or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xml:space="preserve"> Any representation or warranty of the Borrower made in the Purchase Agreement, this Note, Irrevocable Transfer Agent Instructions, or in any agreement, statement or certificate given in writing pursuant hereto or in connection herewith or therewith shall be false or misleading in any material respect when made.</w:t>
      </w:r>
    </w:p>
    <w:p>
      <w:pPr>
        <w:pStyle w:val="TextBody"/>
        <w:bidi w:val="0"/>
        <w:spacing w:before="0" w:after="0"/>
        <w:ind w:left="0" w:right="0" w:firstLine="206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xml:space="preserv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xml:space="preserve"> Any money judgment, writ or similar process shall be entered or filed against the Borrower or any subsidiary of the Borrower or any of its property or other assets for more than $100,000, and shall remain unvacated, unbonded or unstayed for a period of twenty (20) days unless otherwise consented to by the Holder, which consent will not be unreasonably withheld.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1934 Act.</w:t>
      </w:r>
      <w:r>
        <w:rPr>
          <w:rFonts w:ascii="Times New Roman;Times;Serif" w:hAnsi="Times New Roman;Times;Serif"/>
          <w:b w:val="false"/>
          <w:i w:val="false"/>
          <w:caps w:val="false"/>
          <w:smallCaps w:val="false"/>
          <w:sz w:val="20"/>
        </w:rPr>
        <w:t xml:space="preserve"> At any time after the Issue Date, the Borrower shall fail to comply with the reporting requirements of the 1934 Act and/or the Borrower shall cease to be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xml:space="preserve"> Any dissolution, liquidation, or winding up of Borrower or any substantial portion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xml:space="preserve">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xml:space="preserve"> The failure by Borrower to maintain any material intellectual property rights, personal, real property or other assets which are necessary to conduct its business (whether now or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xml:space="preserve">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actual transmittal, conveyance, or disclosure by the Borrower or its officers, directors, and/or affiliates of, material non-public information concerning the Borrower, to the Holder or its successors and assigns, which is not cured by Borrower’s filing of a Form 6-K pursuant to Regulation FD.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Unavailability of Rule 144</w:t>
      </w:r>
      <w:r>
        <w:rPr>
          <w:rFonts w:ascii="Times New Roman;Times;Serif" w:hAnsi="Times New Roman;Times;Serif"/>
          <w:b w:val="false"/>
          <w:i w:val="false"/>
          <w:caps w:val="false"/>
          <w:smallCaps w:val="false"/>
          <w:sz w:val="20"/>
        </w:rPr>
        <w:t>. If, at any time on or after the date that is six (6) calendar months after the Issue Date, the Holder is unable to (i) obtain a standard “144 legal opinion letter” from an attorney reasonably acceptable to the Borrower’s transfer agent in order to facilitate the Holder’s conversion of any portion of the Note into free trading shares of the Borrower’s Common Stock pursuant to Rule 144, and/or (ii) thereupon deposit such shares into the Holder’s brokerage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Delisting, Suspension, or Quotation of Trading of Common Stock</w:t>
      </w:r>
      <w:r>
        <w:rPr>
          <w:rFonts w:ascii="Times New Roman;Times;Serif" w:hAnsi="Times New Roman;Times;Serif"/>
          <w:b w:val="false"/>
          <w:i w:val="false"/>
          <w:caps w:val="false"/>
          <w:smallCaps w:val="false"/>
          <w:sz w:val="20"/>
        </w:rPr>
        <w:t>. If, at any time on or after the Issue Date, the Borrower’s Common Stock (i) is suspended from trading, (ii) halted from trading, and/or (iii) fails to be listed or quoted on a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Rights and Remedies Upon an Event of Default</w:t>
      </w:r>
      <w:r>
        <w:rPr>
          <w:rFonts w:ascii="Times New Roman;Times;Serif" w:hAnsi="Times New Roman;Times;Serif"/>
          <w:b w:val="false"/>
          <w:i w:val="false"/>
          <w:caps w:val="false"/>
          <w:smallCaps w:val="false"/>
          <w:sz w:val="20"/>
        </w:rPr>
        <w:t>. Upon the occurrence of any Event of Default specified in this Article III, this Note shall become immediately due and payable, and the Borrower shall pay to the Holder, in full satisfaction of its obligations hereunder, an amount equal to the Principal Amount then outstanding plus accrued interest (including any Default Interest) through the date of full repayment multiplied by 150% (collectively the “Default Amount”), as well as all costs, including, without limitation, legal fees and expenses, of collection, all without demand, presentment or notice, all of which hereby are expressly waived by the Borrower. Holder may, in Holder’s sole discretion, convert all or any portion of this Note (including the Default Amount) into Common Stock pursuant to the terms of this Note (for the avoidance of doubt, this shall apply even if such conversion occurs after the Maturity Date). The Holder shall be entitled to exercise all other rights and remedies available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Holder existing hereunder are cumulative to, and not exclusive of, any rights or remedies otherwise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HINTERLAND PARTNERS LLC</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N King St., Suite 304-2803</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DE 19801</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patrick@hinterlandllc.com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Note and any provision hereof may only be amended by an instrument in writing signed by the Borrower and the Holder. The term “Note” and all reference thereto, as used throughout this instrument, shall mean this instrument as originally executed, or if later amended or supplemented, then as so amended or supplemented.</w:t>
      </w:r>
    </w:p>
    <w:p>
      <w:pPr>
        <w:pStyle w:val="TextBody"/>
        <w:bidi w:val="0"/>
        <w:spacing w:before="0" w:after="0"/>
        <w:ind w:left="0" w:right="0" w:firstLine="135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The Borrower shall not assign this Note or any rights or obligations hereunder without the prior written consent of the Holder. The Holder may assign its rights hereunder to any “accredited investor” (as defined in Rule 501(a) of the 1933 Act) in a private transaction from the Holder or to any of its “affiliates”, as that term is defined under the 1934 Act, without the consent of the Borrower.</w:t>
      </w:r>
    </w:p>
    <w:p>
      <w:pPr>
        <w:pStyle w:val="TextBody"/>
        <w:bidi w:val="0"/>
        <w:spacing w:before="0" w:after="0"/>
        <w:ind w:left="0" w:right="0" w:firstLine="135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xml:space="preserve"> If default is made in the payment of this Note, the Borrower shall pay the Holder hereof costs of collection, including reasonable attorneys’ fees.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Arbitration of Claims; Governing Law; Venue; Attorney’s Fees.</w:t>
      </w:r>
      <w:r>
        <w:rPr>
          <w:rFonts w:ascii="Times New Roman;Times;Serif" w:hAnsi="Times New Roman;Times;Serif"/>
          <w:b w:val="false"/>
          <w:i w:val="false"/>
          <w:caps w:val="false"/>
          <w:smallCaps w:val="false"/>
          <w:sz w:val="20"/>
        </w:rPr>
        <w:t xml:space="preserve"> The Company and Holder shall submit all Claims (as defined in Exhibit B of the Purchase Agreement) (the “Claims”) arising under this Note or any other agreement between the parties and their affiliates or any Claim relating to the relationship of the parties to binding arbitration pursuant to the arbitration provisions set forth in Exhibit B of the Purchase Agreement (the “Arbitration Provisions”). The Company and Holder hereby acknowledge and agree that the Arbitration Provisions are unconditionally binding on the Company and Holder hereto and are severable from all other provisions of this Note. By executing this Note,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The Company acknowledges and agrees that Holder may rely upon the foregoing representations and covenants of the Company regarding the Arbitration Provisions.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Holder consent to and expressly agree that the exclusive venue for arbitration of any Claims arising under this Note or any other agreement between the Company and Holder or their respective affiliates (including but not limited to the Transaction Documents) or any Claim relating to the relationship of the Company and Holder or their respective affiliates shall be in State of Delaware. Without modifying the Company’s and Holder’s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(as defined in the Purchase Agreement) or otherwise related to Holder in any way (specifically including, without limitation, any action where Company seeks to obtain an injunction, temporary restraining order, or otherwise prohibit the Company’s transfer agent from issuing shares of Common Stock to Holder for any reason)), each party hereto hereby (i) consents to and expressly submits to the exclusive personal jurisdiction of any state or federal court sitting in State of Delaware,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Holder for any reason) outside of any state or federal court sitting in State of Delaware,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Holder to realize on any collateral or any other security, or to enforce a judgment or other court ruling in favor of the Holder,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NOTE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Note or any other agreement, certificate, instrument or document contemplated hereby or thereby by mailing a copy thereof via registered or certified mail or overnight delivery (with evidence of delivery) to Company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Note or any other agreement, certificate, instrument or document contemplated hereby or thereby shall be entitled to recover from the other party its reasonable attorney’s fees and costs. If any provision of this Note shall be invalid or unenforceable in any jurisdiction, such invalidity or unenforceability shall not affect the validity or enforceability of the remainder of this Note in that jurisdiction or the validity or enforceability of any provision of this Note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xml:space="preserve"> Whenever pursuant to this Note the Borrower is required to pay an amount in excess of the outstanding Principal Amount (or the portion thereof required to be paid at that time) plus accrued and unpaid interest plus Default Interest on such interest, the Borrower and the Holder agree that the actual damages to the Holder from the receipt of cash payment on this Note may be difficult to determine and the amount to be so paid by the Borrower represents stipulated damages and not a penalty and is intended to compensate the Holder in part for loss of the opportunity to convert this Note and to earn a return from the sale of shares of Common Stock acquired upon conversion of this Note at a price in excess of the price paid for such shares pursuant to this Note. The Borrower and the Holder hereby agree that such amount of stipulated damages is not plainly disproportionate to the possible loss to the Holder from the receipt of a cash payment without the opportunity to convert this Note into shares of Common Stock.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xml:space="preserve"> The Company and the Holder shall be bound by the applicable terms of the Purchase Agreement, and the Transaction Documents entered into in connection herewith and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all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Holder in order to enforce any right or remedy under this Note. Notwithstanding any provision to the contrary contained in this Note, it is expressly agreed and provided that the total liability of the Company under this Note for payments which under the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the applicable law in the nature of interest that the Company may be obligated to pay under this Note exceed such Maximum Rate. It is agreed that if the maximum contract rate of interest allowed by applicable law and applicable to this Note is increased or decreased by statute or any official governmental action subsequent to the Issue Date, the new maximum contract rate of interest allowed by law will be the Maximum Rate applicable to this Note from the effective date thereof forward, unless such application is precluded by applicable law. If under any circumstances whatsoever, interest in excess of the Maximum Rate is paid by the Company to the Holder with respect to indebtedness evidenced by this the Note, such excess shall be applied by the Holder to the unpaid principal balance of any such indebtedness or be refunded to the Company, the manner of handling such excess to be at the Holder’s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Note is invalid or unenforceable under any applicable statute or rule of law (including any judicial ruling),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firstLine="719"/>
        <w:jc w:val="left"/>
        <w:rPr>
          <w:caps w:val="false"/>
          <w:smallCaps w:val="false"/>
        </w:rPr>
      </w:pPr>
      <w:r>
        <w:rPr>
          <w:caps w:val="false"/>
          <w:smallCaps w:val="false"/>
        </w:rPr>
        <w:t> </w:t>
      </w:r>
    </w:p>
    <w:p>
      <w:pPr>
        <w:pStyle w:val="TextBody"/>
        <w:bidi w:val="0"/>
        <w:spacing w:before="0" w:after="0"/>
        <w:ind w:left="0" w:right="0" w:firstLine="71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19"/>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Borrower has caused this Note to be signed in its name by its duly authorized officer on August 17, 2026.</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50"/>
        <w:gridCol w:w="2045"/>
        <w:gridCol w:w="75"/>
      </w:tblGrid>
      <w:tr>
        <w:trPr/>
        <w:tc>
          <w:tcPr>
            <w:tcW w:w="2695" w:type="dxa"/>
            <w:gridSpan w:val="2"/>
            <w:tcBorders/>
            <w:vAlign w:val="center"/>
          </w:tcPr>
          <w:p>
            <w:pPr>
              <w:pStyle w:val="TableContents"/>
              <w:bidi w:val="0"/>
              <w:spacing w:before="0" w:after="283"/>
              <w:jc w:val="left"/>
              <w:rPr>
                <w:b/>
                <w:sz w:val="20"/>
              </w:rPr>
            </w:pPr>
            <w:r>
              <w:rPr>
                <w:b/>
                <w:sz w:val="20"/>
              </w:rPr>
              <w:t>NewGenIvf Group Limited</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20"/>
              </w:rPr>
            </w:pPr>
            <w:r>
              <w:rPr>
                <w:sz w:val="20"/>
              </w:rPr>
              <w:t xml:space="preserve">By: </w:t>
            </w:r>
          </w:p>
        </w:tc>
        <w:tc>
          <w:tcPr>
            <w:tcW w:w="204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Wing Fung Alfred Siu</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20"/>
              </w:rPr>
            </w:pPr>
            <w:r>
              <w:rPr>
                <w:sz w:val="20"/>
              </w:rPr>
              <w:t xml:space="preserve">Name:  </w:t>
            </w:r>
          </w:p>
        </w:tc>
        <w:tc>
          <w:tcPr>
            <w:tcW w:w="2045" w:type="dxa"/>
            <w:tcBorders/>
            <w:vAlign w:val="center"/>
          </w:tcPr>
          <w:p>
            <w:pPr>
              <w:pStyle w:val="TableContents"/>
              <w:bidi w:val="0"/>
              <w:spacing w:before="0" w:after="283"/>
              <w:jc w:val="left"/>
              <w:rPr>
                <w:sz w:val="20"/>
              </w:rPr>
            </w:pPr>
            <w:r>
              <w:rPr>
                <w:sz w:val="20"/>
              </w:rPr>
              <w:t>Wing Fung Alfred Siu</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elects to convert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 Note (defined below) into that number of shares of Common Stock to be issued pursuant to the conversion of the Note (“Common Stock”) as set forth below, of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a British Virgin Islands company (the “Borrower”), according to the conditions of the promissory note of the Borrower dated as of August 17, 2026 (the “Note”), as of the date written below. No fee will be charged to the Holder for any conversion, except for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The Borrower shall electronically transmit the Common Stock issuable pursuant to this Notice of Conversion to the account of the undersigned or its nominee with DTC through its Deposit Withdrawal Agent Commission system (“DWAC Transfer”).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828"/>
        <w:gridCol w:w="3302"/>
      </w:tblGrid>
      <w:tr>
        <w:trPr/>
        <w:tc>
          <w:tcPr>
            <w:tcW w:w="75" w:type="dxa"/>
            <w:tcBorders/>
            <w:vAlign w:val="center"/>
          </w:tcPr>
          <w:p>
            <w:pPr>
              <w:pStyle w:val="TableContents"/>
              <w:bidi w:val="0"/>
              <w:spacing w:before="0" w:after="283"/>
              <w:jc w:val="left"/>
              <w:rPr/>
            </w:pPr>
            <w:r>
              <w:rPr/>
              <w:t> </w:t>
            </w:r>
          </w:p>
        </w:tc>
        <w:tc>
          <w:tcPr>
            <w:tcW w:w="6828" w:type="dxa"/>
            <w:tcBorders/>
            <w:vAlign w:val="center"/>
          </w:tcPr>
          <w:p>
            <w:pPr>
              <w:pStyle w:val="TableContents"/>
              <w:bidi w:val="0"/>
              <w:spacing w:before="0" w:after="283"/>
              <w:jc w:val="left"/>
              <w:rPr/>
            </w:pPr>
            <w:r>
              <w:rPr/>
              <w:t>Date of Conversion:</w:t>
            </w:r>
          </w:p>
        </w:tc>
        <w:tc>
          <w:tcPr>
            <w:tcW w:w="330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828" w:type="dxa"/>
            <w:tcBorders/>
            <w:vAlign w:val="center"/>
          </w:tcPr>
          <w:p>
            <w:pPr>
              <w:pStyle w:val="TableContents"/>
              <w:bidi w:val="0"/>
              <w:spacing w:before="0" w:after="283"/>
              <w:jc w:val="left"/>
              <w:rPr/>
            </w:pPr>
            <w:r>
              <w:rPr/>
              <w:t>Applicable Conversion Price:</w:t>
            </w:r>
          </w:p>
        </w:tc>
        <w:tc>
          <w:tcPr>
            <w:tcW w:w="3302" w:type="dxa"/>
            <w:tcBorders/>
            <w:vAlign w:val="center"/>
          </w:tcPr>
          <w:p>
            <w:pPr>
              <w:pStyle w:val="TableContents"/>
              <w:bidi w:val="0"/>
              <w:spacing w:before="0" w:after="283"/>
              <w:jc w:val="left"/>
              <w:rPr/>
            </w:pPr>
            <w:r>
              <w:rPr/>
              <w:t>$ ________________________________</w:t>
            </w:r>
          </w:p>
        </w:tc>
      </w:tr>
      <w:tr>
        <w:trPr/>
        <w:tc>
          <w:tcPr>
            <w:tcW w:w="75" w:type="dxa"/>
            <w:tcBorders/>
            <w:vAlign w:val="center"/>
          </w:tcPr>
          <w:p>
            <w:pPr>
              <w:pStyle w:val="TableContents"/>
              <w:bidi w:val="0"/>
              <w:spacing w:before="0" w:after="283"/>
              <w:ind w:left="0" w:right="0" w:hanging="180"/>
              <w:jc w:val="left"/>
              <w:rPr/>
            </w:pPr>
            <w:r>
              <w:rPr/>
              <w:t> </w:t>
            </w:r>
          </w:p>
        </w:tc>
        <w:tc>
          <w:tcPr>
            <w:tcW w:w="6828" w:type="dxa"/>
            <w:tcBorders/>
            <w:vAlign w:val="center"/>
          </w:tcPr>
          <w:p>
            <w:pPr>
              <w:pStyle w:val="TableContents"/>
              <w:bidi w:val="0"/>
              <w:spacing w:before="0" w:after="283"/>
              <w:jc w:val="left"/>
              <w:rPr/>
            </w:pPr>
            <w:r>
              <w:rPr/>
              <w:t>Number of Shares of Common Stock to be Issued Pursuant to Conversion of the Note:</w:t>
            </w:r>
          </w:p>
        </w:tc>
        <w:tc>
          <w:tcPr>
            <w:tcW w:w="330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6828" w:type="dxa"/>
            <w:tcBorders/>
            <w:vAlign w:val="center"/>
          </w:tcPr>
          <w:p>
            <w:pPr>
              <w:pStyle w:val="TableContents"/>
              <w:bidi w:val="0"/>
              <w:spacing w:before="0" w:after="283"/>
              <w:jc w:val="left"/>
              <w:rPr/>
            </w:pPr>
            <w:r>
              <w:rPr/>
              <w:t>Amount of Principal Balance Due remaining Under the Note after this conversion:</w:t>
            </w:r>
          </w:p>
        </w:tc>
        <w:tc>
          <w:tcPr>
            <w:tcW w:w="3302"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605"/>
        <w:gridCol w:w="720"/>
        <w:gridCol w:w="75"/>
      </w:tblGrid>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20" w:type="dxa"/>
            <w:tcBorders>
              <w:bottom w:val="single" w:sz="12"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72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2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2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1" w:name="ea030132501ex10-71.htm"/>
      <w:bookmarkStart w:id="92" w:name="ksea030132501ex1071"/>
      <w:bookmarkEnd w:id="91"/>
      <w:bookmarkEnd w:id="92"/>
      <w:r>
        <w:rPr>
          <w:rFonts w:ascii="Times New Roman;Times;Serif" w:hAnsi="Times New Roman;Times;Serif"/>
          <w:b/>
          <w:i w:val="false"/>
          <w:caps w:val="false"/>
          <w:smallCaps w:val="false"/>
          <w:sz w:val="20"/>
        </w:rPr>
        <w:t>Exhibit 10.71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NewGenIvf Group Limited -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 Khlong Toei Nuea Sub-district, Watthana District, Bangkok 10110, Thailand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NewGenIvf Group Limited, a British Virgin Islands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i w:val="false"/>
          <w:caps w:val="false"/>
          <w:smallCaps w:val="false"/>
          <w:sz w:val="20"/>
          <w:u w:val="single"/>
        </w:rPr>
        <w:t>SPA</w:t>
      </w:r>
      <w:r>
        <w:rPr>
          <w:rFonts w:ascii="Times New Roman;Times;Serif" w:hAnsi="Times New Roman;Times;Serif"/>
          <w:b w:val="false"/>
          <w:i w:val="false"/>
          <w:caps w:val="false"/>
          <w:smallCaps w:val="false"/>
          <w:sz w:val="20"/>
        </w:rPr>
        <w:t>”) on [●], 2026 with each purchaser (each, a “</w:t>
      </w:r>
      <w:r>
        <w:rPr>
          <w:rFonts w:ascii="Times New Roman;Times;Serif" w:hAnsi="Times New Roman;Times;Serif"/>
          <w:b/>
          <w:i w:val="false"/>
          <w:caps w:val="false"/>
          <w:smallCaps w:val="false"/>
          <w:sz w:val="20"/>
          <w:u w:val="single"/>
        </w:rPr>
        <w:t>Purchaser</w:t>
      </w:r>
      <w:r>
        <w:rPr>
          <w:rFonts w:ascii="Times New Roman;Times;Serif" w:hAnsi="Times New Roman;Times;Serif"/>
          <w:b w:val="false"/>
          <w:i w:val="false"/>
          <w:caps w:val="false"/>
          <w:smallCaps w:val="false"/>
          <w:sz w:val="20"/>
        </w:rPr>
        <w:t>”, and collectively “</w:t>
      </w:r>
      <w:r>
        <w:rPr>
          <w:rFonts w:ascii="Times New Roman;Times;Serif" w:hAnsi="Times New Roman;Times;Serif"/>
          <w:b/>
          <w:i w:val="false"/>
          <w:caps w:val="false"/>
          <w:smallCaps w:val="false"/>
          <w:sz w:val="20"/>
          <w:u w:val="single"/>
        </w:rPr>
        <w:t>Purchasers</w:t>
      </w:r>
      <w:r>
        <w:rPr>
          <w:rFonts w:ascii="Times New Roman;Times;Serif" w:hAnsi="Times New Roman;Times;Serif"/>
          <w:b w:val="false"/>
          <w:i w:val="false"/>
          <w:caps w:val="false"/>
          <w:smallCaps w:val="false"/>
          <w:sz w:val="20"/>
        </w:rPr>
        <w:t>”) identified on the signature page of the SPA, providing for the placement (the “</w:t>
      </w:r>
      <w:r>
        <w:rPr>
          <w:rFonts w:ascii="Times New Roman;Times;Serif" w:hAnsi="Times New Roman;Times;Serif"/>
          <w:b/>
          <w:i w:val="false"/>
          <w:caps w:val="false"/>
          <w:smallCaps w:val="false"/>
          <w:sz w:val="20"/>
          <w:u w:val="single"/>
        </w:rPr>
        <w:t>Transaction</w:t>
      </w:r>
      <w:r>
        <w:rPr>
          <w:rFonts w:ascii="Times New Roman;Times;Serif" w:hAnsi="Times New Roman;Times;Serif"/>
          <w:b w:val="false"/>
          <w:i w:val="false"/>
          <w:caps w:val="false"/>
          <w:smallCaps w:val="false"/>
          <w:sz w:val="20"/>
        </w:rPr>
        <w:t>”) of Ordinary Shares, without par value per share, of the Company (“</w:t>
      </w:r>
      <w:r>
        <w:rPr>
          <w:rFonts w:ascii="Times New Roman;Times;Serif" w:hAnsi="Times New Roman;Times;Serif"/>
          <w:b/>
          <w:i w:val="false"/>
          <w:caps w:val="false"/>
          <w:smallCaps w:val="false"/>
          <w:sz w:val="20"/>
          <w:u w:val="single"/>
        </w:rPr>
        <w:t>Shares</w:t>
      </w:r>
      <w:r>
        <w:rPr>
          <w:rFonts w:ascii="Times New Roman;Times;Serif" w:hAnsi="Times New Roman;Times;Serif"/>
          <w:b w:val="false"/>
          <w:i w:val="false"/>
          <w:caps w:val="false"/>
          <w:smallCaps w:val="false"/>
          <w:sz w:val="20"/>
        </w:rPr>
        <w:t>”) and pre-funded warrants (“</w:t>
      </w:r>
      <w:r>
        <w:rPr>
          <w:rFonts w:ascii="Times New Roman;Times;Serif" w:hAnsi="Times New Roman;Times;Serif"/>
          <w:b/>
          <w:i w:val="false"/>
          <w:caps w:val="false"/>
          <w:smallCaps w:val="false"/>
          <w:sz w:val="20"/>
          <w:u w:val="single"/>
        </w:rPr>
        <w:t>Warrants</w:t>
      </w:r>
      <w:r>
        <w:rPr>
          <w:rFonts w:ascii="Times New Roman;Times;Serif" w:hAnsi="Times New Roman;Times;Serif"/>
          <w:b w:val="false"/>
          <w:i w:val="false"/>
          <w:caps w:val="false"/>
          <w:smallCaps w:val="false"/>
          <w:sz w:val="20"/>
        </w:rPr>
        <w:t>”) to purchase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Company to continue its efforts in connection with the Transaction, the undersigned hereby irrevocably enters into this Lock-Up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and agrees that the undersigned will not, during the period commencing on the date hereof and ending sixty (60) business days after the closing date (the “</w:t>
      </w:r>
      <w:r>
        <w:rPr>
          <w:rFonts w:ascii="Times New Roman;Times;Serif" w:hAnsi="Times New Roman;Times;Serif"/>
          <w:b/>
          <w:i w:val="false"/>
          <w:caps w:val="false"/>
          <w:smallCaps w:val="false"/>
          <w:sz w:val="20"/>
          <w:u w:val="single"/>
        </w:rPr>
        <w:t>Lock-Up Period</w:t>
      </w:r>
      <w:r>
        <w:rPr>
          <w:rFonts w:ascii="Times New Roman;Times;Serif" w:hAnsi="Times New Roman;Times;Serif"/>
          <w:b w:val="false"/>
          <w:i w:val="false"/>
          <w:caps w:val="false"/>
          <w:smallCaps w:val="false"/>
          <w:sz w:val="20"/>
        </w:rPr>
        <w:t>”), (1) offer, pledge, sell, contract to sell, grant, lend, or otherwise transfer or dispose of, directly or indirectly, any Shares or any securities convertible into or exercisable or exchangeable for Shares, whether now owned or hereafter acquired by the undersigned (or any Affiliate (as defined in Rule 405 promulgated under the Securities Act of 1933, as amended) of the undersigned) or with respect to which the undersigned (or any Affiliate of the undersigned) has or hereafter acquires the power of disposition (collectively, the “</w:t>
      </w:r>
      <w:r>
        <w:rPr>
          <w:rFonts w:ascii="Times New Roman;Times;Serif" w:hAnsi="Times New Roman;Times;Serif"/>
          <w:b/>
          <w:i w:val="false"/>
          <w:caps w:val="false"/>
          <w:smallCaps w:val="false"/>
          <w:sz w:val="20"/>
          <w:u w:val="single"/>
        </w:rPr>
        <w:t>Lock-Up Securities</w:t>
      </w:r>
      <w:r>
        <w:rPr>
          <w:rFonts w:ascii="Times New Roman;Times;Serif" w:hAnsi="Times New Roman;Times;Serif"/>
          <w:b w:val="false"/>
          <w:i w:val="false"/>
          <w:caps w:val="false"/>
          <w:smallCaps w:val="false"/>
          <w:sz w:val="20"/>
        </w:rPr>
        <w:t>”); (2) enter into any swap or other arrangement that transfers to another,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make any offer, sale, pledge or disposition, or to enter into any transaction, swap, hedge or other arrangement relating to any Lock-Up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Lock-Up Securities in connection with any of the following:</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transfers of Lock-Up Securities as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gift, by will or intestacy or to a family member or trust for the benefit of the undersigned (for purposes of this Agreement, “family member” means any relationship by blood, marriage or adoption, not more remote than first cousin)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transferee agrees to sign and deliver a lock-up agreement substantially in the form of this Agreement for the balance of the Lock-Up Period.</w:t>
            </w:r>
          </w:p>
        </w:tc>
      </w:tr>
    </w:tbl>
    <w:p>
      <w:pPr>
        <w:pStyle w:val="TextBody"/>
        <w:bidi w:val="0"/>
        <w:spacing w:before="0" w:after="0"/>
        <w:ind w:left="720" w:right="0" w:hanging="72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Lock-Up Securities to a charity or educational institution.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undersigned is a corporation, partnership, limited liability company or other business entity, (i) any transfers of Lock-Up Securities to another corporation, partnership or other business entity that controls, is controlled by or is under common control with the undersigned or (ii) distributions of Lock-Up Securities to members, partners, shareholders, subsidiaries or Affiliates of the undersigned as of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transferee agrees to sign and deliver a lock-up agreement substantially in the form of this Agreement for the balance of the Lock-Up Period.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undersigned is a trust, to a trustee or beneficiary of the trust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any transfer pursuant to Sections ‎1, ‎2, ‎3 or this section: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any such transfer shall not involve a disposition for value,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each transferee shall sign and deliver to the Company a lock-up agreement substantially in the form of this Agreement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no filing under Section 13 of the Securities Exchange Act of 1934, as amended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or other public announcement shall be required or shall be voluntarily made during the Lock-Up Period.</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by the undersigned from the Company of Shares upon the vesting of restricted share awards or share units or upon the exercise of options to purchase the Shares issued under an equity incentive plan of the Company or an employment arrangement (the “</w:t>
            </w:r>
            <w:r>
              <w:rPr>
                <w:rFonts w:ascii="Times New Roman;Times;Serif" w:hAnsi="Times New Roman;Times;Serif"/>
                <w:b/>
                <w:i w:val="false"/>
                <w:caps w:val="false"/>
                <w:smallCaps w:val="false"/>
                <w:sz w:val="20"/>
                <w:u w:val="single"/>
              </w:rPr>
              <w:t>Plan Shares</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or the transfer or withholding of Shares or any securities convertible into Shares to the Company upon a vesting event of the Company’s securities or upon the exercise of options to purchase the Company’s securities, in each case on a “cashless” or “net exercise” basis or to cover tax obligations of the undersigned in connection with such vesting or exercise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undersigned is required to file a report under Section 13 of the Exchange Act reporting a reduction in beneficial ownership of Shares during the Lock-Up Period , the undersigned shall include a statement in such schedule or report to the effect that the purpose of such transfer was to cover tax withholding obligations of the undersigned in connection with such vesting or exercise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Plan Shares shall be subject to the terms of this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establishment of a trading plan pursuant to Rule 10b5-1 under the Exchange Act for the transfer of Lock-Up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plan does not provide for the transfer of Lock-Up Securities during the Lock-Up Period and (ii) no filing under Section 13 of the Exchange Act or any other public announcement shall be required or voluntarily made during the Lock-Up Period.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transfer of Lock-Up Securities that occurs by operation of law, such as pursuant to a qualified domestic order or in connection with a divorce settlement,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transferee agrees to sign and deliver a lock-up agreement substantially in the form of this Agreement for the balance of the Lock-Up Period,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any filing under Section 13 of the Exchange Act that is required to be made during the Lock-Up Period as a result of such transfer shall include a statement that such transfer has occurred by operation of law;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competent legal counsel for the Company shall have first advised that such transfer is a mandatory and not voluntary transfer.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transfer of Lock-Up Securities pursuant to a bona fide third party tender offer, merger, consolidation or other similar transaction made to all holders of the Shares involving a change of control (as defined below) of the Company after the closing of the Transaction and approved by the Company’s board of directors;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the tender offer, merger, consolidation or other such transaction is not completed, the Lock-Up Securities owned by the undersigned shall remain subject to the restrictions contained in this Agreement. A “change of control” shall mean the consummation of any bona fide third party tender offer, merger, amalgamation, consolidation or other similar transaction the result of which is that any “person” (as defined in Section 13(d)(3) of the Exchange Act), or group of persons, becomes the beneficial owner (as defined in Rules 13d-3 and 13d-5 of the Exchange Act) of a majority of total voting power of the voting shares of the Company. The undersigned also agrees and consents to the entry of stop transfer instructions with the Company’s transfer agent and registrar against the transfer of the undersigned’s Lock-Up Securities except in compliance with this Agreement.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not be amended or otherwise modified in any respect without the written consent of each of the Company and the undersigned. This Agreement shall be governed by and construed in accordance with the law of the State of New York. The undersigned hereby irrevocably submits to the exclusive jurisdiction of the United States District Court sitting in the Southern District of New York and the courts of the State of New York located in the City and County of New York, for the purposes of any suit, action or proceeding arising out of or relating to this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SPA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Agreement does not intend to create any relationship between the undersigned and any Purchaser and that no Purchaser is entitled to cast any votes on the matters herein contemplated and that no issuance or sale of the Securities is created or intended by virtue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the Company is relying upon this Agreement in proceeding toward consummation of the Transaction. The undersigned further understands that this Agreement is irrevocable and shall be binding upon the undersigned’s heirs, legal representative, successors and assigns. This Letter Agreement is intended for the benefit of the parties hereto and their respective successors and permitted assigns and is not for the benefit of, nor may any provisions hereof be enforced by, any other person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if the SPA is not executed by September 2, 2026 or if the SPA (other than the provisions thereof which survive termination) shall terminate or be terminated prior to payment for and delivery of the Shares to be sold thereunder, then this Agreement shall be void and of no further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Transaction actually occurs depends on a number of factors, including market conditions. Any Transaction will only be made pursuant to the SPA.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[NIVF Lock-Up Agreement 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[NIVF Lock-Up Agreement Signature Page]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read and agrees to be bound by the terms of this Agreement dated as of [●], 2026.</w:t>
      </w:r>
    </w:p>
    <w:p>
      <w:pPr>
        <w:pStyle w:val="TextBody"/>
        <w:bidi w:val="0"/>
        <w:spacing w:before="0" w:after="0"/>
        <w:ind w:left="0" w:right="0" w:firstLine="720"/>
        <w:jc w:val="both"/>
        <w:rPr>
          <w:caps w:val="false"/>
          <w:smallCaps w:val="false"/>
        </w:rPr>
      </w:pPr>
      <w:r>
        <w:rPr>
          <w:caps w:val="false"/>
          <w:smallCaps w:val="false"/>
        </w:rPr>
        <w:t> </w:t>
      </w:r>
    </w:p>
    <w:tbl>
      <w:tblPr>
        <w:tblW w:w="1474" w:type="dxa"/>
        <w:jc w:val="left"/>
        <w:tblInd w:w="0" w:type="dxa"/>
        <w:tblLayout w:type="fixed"/>
        <w:tblCellMar>
          <w:top w:w="0" w:type="dxa"/>
          <w:left w:w="0" w:type="dxa"/>
          <w:bottom w:w="0" w:type="dxa"/>
          <w:right w:w="0" w:type="dxa"/>
        </w:tblCellMar>
      </w:tblPr>
      <w:tblGrid>
        <w:gridCol w:w="75"/>
        <w:gridCol w:w="1275"/>
        <w:gridCol w:w="124"/>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w:t>
            </w:r>
          </w:p>
        </w:tc>
        <w:tc>
          <w:tcPr>
            <w:tcW w:w="12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2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3" w:name="ea030132501ex21-1.htm"/>
      <w:bookmarkStart w:id="94" w:name="ksea030132501ex211"/>
      <w:bookmarkEnd w:id="93"/>
      <w:bookmarkEnd w:id="94"/>
      <w:r>
        <w:rPr>
          <w:rFonts w:ascii="Times New Roman;Times;Serif" w:hAnsi="Times New Roman;Times;Serif"/>
          <w:b/>
          <w:i w:val="false"/>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subsidiaries</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3590"/>
        <w:gridCol w:w="60"/>
        <w:gridCol w:w="1940"/>
      </w:tblGrid>
      <w:tr>
        <w:trPr/>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Subsidiaries</w:t>
            </w:r>
          </w:p>
        </w:tc>
        <w:tc>
          <w:tcPr>
            <w:tcW w:w="60" w:type="dxa"/>
            <w:tcBorders/>
            <w:tcMar>
              <w:bottom w:w="0" w:type="dxa"/>
            </w:tcMar>
            <w:vAlign w:val="center"/>
          </w:tcPr>
          <w:p>
            <w:pPr>
              <w:pStyle w:val="TableContents"/>
              <w:bidi w:val="0"/>
              <w:spacing w:before="0" w:after="283"/>
              <w:jc w:val="center"/>
              <w:rPr/>
            </w:pPr>
            <w:r>
              <w:rPr/>
              <w:t> </w:t>
            </w:r>
          </w:p>
        </w:tc>
        <w:tc>
          <w:tcPr>
            <w:tcW w:w="19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NewGenIvf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Cayman Islands</w:t>
            </w:r>
          </w:p>
        </w:tc>
      </w:tr>
      <w:tr>
        <w:trPr/>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MicroSort Lab Services LLC</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U.S.A.</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NewGenDigital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British Virgin Islands</w:t>
            </w:r>
          </w:p>
        </w:tc>
      </w:tr>
      <w:tr>
        <w:trPr/>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FFPGS (HK)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NewGenProperty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British Virgin Islands</w:t>
            </w:r>
          </w:p>
        </w:tc>
      </w:tr>
      <w:tr>
        <w:trPr/>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NewGenBiz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British Virgin Islands</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NewGenOman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British Virgin Islands</w:t>
            </w:r>
          </w:p>
        </w:tc>
      </w:tr>
      <w:tr>
        <w:trPr/>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Artsy Angel Charitable Foundation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Bi Clinic LLC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Kyrgyzstan</w:t>
            </w:r>
          </w:p>
        </w:tc>
      </w:tr>
      <w:tr>
        <w:trPr/>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First Fertility PGS Center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Thailand</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First Fertility Phnom Penh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Cambodia</w:t>
            </w:r>
          </w:p>
        </w:tc>
      </w:tr>
      <w:tr>
        <w:trPr/>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Med Holdings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Thailand</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Well Image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r>
      <w:tr>
        <w:trPr/>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HyFi Innovations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5" w:name="ea030132501ex23-1.htm"/>
      <w:bookmarkStart w:id="96" w:name="ksea030132501ex231"/>
      <w:bookmarkEnd w:id="95"/>
      <w:bookmarkEnd w:id="9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5"/>
        <w:gridCol w:w="5093"/>
        <w:gridCol w:w="60"/>
        <w:gridCol w:w="2937"/>
      </w:tblGrid>
      <w:tr>
        <w:trPr/>
        <w:tc>
          <w:tcPr>
            <w:tcW w:w="2115" w:type="dxa"/>
            <w:vMerge w:val="restart"/>
            <w:tcBorders/>
            <w:vAlign w:val="center"/>
          </w:tcPr>
          <w:p>
            <w:pPr>
              <w:pStyle w:val="TableContents"/>
              <w:bidi w:val="0"/>
              <w:spacing w:before="0" w:after="283"/>
              <w:jc w:val="left"/>
              <w:rPr/>
            </w:pPr>
            <w:r>
              <w:rPr/>
              <w:drawing>
                <wp:inline distT="0" distB="0" distL="0" distR="0">
                  <wp:extent cx="1333500" cy="9239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87"/>
                          <a:stretch>
                            <a:fillRect/>
                          </a:stretch>
                        </pic:blipFill>
                        <pic:spPr bwMode="auto">
                          <a:xfrm>
                            <a:off x="0" y="0"/>
                            <a:ext cx="1333500" cy="923925"/>
                          </a:xfrm>
                          <a:prstGeom prst="rect">
                            <a:avLst/>
                          </a:prstGeom>
                        </pic:spPr>
                      </pic:pic>
                    </a:graphicData>
                  </a:graphic>
                </wp:inline>
              </w:drawing>
            </w:r>
          </w:p>
        </w:tc>
        <w:tc>
          <w:tcPr>
            <w:tcW w:w="5093" w:type="dxa"/>
            <w:tcBorders/>
            <w:vAlign w:val="center"/>
          </w:tcPr>
          <w:p>
            <w:pPr>
              <w:pStyle w:val="TableContents"/>
              <w:bidi w:val="0"/>
              <w:spacing w:before="0" w:after="283"/>
              <w:jc w:val="left"/>
              <w:rPr>
                <w:b/>
              </w:rPr>
            </w:pPr>
            <w:r>
              <w:rPr>
                <w:b/>
              </w:rPr>
              <w:t>J&amp;S ASSOCIATE PLT</w:t>
            </w:r>
          </w:p>
        </w:tc>
        <w:tc>
          <w:tcPr>
            <w:tcW w:w="60" w:type="dxa"/>
            <w:tcBorders/>
            <w:vAlign w:val="center"/>
          </w:tcPr>
          <w:p>
            <w:pPr>
              <w:pStyle w:val="TableContents"/>
              <w:bidi w:val="0"/>
              <w:spacing w:before="0" w:after="283"/>
              <w:jc w:val="left"/>
              <w:rPr/>
            </w:pPr>
            <w:r>
              <w:rPr/>
              <w:t> </w:t>
            </w:r>
          </w:p>
        </w:tc>
        <w:tc>
          <w:tcPr>
            <w:tcW w:w="2937" w:type="dxa"/>
            <w:tcBorders/>
            <w:vAlign w:val="center"/>
          </w:tcPr>
          <w:p>
            <w:pPr>
              <w:pStyle w:val="TableContents"/>
              <w:bidi w:val="0"/>
              <w:spacing w:before="0" w:after="283"/>
              <w:jc w:val="left"/>
              <w:rPr/>
            </w:pPr>
            <w:r>
              <w:rPr/>
              <w:t> </w:t>
            </w:r>
          </w:p>
        </w:tc>
      </w:tr>
      <w:tr>
        <w:trPr/>
        <w:tc>
          <w:tcPr>
            <w:tcW w:w="2115" w:type="dxa"/>
            <w:vMerge w:val="continue"/>
            <w:tcBorders/>
            <w:vAlign w:val="center"/>
          </w:tcPr>
          <w:p>
            <w:pPr>
              <w:pStyle w:val="Normal"/>
              <w:bidi w:val="0"/>
              <w:jc w:val="left"/>
              <w:rPr/>
            </w:pPr>
            <w:r>
              <w:rPr/>
            </w:r>
          </w:p>
        </w:tc>
        <w:tc>
          <w:tcPr>
            <w:tcW w:w="5093" w:type="dxa"/>
            <w:tcBorders/>
            <w:vAlign w:val="center"/>
          </w:tcPr>
          <w:p>
            <w:pPr>
              <w:pStyle w:val="TableContents"/>
              <w:bidi w:val="0"/>
              <w:spacing w:before="0" w:after="283"/>
              <w:jc w:val="left"/>
              <w:rPr/>
            </w:pPr>
            <w:r>
              <w:rPr/>
              <w:t>202206000037 (LLP0033395-LCA) &amp; AF002380</w:t>
            </w:r>
          </w:p>
        </w:tc>
        <w:tc>
          <w:tcPr>
            <w:tcW w:w="60" w:type="dxa"/>
            <w:tcBorders/>
            <w:vAlign w:val="center"/>
          </w:tcPr>
          <w:p>
            <w:pPr>
              <w:pStyle w:val="TableContents"/>
              <w:bidi w:val="0"/>
              <w:spacing w:before="0" w:after="283"/>
              <w:jc w:val="left"/>
              <w:rPr/>
            </w:pPr>
            <w:r>
              <w:rPr/>
              <w:t> </w:t>
            </w:r>
          </w:p>
        </w:tc>
        <w:tc>
          <w:tcPr>
            <w:tcW w:w="2937" w:type="dxa"/>
            <w:tcBorders/>
            <w:vAlign w:val="center"/>
          </w:tcPr>
          <w:p>
            <w:pPr>
              <w:pStyle w:val="TableContents"/>
              <w:bidi w:val="0"/>
              <w:spacing w:before="0" w:after="283"/>
              <w:jc w:val="left"/>
              <w:rPr/>
            </w:pPr>
            <w:r>
              <w:rPr/>
              <w:t> </w:t>
            </w:r>
          </w:p>
        </w:tc>
      </w:tr>
      <w:tr>
        <w:trPr/>
        <w:tc>
          <w:tcPr>
            <w:tcW w:w="2115" w:type="dxa"/>
            <w:vMerge w:val="continue"/>
            <w:tcBorders/>
            <w:vAlign w:val="center"/>
          </w:tcPr>
          <w:p>
            <w:pPr>
              <w:pStyle w:val="Normal"/>
              <w:bidi w:val="0"/>
              <w:jc w:val="left"/>
              <w:rPr/>
            </w:pPr>
            <w:r>
              <w:rPr/>
            </w:r>
          </w:p>
        </w:tc>
        <w:tc>
          <w:tcPr>
            <w:tcW w:w="5093" w:type="dxa"/>
            <w:tcBorders/>
            <w:vAlign w:val="center"/>
          </w:tcPr>
          <w:p>
            <w:pPr>
              <w:pStyle w:val="TableContents"/>
              <w:bidi w:val="0"/>
              <w:spacing w:before="0" w:after="283"/>
              <w:jc w:val="left"/>
              <w:rPr/>
            </w:pPr>
            <w:r>
              <w:rPr/>
              <w:t>(Registered with PCAOB and MIA)</w:t>
            </w:r>
          </w:p>
        </w:tc>
        <w:tc>
          <w:tcPr>
            <w:tcW w:w="60" w:type="dxa"/>
            <w:tcBorders/>
            <w:vAlign w:val="center"/>
          </w:tcPr>
          <w:p>
            <w:pPr>
              <w:pStyle w:val="TableContents"/>
              <w:bidi w:val="0"/>
              <w:spacing w:before="0" w:after="283"/>
              <w:jc w:val="left"/>
              <w:rPr/>
            </w:pPr>
            <w:r>
              <w:rPr/>
              <w:t> </w:t>
            </w:r>
          </w:p>
        </w:tc>
        <w:tc>
          <w:tcPr>
            <w:tcW w:w="2937" w:type="dxa"/>
            <w:tcBorders/>
            <w:vAlign w:val="center"/>
          </w:tcPr>
          <w:p>
            <w:pPr>
              <w:pStyle w:val="TableContents"/>
              <w:bidi w:val="0"/>
              <w:spacing w:before="0" w:after="283"/>
              <w:jc w:val="left"/>
              <w:rPr/>
            </w:pPr>
            <w:r>
              <w:rPr/>
              <w:t>Tel: +603-4813 9469</w:t>
            </w:r>
          </w:p>
        </w:tc>
      </w:tr>
      <w:tr>
        <w:trPr/>
        <w:tc>
          <w:tcPr>
            <w:tcW w:w="2115" w:type="dxa"/>
            <w:vMerge w:val="continue"/>
            <w:tcBorders/>
            <w:vAlign w:val="center"/>
          </w:tcPr>
          <w:p>
            <w:pPr>
              <w:pStyle w:val="Normal"/>
              <w:bidi w:val="0"/>
              <w:jc w:val="left"/>
              <w:rPr/>
            </w:pPr>
            <w:r>
              <w:rPr/>
            </w:r>
          </w:p>
        </w:tc>
        <w:tc>
          <w:tcPr>
            <w:tcW w:w="5093" w:type="dxa"/>
            <w:tcBorders/>
            <w:vAlign w:val="center"/>
          </w:tcPr>
          <w:p>
            <w:pPr>
              <w:pStyle w:val="TableContents"/>
              <w:bidi w:val="0"/>
              <w:spacing w:before="0" w:after="283"/>
              <w:jc w:val="left"/>
              <w:rPr/>
            </w:pPr>
            <w:r>
              <w:rPr/>
              <w:t>B-11-14, Megan Avenue II</w:t>
            </w:r>
          </w:p>
        </w:tc>
        <w:tc>
          <w:tcPr>
            <w:tcW w:w="60" w:type="dxa"/>
            <w:tcBorders/>
            <w:vAlign w:val="center"/>
          </w:tcPr>
          <w:p>
            <w:pPr>
              <w:pStyle w:val="TableContents"/>
              <w:bidi w:val="0"/>
              <w:spacing w:before="0" w:after="283"/>
              <w:jc w:val="left"/>
              <w:rPr/>
            </w:pPr>
            <w:r>
              <w:rPr/>
              <w:t> </w:t>
            </w:r>
          </w:p>
        </w:tc>
        <w:tc>
          <w:tcPr>
            <w:tcW w:w="2937" w:type="dxa"/>
            <w:tcBorders/>
            <w:vAlign w:val="center"/>
          </w:tcPr>
          <w:p>
            <w:pPr>
              <w:pStyle w:val="TableContents"/>
              <w:bidi w:val="0"/>
              <w:spacing w:before="0" w:after="283"/>
              <w:jc w:val="left"/>
              <w:rPr/>
            </w:pPr>
            <w:r>
              <w:rPr/>
              <w:t>Email : info@jns-associate.com</w:t>
            </w:r>
          </w:p>
        </w:tc>
      </w:tr>
      <w:tr>
        <w:trPr/>
        <w:tc>
          <w:tcPr>
            <w:tcW w:w="2115" w:type="dxa"/>
            <w:vMerge w:val="continue"/>
            <w:tcBorders/>
            <w:vAlign w:val="center"/>
          </w:tcPr>
          <w:p>
            <w:pPr>
              <w:pStyle w:val="Normal"/>
              <w:bidi w:val="0"/>
              <w:jc w:val="left"/>
              <w:rPr/>
            </w:pPr>
            <w:r>
              <w:rPr/>
            </w:r>
          </w:p>
        </w:tc>
        <w:tc>
          <w:tcPr>
            <w:tcW w:w="5093" w:type="dxa"/>
            <w:tcBorders/>
            <w:vAlign w:val="center"/>
          </w:tcPr>
          <w:p>
            <w:pPr>
              <w:pStyle w:val="TableContents"/>
              <w:bidi w:val="0"/>
              <w:spacing w:before="0" w:after="283"/>
              <w:jc w:val="left"/>
              <w:rPr/>
            </w:pPr>
            <w:r>
              <w:rPr/>
              <w:t>12,Jalan Yap Kwan Seng, 50450, Kuala Lumpur, Malaysia</w:t>
            </w:r>
          </w:p>
        </w:tc>
        <w:tc>
          <w:tcPr>
            <w:tcW w:w="60" w:type="dxa"/>
            <w:tcBorders/>
            <w:vAlign w:val="center"/>
          </w:tcPr>
          <w:p>
            <w:pPr>
              <w:pStyle w:val="TableContents"/>
              <w:bidi w:val="0"/>
              <w:spacing w:before="0" w:after="283"/>
              <w:jc w:val="left"/>
              <w:rPr/>
            </w:pPr>
            <w:r>
              <w:rPr/>
              <w:t> </w:t>
            </w:r>
          </w:p>
        </w:tc>
        <w:tc>
          <w:tcPr>
            <w:tcW w:w="2937" w:type="dxa"/>
            <w:tcBorders/>
            <w:vAlign w:val="center"/>
          </w:tcPr>
          <w:p>
            <w:pPr>
              <w:pStyle w:val="TableContents"/>
              <w:bidi w:val="0"/>
              <w:spacing w:before="0" w:after="283"/>
              <w:jc w:val="left"/>
              <w:rPr/>
            </w:pPr>
            <w:r>
              <w:rPr/>
              <w:t>Website : jns-associate.com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in this Registration Statement on Form F-1 of NewGenIvf Group Limited (the “Company”) of our report dated March 31, 2026 within the Form 20-F filed, with respect to our audits of the consolidated financial statements of the Company as of December 31, 2025 and December 31, 2024 respectively, and for the three years in the period ended December 31, 2025 which is included in such Registration Statement. The consolidated financial statements of the Company for the mentioned periods remain unadjusted for the Reverse Stock Split subsequent to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appearing in this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J&amp;S Associate PLT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Number: 6743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p>
      <w:pPr>
        <w:pStyle w:val="TextBody"/>
        <w:bidi w:val="0"/>
        <w:spacing w:before="0" w:after="240"/>
        <w:jc w:val="right"/>
        <w:rPr>
          <w:rFonts w:ascii="Times New Roman;Times;Serif" w:hAnsi="Times New Roman;Times;Serif"/>
          <w:b/>
          <w:i w:val="false"/>
          <w:caps w:val="false"/>
          <w:smallCaps w:val="false"/>
          <w:sz w:val="24"/>
        </w:rPr>
      </w:pPr>
      <w:bookmarkStart w:id="97" w:name="ea030132501ex-fee.htm"/>
      <w:bookmarkStart w:id="98" w:name="ksea030132501exfee"/>
      <w:bookmarkEnd w:id="97"/>
      <w:bookmarkEnd w:id="9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NewGenIvf Group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390" w:type="dxa"/>
        <w:jc w:val="left"/>
        <w:tblInd w:w="0" w:type="dxa"/>
        <w:tblLayout w:type="fixed"/>
        <w:tblCellMar>
          <w:top w:w="0" w:type="dxa"/>
          <w:left w:w="0" w:type="dxa"/>
          <w:bottom w:w="0" w:type="dxa"/>
          <w:right w:w="0" w:type="dxa"/>
        </w:tblCellMar>
      </w:tblPr>
      <w:tblGrid>
        <w:gridCol w:w="530"/>
        <w:gridCol w:w="60"/>
        <w:gridCol w:w="800"/>
        <w:gridCol w:w="60"/>
        <w:gridCol w:w="1070"/>
        <w:gridCol w:w="60"/>
        <w:gridCol w:w="575"/>
        <w:gridCol w:w="60"/>
        <w:gridCol w:w="1100"/>
        <w:gridCol w:w="60"/>
        <w:gridCol w:w="1025"/>
        <w:gridCol w:w="60"/>
        <w:gridCol w:w="696"/>
        <w:gridCol w:w="299"/>
        <w:gridCol w:w="60"/>
        <w:gridCol w:w="140"/>
        <w:gridCol w:w="1400"/>
        <w:gridCol w:w="60"/>
        <w:gridCol w:w="1040"/>
        <w:gridCol w:w="60"/>
        <w:gridCol w:w="162"/>
        <w:gridCol w:w="1013"/>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7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390"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Class A Ordinary Shares, no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10,000,000.00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1,381.00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Pre-funded warrants to purchase Class A Ordinary Shares, no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5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10,000,000.00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1,381.00</w:t>
            </w:r>
          </w:p>
        </w:tc>
      </w:tr>
      <w:tr>
        <w:trPr/>
        <w:tc>
          <w:tcPr>
            <w:tcW w:w="645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645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45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1,381.00</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9"/>
        <w:gridCol w:w="23"/>
        <w:gridCol w:w="9933"/>
      </w:tblGrid>
      <w:tr>
        <w:trPr/>
        <w:tc>
          <w:tcPr>
            <w:tcW w:w="249"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3" w:type="dxa"/>
            <w:tcBorders/>
            <w:vAlign w:val="center"/>
          </w:tcPr>
          <w:p>
            <w:pPr>
              <w:pStyle w:val="TableContents"/>
              <w:bidi w:val="0"/>
              <w:spacing w:before="0" w:after="283"/>
              <w:jc w:val="both"/>
              <w:rPr/>
            </w:pPr>
            <w:r>
              <w:rPr/>
              <w:t>Pursuant to Rule 416 under the Securities Act of 1933, as amended, or the Securities Act, the Registrant is also registering hereunder an indeterminate number of additional ordinary shares, no par value of the Registrant, or the Ordinary Shares, that shall be issuable pursuant to Rule 416 to prevent dilution resulting from stock splits, stock dividends or similar transactions.</w:t>
              <w:br/>
              <w:br/>
              <w:t>Calculated pursuant to Rule 457 of the Securities Act by multiplying the proposed maximum aggregate offering price of securities to be registered by 0.0001381.</w:t>
            </w:r>
          </w:p>
        </w:tc>
      </w:tr>
    </w:tbl>
    <w:tbl>
      <w:tblPr>
        <w:tblW w:w="10205" w:type="dxa"/>
        <w:jc w:val="left"/>
        <w:tblInd w:w="0" w:type="dxa"/>
        <w:tblLayout w:type="fixed"/>
        <w:tblCellMar>
          <w:top w:w="0" w:type="dxa"/>
          <w:left w:w="0" w:type="dxa"/>
          <w:bottom w:w="0" w:type="dxa"/>
          <w:right w:w="0" w:type="dxa"/>
        </w:tblCellMar>
      </w:tblPr>
      <w:tblGrid>
        <w:gridCol w:w="249"/>
        <w:gridCol w:w="23"/>
        <w:gridCol w:w="9933"/>
      </w:tblGrid>
      <w:tr>
        <w:trPr/>
        <w:tc>
          <w:tcPr>
            <w:tcW w:w="249"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33" w:type="dxa"/>
            <w:tcBorders/>
            <w:vAlign w:val="center"/>
          </w:tcPr>
          <w:p>
            <w:pPr>
              <w:pStyle w:val="TableContents"/>
              <w:bidi w:val="0"/>
              <w:spacing w:before="0" w:after="283"/>
              <w:jc w:val="both"/>
              <w:rPr/>
            </w:pPr>
            <w:r>
              <w:rPr/>
              <w:t>Pursuant to Rule 416 under the Securities Act of 1933, as amended, or the Securities Act, the Registrant is also registering hereunder an indeterminate number of additional ordinary shares, no par value of the Registrant, or the Ordinary Shares, that shall be issuable pursuant to Rule 416 to prevent dilution resulting from stock splits, stock dividends or similar transactions.</w:t>
              <w:br/>
              <w:br/>
              <w:t>Calculated pursuant to Rule 457 of the Securities Act by multiplying the proposed maximum aggregate offering price of securities to be registered by 0.0001381.</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hyperlink" Target="http://www.sec.gov/Archives/edgar/data/1981662/000121390025061753/ea024817101ex3-1_newgen.htm" TargetMode="External"/><Relationship Id="rId20" Type="http://schemas.openxmlformats.org/officeDocument/2006/relationships/hyperlink" Target="http://www.sec.gov/Archives/edgar/data/1981662/000121390024031644/ea020344201ex2-1_newgen.htm" TargetMode="External"/><Relationship Id="rId21" Type="http://schemas.openxmlformats.org/officeDocument/2006/relationships/hyperlink" Target="http://www.sec.gov/Archives/edgar/data/1981662/000121390024031644/ea020344201ex2-2_newgen.htm" TargetMode="External"/><Relationship Id="rId22" Type="http://schemas.openxmlformats.org/officeDocument/2006/relationships/hyperlink" Target="http://www.sec.gov/Archives/edgar/data/1868775/000110465922025006/tm225054d14_ex4-2.htm" TargetMode="External"/><Relationship Id="rId23" Type="http://schemas.openxmlformats.org/officeDocument/2006/relationships/hyperlink" Target="http://www.sec.gov/Archives/edgar/data/1981662/000121390023087023/ff42023a1ex4-7_aspac1.htm" TargetMode="External"/><Relationship Id="rId24" Type="http://schemas.openxmlformats.org/officeDocument/2006/relationships/hyperlink" Target="http://www.sec.gov/Archives/edgar/data/1868775/000121390023012495/ea173753ex2-1_aspac1acq.htm" TargetMode="External"/><Relationship Id="rId25" Type="http://schemas.openxmlformats.org/officeDocument/2006/relationships/hyperlink" Target="http://www.sec.gov/Archives/edgar/data/1868775/000121390023048612/ea180200ex2-1_aspac1acq.htm" TargetMode="External"/><Relationship Id="rId26" Type="http://schemas.openxmlformats.org/officeDocument/2006/relationships/hyperlink" Target="http://www.sec.gov/Archives/edgar/data/1868775/000121390023093702/ea189487ex2-1_aspac1acq.htm" TargetMode="External"/><Relationship Id="rId27" Type="http://schemas.openxmlformats.org/officeDocument/2006/relationships/hyperlink" Target="http://www.sec.gov/Archives/edgar/data/1868775/000121390024020466/ea0201275ex2-1_aspac1.htm" TargetMode="External"/><Relationship Id="rId28" Type="http://schemas.openxmlformats.org/officeDocument/2006/relationships/hyperlink" Target="http://www.sec.gov/Archives/edgar/data/1868775/000110465922025006/tm225054d14_ex10-5.htm" TargetMode="External"/><Relationship Id="rId29" Type="http://schemas.openxmlformats.org/officeDocument/2006/relationships/hyperlink" Target="http://www.sec.gov/Archives/edgar/data/1868775/000121390023012495/ea173753ex10-1_aspac1acq.htm" TargetMode="External"/><Relationship Id="rId30" Type="http://schemas.openxmlformats.org/officeDocument/2006/relationships/hyperlink" Target="http://www.sec.gov/Archives/edgar/data/1868775/000121390023012495/ea173753ex10-2_aspac1acq.htm" TargetMode="External"/><Relationship Id="rId31" Type="http://schemas.openxmlformats.org/officeDocument/2006/relationships/hyperlink" Target="http://www.sec.gov/Archives/edgar/data/1981662/000121390024031644/ea020344201ex4-8_newgen.htm" TargetMode="External"/><Relationship Id="rId32" Type="http://schemas.openxmlformats.org/officeDocument/2006/relationships/hyperlink" Target="http://www.sec.gov/Archives/edgar/data/1868775/000121390024020466/ea0201275ex10-1_aspac1.htm" TargetMode="External"/><Relationship Id="rId33" Type="http://schemas.openxmlformats.org/officeDocument/2006/relationships/hyperlink" Target="http://www.sec.gov/Archives/edgar/data/1868775/000121390024020466/ea0201275ex10-2_aspac1.htm" TargetMode="External"/><Relationship Id="rId34" Type="http://schemas.openxmlformats.org/officeDocument/2006/relationships/hyperlink" Target="http://www.sec.gov/Archives/edgar/data/1868775/000121390024020466/ea0201275ex10-3_aspac1.htm" TargetMode="External"/><Relationship Id="rId35" Type="http://schemas.openxmlformats.org/officeDocument/2006/relationships/hyperlink" Target="http://www.sec.gov/Archives/edgar/data/1981662/000101376223007357/ff42023ex10-19_aspac1.htm" TargetMode="External"/><Relationship Id="rId36" Type="http://schemas.openxmlformats.org/officeDocument/2006/relationships/hyperlink" Target="http://www.sec.gov/Archives/edgar/data/1981662/000101376223007357/ff42023ex10-20_aspac1.htm" TargetMode="External"/><Relationship Id="rId37" Type="http://schemas.openxmlformats.org/officeDocument/2006/relationships/hyperlink" Target="http://www.sec.gov/Archives/edgar/data/1981662/000101376223007357/ff42023ex10-21_aspac1.htm" TargetMode="External"/><Relationship Id="rId38" Type="http://schemas.openxmlformats.org/officeDocument/2006/relationships/hyperlink" Target="http://www.sec.gov/Archives/edgar/data/1981662/000101376223007357/ff42023ex10-22_aspac1.htm" TargetMode="External"/><Relationship Id="rId39" Type="http://schemas.openxmlformats.org/officeDocument/2006/relationships/hyperlink" Target="http://www.sec.gov/Archives/edgar/data/1981662/000101376223007357/ff42023ex10-23_aspac1.htm" TargetMode="External"/><Relationship Id="rId40" Type="http://schemas.openxmlformats.org/officeDocument/2006/relationships/hyperlink" Target="http://www.sec.gov/Archives/edgar/data/1981662/000101376223007357/ff42023ex10-24_aspac1.htm" TargetMode="External"/><Relationship Id="rId41" Type="http://schemas.openxmlformats.org/officeDocument/2006/relationships/hyperlink" Target="http://www.sec.gov/Archives/edgar/data/1981662/000101376223007357/ff42023ex10-25_aspac1.htm" TargetMode="External"/><Relationship Id="rId42" Type="http://schemas.openxmlformats.org/officeDocument/2006/relationships/hyperlink" Target="http://www.sec.gov/Archives/edgar/data/1981662/000101376223007357/ff42023ex10-26_aspac1.htm" TargetMode="External"/><Relationship Id="rId43" Type="http://schemas.openxmlformats.org/officeDocument/2006/relationships/hyperlink" Target="http://www.sec.gov/Archives/edgar/data/1981662/000101376223007357/ff42023ex10-27_aspac1.htm" TargetMode="External"/><Relationship Id="rId44" Type="http://schemas.openxmlformats.org/officeDocument/2006/relationships/hyperlink" Target="http://www.sec.gov/Archives/edgar/data/1981662/000121390024031644/ea020344201ex4-21_newgen.htm" TargetMode="External"/><Relationship Id="rId45" Type="http://schemas.openxmlformats.org/officeDocument/2006/relationships/hyperlink" Target="http://www.sec.gov/Archives/edgar/data/1868775/000121390024020466/ea0201275ex10-1_aspac1.htm" TargetMode="External"/><Relationship Id="rId46" Type="http://schemas.openxmlformats.org/officeDocument/2006/relationships/hyperlink" Target="http://www.sec.gov/Archives/edgar/data/1868775/000121390024020466/ea0201275ex10-2_aspac1.htm" TargetMode="External"/><Relationship Id="rId47" Type="http://schemas.openxmlformats.org/officeDocument/2006/relationships/hyperlink" Target="http://www.sec.gov/Archives/edgar/data/1981662/000121390024069887/ea021151801ex4-1_newgen.htm" TargetMode="External"/><Relationship Id="rId48" Type="http://schemas.openxmlformats.org/officeDocument/2006/relationships/hyperlink" Target="http://www.sec.gov/Archives/edgar/data/1981662/000121390024076330/ea021292701ex10-25_newgen.htm" TargetMode="External"/><Relationship Id="rId49" Type="http://schemas.openxmlformats.org/officeDocument/2006/relationships/hyperlink" Target="http://www.sec.gov/Archives/edgar/data/1981662/000121390024074614/ea021297701ex4-1_newgen.htm" TargetMode="External"/><Relationship Id="rId50" Type="http://schemas.openxmlformats.org/officeDocument/2006/relationships/hyperlink" Target="http://www.sec.gov/Archives/edgar/data/1981662/000121390024101682/ea022147001ex10-27_newgen.htm" TargetMode="External"/><Relationship Id="rId51" Type="http://schemas.openxmlformats.org/officeDocument/2006/relationships/hyperlink" Target="http://www.sec.gov/Archives/edgar/data/1981662/000121390024101682/ea022147001ex10-28_newgen.htm" TargetMode="External"/><Relationship Id="rId52" Type="http://schemas.openxmlformats.org/officeDocument/2006/relationships/hyperlink" Target="http://www.sec.gov/Archives/edgar/data/1981662/000121390024099047/ea022145801ex4-1_newgen.htm" TargetMode="External"/><Relationship Id="rId53" Type="http://schemas.openxmlformats.org/officeDocument/2006/relationships/hyperlink" Target="http://www.sec.gov/Archives/edgar/data/1981662/000121390025021404/ea023310401ex10-30_newgen.htm" TargetMode="External"/><Relationship Id="rId54" Type="http://schemas.openxmlformats.org/officeDocument/2006/relationships/hyperlink" Target="http://www.sec.gov/Archives/edgar/data/1981662/000121390025021404/ea023310401ex10-31_newgen.htm" TargetMode="External"/><Relationship Id="rId55" Type="http://schemas.openxmlformats.org/officeDocument/2006/relationships/hyperlink" Target="http://www.sec.gov/Archives/edgar/data/1981662/000121390025028370/ea023707201ex4-1_newgen.htm" TargetMode="External"/><Relationship Id="rId56" Type="http://schemas.openxmlformats.org/officeDocument/2006/relationships/hyperlink" Target="https://www.sec.gov/Archives/edgar/data/1981662/000121390026037687/ea028376601ex10-39.htm" TargetMode="External"/><Relationship Id="rId57" Type="http://schemas.openxmlformats.org/officeDocument/2006/relationships/hyperlink" Target="https://www.sec.gov/Archives/edgar/data/1981662/000121390026037687/ea028376601ex10-40.htm" TargetMode="External"/><Relationship Id="rId58" Type="http://schemas.openxmlformats.org/officeDocument/2006/relationships/hyperlink" Target="https://www.sec.gov/Archives/edgar/data/1981662/000121390026037687/ea028376601ex10-41.htm" TargetMode="External"/><Relationship Id="rId59" Type="http://schemas.openxmlformats.org/officeDocument/2006/relationships/hyperlink" Target="https://www.sec.gov/Archives/edgar/data/1981662/000121390026037687/ea028376601ex10-42.htm" TargetMode="External"/><Relationship Id="rId60" Type="http://schemas.openxmlformats.org/officeDocument/2006/relationships/hyperlink" Target="https://www.sec.gov/Archives/edgar/data/1981662/000121390026061805/ea029230001ex10-1.htm" TargetMode="External"/><Relationship Id="rId61" Type="http://schemas.openxmlformats.org/officeDocument/2006/relationships/hyperlink" Target="https://www.sec.gov/Archives/edgar/data/1981662/000121390026061805/ea029230001ex10-2.htm" TargetMode="External"/><Relationship Id="rId62" Type="http://schemas.openxmlformats.org/officeDocument/2006/relationships/hyperlink" Target="https://www.sec.gov/Archives/edgar/data/1981662/000121390026065035/ea029360601ex10-1.htm" TargetMode="External"/><Relationship Id="rId63" Type="http://schemas.openxmlformats.org/officeDocument/2006/relationships/hyperlink" Target="https://www.sec.gov/Archives/edgar/data/1981662/000121390026069883/ea029516101ex10-1.htm" TargetMode="External"/><Relationship Id="rId64" Type="http://schemas.openxmlformats.org/officeDocument/2006/relationships/hyperlink" Target="https://www.sec.gov/Archives/edgar/data/1981662/000121390026090519/ea030160101ex10-1.htm" TargetMode="External"/><Relationship Id="rId65" Type="http://schemas.openxmlformats.org/officeDocument/2006/relationships/hyperlink" Target="https://www.sec.gov/Archives/edgar/data/1981662/000121390026090519/ea030160101ex10-2.htm" TargetMode="External"/><Relationship Id="rId66" Type="http://schemas.openxmlformats.org/officeDocument/2006/relationships/hyperlink" Target="http://www.sec.gov/Archives/edgar/data/1981662/000121390024070853/ea021122901ex97-1_newgen.htm" TargetMode="External"/><Relationship Id="rId67" Type="http://schemas.openxmlformats.org/officeDocument/2006/relationships/image" Target="media/image18.jpeg"/><Relationship Id="rId68" Type="http://schemas.openxmlformats.org/officeDocument/2006/relationships/image" Target="media/image19.jpeg"/><Relationship Id="rId69" Type="http://schemas.openxmlformats.org/officeDocument/2006/relationships/image" Target="media/image19.jpeg"/><Relationship Id="rId70" Type="http://schemas.openxmlformats.org/officeDocument/2006/relationships/image" Target="media/image19.jpeg"/><Relationship Id="rId71" Type="http://schemas.openxmlformats.org/officeDocument/2006/relationships/image" Target="media/image19.jpeg"/><Relationship Id="rId72" Type="http://schemas.openxmlformats.org/officeDocument/2006/relationships/image" Target="media/image19.jpeg"/><Relationship Id="rId73" Type="http://schemas.openxmlformats.org/officeDocument/2006/relationships/image" Target="media/image19.jpeg"/><Relationship Id="rId74" Type="http://schemas.openxmlformats.org/officeDocument/2006/relationships/image" Target="media/image19.jpeg"/><Relationship Id="rId75" Type="http://schemas.openxmlformats.org/officeDocument/2006/relationships/image" Target="media/image19.jpeg"/><Relationship Id="rId76" Type="http://schemas.openxmlformats.org/officeDocument/2006/relationships/image" Target="media/image19.jpeg"/><Relationship Id="rId77" Type="http://schemas.openxmlformats.org/officeDocument/2006/relationships/image" Target="media/image19.jpeg"/><Relationship Id="rId78" Type="http://schemas.openxmlformats.org/officeDocument/2006/relationships/image" Target="media/image19.jpeg"/><Relationship Id="rId79" Type="http://schemas.openxmlformats.org/officeDocument/2006/relationships/image" Target="media/image19.jpeg"/><Relationship Id="rId80" Type="http://schemas.openxmlformats.org/officeDocument/2006/relationships/image" Target="media/image19.jpeg"/><Relationship Id="rId81" Type="http://schemas.openxmlformats.org/officeDocument/2006/relationships/image" Target="media/image19.jpeg"/><Relationship Id="rId82" Type="http://schemas.openxmlformats.org/officeDocument/2006/relationships/image" Target="media/image19.jpeg"/><Relationship Id="rId83" Type="http://schemas.openxmlformats.org/officeDocument/2006/relationships/image" Target="media/image19.jpeg"/><Relationship Id="rId84" Type="http://schemas.openxmlformats.org/officeDocument/2006/relationships/image" Target="media/image19.jpeg"/><Relationship Id="rId85" Type="http://schemas.openxmlformats.org/officeDocument/2006/relationships/image" Target="media/image19.jpeg"/><Relationship Id="rId86" Type="http://schemas.openxmlformats.org/officeDocument/2006/relationships/image" Target="media/image19.jpeg"/><Relationship Id="rId87" Type="http://schemas.openxmlformats.org/officeDocument/2006/relationships/image" Target="media/image20.jpeg"/><Relationship Id="rId88" Type="http://schemas.openxmlformats.org/officeDocument/2006/relationships/fontTable" Target="fontTable.xml"/><Relationship Id="rId8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454418</Words>
  <Characters>2401147</Characters>
  <CharactersWithSpaces>2860416</CharactersWithSpaces>
  <Paragraphs>24477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