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Fong Hei Yue 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1/F, PIER 2, CENTRAL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1006"/>
        <w:gridCol w:w="483"/>
        <w:gridCol w:w="836"/>
        <w:gridCol w:w="1171"/>
        <w:gridCol w:w="979"/>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139,811</w:t>
            </w:r>
          </w:p>
        </w:tc>
        <w:tc>
          <w:tcPr>
            <w:tcW w:w="4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146,133</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49,078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90,713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Ordinary Shares were acquired through the exercise of vested stock options ("Options"). The Options were granted pursuant to the Issuer's 2024 Share Incentive Plan and the employee share option agreements, dated July 8, 2026 and August 17, 2026, between the Issuer and the Reporting Person (the "Option Agreements"). The options were exercised by the Reporting Person on October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 amounts reported herein have been adjusted to reflect two 1-for-3 reverse-stock-splits implemented by the Issuer on July 6, 2026 and September 1, 2026. The amount of securities beneficially owned following the reported transaction reflects: (i) 139,811 Class B Ordinary Shares issued under this exercise, and (ii) 6,322 Class B Ordinary Shares historically held (adjusted from the 56,890 pre-reverse-split shares previously reported).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 Yue Tina Fong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68"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4024</Characters>
  <CharactersWithSpaces>4669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